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31"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(RULE 13D - 102)</w:t>
      </w:r>
    </w:p>
    <w:p>
      <w:pPr>
        <w:spacing w:after="0" w:line="203" w:lineRule="exact"/>
        <w:rPr>
          <w:sz w:val="24"/>
          <w:szCs w:val="24"/>
          <w:color w:val="auto"/>
        </w:rPr>
      </w:pPr>
    </w:p>
    <w:p>
      <w:pPr>
        <w:jc w:val="center"/>
        <w:ind w:left="280"/>
        <w:spacing w:after="0" w:line="286" w:lineRule="auto"/>
        <w:rPr>
          <w:sz w:val="20"/>
          <w:szCs w:val="20"/>
          <w:color w:val="auto"/>
        </w:rPr>
      </w:pPr>
      <w:r>
        <w:rPr>
          <w:rFonts w:ascii="Times New Roman" w:cs="Times New Roman" w:eastAsia="Times New Roman" w:hAnsi="Times New Roman"/>
          <w:sz w:val="18"/>
          <w:szCs w:val="18"/>
          <w:b w:val="1"/>
          <w:bCs w:val="1"/>
          <w:color w:val="auto"/>
        </w:rPr>
        <w:t>INFORMATION TO BE INCLUDED IN STATEMENTS FILED PURSUANT TO 13d-1(b), (c) AND (d) AND AMENDMENTS THERETO FILED PURSUANT TO 13d-2(b)</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3)*</w:t>
      </w:r>
    </w:p>
    <w:p>
      <w:pPr>
        <w:spacing w:after="0" w:line="229" w:lineRule="exact"/>
        <w:rPr>
          <w:sz w:val="24"/>
          <w:szCs w:val="24"/>
          <w:color w:val="auto"/>
        </w:rPr>
      </w:pPr>
    </w:p>
    <w:p>
      <w:pPr>
        <w:ind w:left="5080"/>
        <w:spacing w:after="0"/>
        <w:rPr>
          <w:sz w:val="20"/>
          <w:szCs w:val="20"/>
          <w:color w:val="auto"/>
        </w:rPr>
      </w:pPr>
      <w:r>
        <w:rPr>
          <w:rFonts w:ascii="Times New Roman" w:cs="Times New Roman" w:eastAsia="Times New Roman" w:hAnsi="Times New Roman"/>
          <w:sz w:val="18"/>
          <w:szCs w:val="18"/>
          <w:u w:val="single" w:color="auto"/>
          <w:color w:val="auto"/>
        </w:rPr>
        <w:t>Hess Corporation</w:t>
      </w:r>
    </w:p>
    <w:p>
      <w:pPr>
        <w:spacing w:after="0" w:line="27"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18"/>
          <w:szCs w:val="18"/>
          <w:color w:val="auto"/>
        </w:rPr>
        <w:t>(Name of Issuer)</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Common stock, par value $1.00</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42809H 10 7</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(CUSIP Number)</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December 31, 2016</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ectPr>
          <w:pgSz w:w="11900" w:h="16838" w:orient="portrait"/>
          <w:cols w:equalWidth="0" w:num="1">
            <w:col w:w="11420"/>
          </w:cols>
          <w:pgMar w:left="240" w:top="468" w:right="239" w:bottom="1440" w:gutter="0" w:footer="0" w:header="0"/>
        </w:sectPr>
      </w:pPr>
    </w:p>
    <w:p>
      <w:pPr>
        <w:spacing w:after="0" w:line="225" w:lineRule="exact"/>
        <w:rPr>
          <w:sz w:val="24"/>
          <w:szCs w:val="24"/>
          <w:color w:val="auto"/>
        </w:rPr>
      </w:pPr>
    </w:p>
    <w:p>
      <w:pPr>
        <w:ind w:left="4800"/>
        <w:spacing w:after="0"/>
        <w:rPr>
          <w:sz w:val="20"/>
          <w:szCs w:val="20"/>
          <w:color w:val="auto"/>
        </w:rPr>
      </w:pPr>
      <w:r>
        <w:rPr>
          <w:rFonts w:ascii="Times New Roman" w:cs="Times New Roman" w:eastAsia="Times New Roman" w:hAnsi="Times New Roman"/>
          <w:sz w:val="17"/>
          <w:szCs w:val="17"/>
          <w:color w:val="auto"/>
        </w:rPr>
        <w:t>[ ]</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Rule 13d-1(b)</w:t>
      </w:r>
    </w:p>
    <w:p>
      <w:pPr>
        <w:spacing w:after="0" w:line="200" w:lineRule="exact"/>
        <w:rPr>
          <w:sz w:val="24"/>
          <w:szCs w:val="24"/>
          <w:color w:val="auto"/>
        </w:rPr>
      </w:pPr>
    </w:p>
    <w:p>
      <w:pPr>
        <w:sectPr>
          <w:pgSz w:w="11900" w:h="16838" w:orient="portrait"/>
          <w:cols w:equalWidth="0" w:num="2">
            <w:col w:w="4960" w:space="660"/>
            <w:col w:w="5800"/>
          </w:cols>
          <w:pgMar w:left="240" w:top="468" w:right="239" w:bottom="1440" w:gutter="0" w:footer="0" w:header="0"/>
          <w:type w:val="continuous"/>
        </w:sectPr>
      </w:pPr>
    </w:p>
    <w:p>
      <w:pPr>
        <w:spacing w:after="0" w:line="37" w:lineRule="exact"/>
        <w:rPr>
          <w:sz w:val="24"/>
          <w:szCs w:val="24"/>
          <w:color w:val="auto"/>
        </w:rPr>
      </w:pPr>
    </w:p>
    <w:p>
      <w:pPr>
        <w:ind w:left="480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Rule 13d-1(c)</w:t>
      </w:r>
    </w:p>
    <w:p>
      <w:pPr>
        <w:spacing w:after="0" w:line="211" w:lineRule="exact"/>
        <w:rPr>
          <w:sz w:val="24"/>
          <w:szCs w:val="24"/>
          <w:color w:val="auto"/>
        </w:rPr>
      </w:pPr>
    </w:p>
    <w:p>
      <w:pPr>
        <w:sectPr>
          <w:pgSz w:w="11900" w:h="16838" w:orient="portrait"/>
          <w:cols w:equalWidth="0" w:num="2">
            <w:col w:w="4980" w:space="640"/>
            <w:col w:w="5800"/>
          </w:cols>
          <w:pgMar w:left="240" w:top="468" w:right="239" w:bottom="1440" w:gutter="0" w:footer="0" w:header="0"/>
          <w:type w:val="continuous"/>
        </w:sectPr>
      </w:pPr>
    </w:p>
    <w:p>
      <w:pPr>
        <w:spacing w:after="0" w:line="25" w:lineRule="exact"/>
        <w:rPr>
          <w:sz w:val="24"/>
          <w:szCs w:val="24"/>
          <w:color w:val="auto"/>
        </w:rPr>
      </w:pPr>
    </w:p>
    <w:p>
      <w:pPr>
        <w:ind w:left="5640" w:hanging="862"/>
        <w:spacing w:after="0"/>
        <w:tabs>
          <w:tab w:leader="none" w:pos="5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13d-1(d)</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The information required on the remainder of this cover page shall not be deemed to be "filed" for the purpose of Section 18 of the Securities Exchange Act of 1934 or otherwise subject to the liabilities of that section of the Act but shall be subject to all other provisions of the Act (however, </w:t>
      </w:r>
      <w:r>
        <w:rPr>
          <w:rFonts w:ascii="Times New Roman" w:cs="Times New Roman" w:eastAsia="Times New Roman" w:hAnsi="Times New Roman"/>
          <w:sz w:val="18"/>
          <w:szCs w:val="18"/>
          <w:i w:val="1"/>
          <w:iCs w:val="1"/>
          <w:color w:val="auto"/>
        </w:rPr>
        <w:t>see the Notes</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type w:val="continuous"/>
        </w:sectPr>
      </w:pPr>
    </w:p>
    <w:bookmarkStart w:id="1" w:name="page2"/>
    <w:bookmarkEnd w:id="1"/>
    <w:p>
      <w:pPr>
        <w:ind w:left="1040" w:hanging="1032"/>
        <w:spacing w:after="0"/>
        <w:tabs>
          <w:tab w:leader="none" w:pos="10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w:t>
      </w:r>
    </w:p>
    <w:p>
      <w:pPr>
        <w:spacing w:after="0" w:line="20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Elliott Associates, L.P.</w:t>
      </w:r>
    </w:p>
    <w:p>
      <w:pPr>
        <w:spacing w:after="0" w:line="225" w:lineRule="exact"/>
        <w:rPr>
          <w:sz w:val="20"/>
          <w:szCs w:val="20"/>
          <w:color w:val="auto"/>
        </w:rPr>
      </w:pPr>
    </w:p>
    <w:p>
      <w:pPr>
        <w:ind w:left="1040" w:hanging="1032"/>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25" w:lineRule="exact"/>
        <w:rPr>
          <w:rFonts w:ascii="Times New Roman" w:cs="Times New Roman" w:eastAsia="Times New Roman" w:hAnsi="Times New Roman"/>
          <w:sz w:val="18"/>
          <w:szCs w:val="18"/>
          <w:color w:val="auto"/>
        </w:rPr>
      </w:pPr>
    </w:p>
    <w:p>
      <w:pPr>
        <w:ind w:left="1420" w:hanging="372"/>
        <w:spacing w:after="0"/>
        <w:tabs>
          <w:tab w:leader="none" w:pos="14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t>
      </w:r>
    </w:p>
    <w:p>
      <w:pPr>
        <w:spacing w:after="0" w:line="27" w:lineRule="exact"/>
        <w:rPr>
          <w:rFonts w:ascii="Times New Roman" w:cs="Times New Roman" w:eastAsia="Times New Roman" w:hAnsi="Times New Roman"/>
          <w:sz w:val="18"/>
          <w:szCs w:val="18"/>
          <w:color w:val="auto"/>
        </w:rPr>
      </w:pPr>
    </w:p>
    <w:p>
      <w:pPr>
        <w:ind w:left="1440" w:hanging="392"/>
        <w:spacing w:after="0"/>
        <w:tabs>
          <w:tab w:leader="none" w:pos="14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6" w:lineRule="exact"/>
        <w:rPr>
          <w:rFonts w:ascii="Times New Roman" w:cs="Times New Roman" w:eastAsia="Times New Roman" w:hAnsi="Times New Roman"/>
          <w:sz w:val="18"/>
          <w:szCs w:val="18"/>
          <w:color w:val="auto"/>
        </w:rPr>
      </w:pPr>
    </w:p>
    <w:p>
      <w:pPr>
        <w:ind w:left="1040" w:hanging="1032"/>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1040" w:hanging="1032"/>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Delaware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BENEFICIALLY OWNED BY EACH REPORTING PERSON WITH:</w:t>
      </w:r>
    </w:p>
    <w:p>
      <w:pPr>
        <w:spacing w:after="0" w:line="225" w:lineRule="exact"/>
        <w:rPr>
          <w:sz w:val="20"/>
          <w:szCs w:val="20"/>
          <w:color w:val="auto"/>
        </w:rPr>
      </w:pPr>
    </w:p>
    <w:p>
      <w:pPr>
        <w:ind w:left="1880" w:right="7319" w:hanging="1872"/>
        <w:spacing w:after="0" w:line="530" w:lineRule="auto"/>
        <w:tabs>
          <w:tab w:leader="none" w:pos="104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6,016,000</w:t>
      </w:r>
    </w:p>
    <w:p>
      <w:pPr>
        <w:ind w:left="1880" w:right="7039" w:hanging="1872"/>
        <w:spacing w:after="0" w:line="501" w:lineRule="auto"/>
        <w:tabs>
          <w:tab w:leader="none" w:pos="10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0</w:t>
      </w:r>
    </w:p>
    <w:p>
      <w:pPr>
        <w:ind w:left="1880" w:right="6919" w:hanging="1872"/>
        <w:spacing w:after="0" w:line="501" w:lineRule="auto"/>
        <w:tabs>
          <w:tab w:leader="none" w:pos="10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6,016,000</w:t>
      </w:r>
    </w:p>
    <w:p>
      <w:pPr>
        <w:ind w:left="1880" w:right="6639" w:hanging="1872"/>
        <w:spacing w:after="0" w:line="501" w:lineRule="auto"/>
        <w:tabs>
          <w:tab w:leader="none" w:pos="10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0</w:t>
      </w:r>
    </w:p>
    <w:p>
      <w:pPr>
        <w:ind w:left="1880" w:right="2619" w:hanging="1872"/>
        <w:spacing w:after="0" w:line="501" w:lineRule="auto"/>
        <w:tabs>
          <w:tab w:leader="none" w:pos="10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6,016,000</w:t>
      </w:r>
    </w:p>
    <w:p>
      <w:pPr>
        <w:ind w:left="1040" w:hanging="1032"/>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w:t>
      </w:r>
    </w:p>
    <w:p>
      <w:pPr>
        <w:spacing w:after="0" w:line="27" w:lineRule="exact"/>
        <w:rPr>
          <w:sz w:val="20"/>
          <w:szCs w:val="20"/>
          <w:color w:val="auto"/>
        </w:rPr>
      </w:pPr>
    </w:p>
    <w:p>
      <w:pPr>
        <w:ind w:left="1040"/>
        <w:spacing w:after="0"/>
        <w:tabs>
          <w:tab w:leader="none" w:pos="3680" w:val="left"/>
        </w:tabs>
        <w:rPr>
          <w:sz w:val="20"/>
          <w:szCs w:val="20"/>
          <w:color w:val="auto"/>
        </w:rPr>
      </w:pPr>
      <w:r>
        <w:rPr>
          <w:rFonts w:ascii="Times New Roman" w:cs="Times New Roman" w:eastAsia="Times New Roman" w:hAnsi="Times New Roman"/>
          <w:sz w:val="18"/>
          <w:szCs w:val="18"/>
          <w:color w:val="auto"/>
        </w:rPr>
        <w:t>EXCLUDES CERTAIN SHARES</w:t>
      </w:r>
      <w:r>
        <w:rPr>
          <w:sz w:val="20"/>
          <w:szCs w:val="20"/>
          <w:color w:val="auto"/>
        </w:rPr>
        <w:tab/>
      </w:r>
      <w:r>
        <w:rPr>
          <w:rFonts w:ascii="Times New Roman" w:cs="Times New Roman" w:eastAsia="Times New Roman" w:hAnsi="Times New Roman"/>
          <w:sz w:val="17"/>
          <w:szCs w:val="17"/>
          <w:color w:val="auto"/>
        </w:rPr>
        <w:t>[ ]</w:t>
      </w:r>
    </w:p>
    <w:p>
      <w:pPr>
        <w:spacing w:after="0" w:line="207" w:lineRule="exact"/>
        <w:rPr>
          <w:sz w:val="20"/>
          <w:szCs w:val="20"/>
          <w:color w:val="auto"/>
        </w:rPr>
      </w:pPr>
    </w:p>
    <w:p>
      <w:pPr>
        <w:ind w:left="1880" w:right="4119" w:hanging="1872"/>
        <w:spacing w:after="0" w:line="501" w:lineRule="auto"/>
        <w:tabs>
          <w:tab w:leader="none" w:pos="10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1.90%</w:t>
      </w:r>
    </w:p>
    <w:p>
      <w:pPr>
        <w:ind w:left="1040" w:hanging="1032"/>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80" w:right="1440" w:bottom="1440" w:gutter="0" w:footer="0" w:header="0"/>
        </w:sectPr>
      </w:pPr>
    </w:p>
    <w:bookmarkStart w:id="2" w:name="page3"/>
    <w:bookmarkEnd w:id="2"/>
    <w:p>
      <w:pPr>
        <w:ind w:left="1040" w:hanging="1032"/>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w:t>
      </w:r>
    </w:p>
    <w:p>
      <w:pPr>
        <w:spacing w:after="0" w:line="20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Elliott International, L.P.</w:t>
      </w:r>
    </w:p>
    <w:p>
      <w:pPr>
        <w:spacing w:after="0" w:line="225" w:lineRule="exact"/>
        <w:rPr>
          <w:sz w:val="20"/>
          <w:szCs w:val="20"/>
          <w:color w:val="auto"/>
        </w:rPr>
      </w:pPr>
    </w:p>
    <w:p>
      <w:pPr>
        <w:ind w:left="1040" w:hanging="1032"/>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25" w:lineRule="exact"/>
        <w:rPr>
          <w:rFonts w:ascii="Times New Roman" w:cs="Times New Roman" w:eastAsia="Times New Roman" w:hAnsi="Times New Roman"/>
          <w:sz w:val="18"/>
          <w:szCs w:val="18"/>
          <w:color w:val="auto"/>
        </w:rPr>
      </w:pPr>
    </w:p>
    <w:p>
      <w:pPr>
        <w:ind w:left="1420" w:hanging="372"/>
        <w:spacing w:after="0"/>
        <w:tabs>
          <w:tab w:leader="none" w:pos="14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t>
      </w:r>
    </w:p>
    <w:p>
      <w:pPr>
        <w:spacing w:after="0" w:line="27" w:lineRule="exact"/>
        <w:rPr>
          <w:rFonts w:ascii="Times New Roman" w:cs="Times New Roman" w:eastAsia="Times New Roman" w:hAnsi="Times New Roman"/>
          <w:sz w:val="18"/>
          <w:szCs w:val="18"/>
          <w:color w:val="auto"/>
        </w:rPr>
      </w:pPr>
    </w:p>
    <w:p>
      <w:pPr>
        <w:ind w:left="1440" w:hanging="392"/>
        <w:spacing w:after="0"/>
        <w:tabs>
          <w:tab w:leader="none" w:pos="14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6" w:lineRule="exact"/>
        <w:rPr>
          <w:rFonts w:ascii="Times New Roman" w:cs="Times New Roman" w:eastAsia="Times New Roman" w:hAnsi="Times New Roman"/>
          <w:sz w:val="18"/>
          <w:szCs w:val="18"/>
          <w:color w:val="auto"/>
        </w:rPr>
      </w:pPr>
    </w:p>
    <w:p>
      <w:pPr>
        <w:ind w:left="1040" w:hanging="1032"/>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1040" w:hanging="1032"/>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Cayman Islands, British West Indies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BENEFICIALLY OWNED BY EACH REPORTING PERSON WITH:</w:t>
      </w:r>
    </w:p>
    <w:p>
      <w:pPr>
        <w:spacing w:after="0" w:line="225" w:lineRule="exact"/>
        <w:rPr>
          <w:sz w:val="20"/>
          <w:szCs w:val="20"/>
          <w:color w:val="auto"/>
        </w:rPr>
      </w:pPr>
    </w:p>
    <w:p>
      <w:pPr>
        <w:ind w:left="1880" w:right="7319" w:hanging="1872"/>
        <w:spacing w:after="0" w:line="501" w:lineRule="auto"/>
        <w:tabs>
          <w:tab w:leader="none" w:pos="10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ind w:left="1880" w:right="7039" w:hanging="1872"/>
        <w:spacing w:after="0" w:line="501" w:lineRule="auto"/>
        <w:tabs>
          <w:tab w:leader="none" w:pos="10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12,784,000</w:t>
      </w:r>
    </w:p>
    <w:p>
      <w:pPr>
        <w:ind w:left="1880" w:right="6919" w:hanging="1872"/>
        <w:spacing w:after="0" w:line="501" w:lineRule="auto"/>
        <w:tabs>
          <w:tab w:leader="none" w:pos="10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jc w:val="center"/>
        <w:ind w:left="1880" w:right="6639" w:hanging="1872"/>
        <w:spacing w:after="0" w:line="501" w:lineRule="auto"/>
        <w:tabs>
          <w:tab w:leader="none" w:pos="10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12,784,000</w:t>
      </w:r>
    </w:p>
    <w:p>
      <w:pPr>
        <w:ind w:left="1880" w:right="2619" w:hanging="1872"/>
        <w:spacing w:after="0" w:line="501" w:lineRule="auto"/>
        <w:tabs>
          <w:tab w:leader="none" w:pos="10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12,784,000</w:t>
      </w:r>
    </w:p>
    <w:p>
      <w:pPr>
        <w:ind w:left="1040" w:hanging="1032"/>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w:t>
      </w:r>
    </w:p>
    <w:p>
      <w:pPr>
        <w:spacing w:after="0" w:line="27" w:lineRule="exact"/>
        <w:rPr>
          <w:sz w:val="20"/>
          <w:szCs w:val="20"/>
          <w:color w:val="auto"/>
        </w:rPr>
      </w:pPr>
    </w:p>
    <w:p>
      <w:pPr>
        <w:ind w:left="1040"/>
        <w:spacing w:after="0"/>
        <w:tabs>
          <w:tab w:leader="none" w:pos="3680" w:val="left"/>
        </w:tabs>
        <w:rPr>
          <w:sz w:val="20"/>
          <w:szCs w:val="20"/>
          <w:color w:val="auto"/>
        </w:rPr>
      </w:pPr>
      <w:r>
        <w:rPr>
          <w:rFonts w:ascii="Times New Roman" w:cs="Times New Roman" w:eastAsia="Times New Roman" w:hAnsi="Times New Roman"/>
          <w:sz w:val="18"/>
          <w:szCs w:val="18"/>
          <w:color w:val="auto"/>
        </w:rPr>
        <w:t>EXCLUDES CERTAIN SHARES</w:t>
      </w:r>
      <w:r>
        <w:rPr>
          <w:sz w:val="20"/>
          <w:szCs w:val="20"/>
          <w:color w:val="auto"/>
        </w:rPr>
        <w:tab/>
      </w:r>
      <w:r>
        <w:rPr>
          <w:rFonts w:ascii="Times New Roman" w:cs="Times New Roman" w:eastAsia="Times New Roman" w:hAnsi="Times New Roman"/>
          <w:sz w:val="17"/>
          <w:szCs w:val="17"/>
          <w:color w:val="auto"/>
        </w:rPr>
        <w:t>[ ]</w:t>
      </w:r>
    </w:p>
    <w:p>
      <w:pPr>
        <w:spacing w:after="0" w:line="207" w:lineRule="exact"/>
        <w:rPr>
          <w:sz w:val="20"/>
          <w:szCs w:val="20"/>
          <w:color w:val="auto"/>
        </w:rPr>
      </w:pPr>
    </w:p>
    <w:p>
      <w:pPr>
        <w:ind w:left="1880" w:right="4119" w:hanging="1872"/>
        <w:spacing w:after="0" w:line="501" w:lineRule="auto"/>
        <w:tabs>
          <w:tab w:leader="none" w:pos="104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4.04%</w:t>
      </w:r>
    </w:p>
    <w:p>
      <w:pPr>
        <w:ind w:left="1040" w:hanging="1032"/>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80" w:right="1440" w:bottom="1440" w:gutter="0" w:footer="0" w:header="0"/>
        </w:sectPr>
      </w:pPr>
    </w:p>
    <w:bookmarkStart w:id="3" w:name="page4"/>
    <w:bookmarkEnd w:id="3"/>
    <w:p>
      <w:pPr>
        <w:ind w:left="1040" w:hanging="1032"/>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w:t>
      </w:r>
    </w:p>
    <w:p>
      <w:pPr>
        <w:spacing w:after="0" w:line="20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Elliott International Capital Advisors Inc.</w:t>
      </w:r>
    </w:p>
    <w:p>
      <w:pPr>
        <w:spacing w:after="0" w:line="225" w:lineRule="exact"/>
        <w:rPr>
          <w:sz w:val="20"/>
          <w:szCs w:val="20"/>
          <w:color w:val="auto"/>
        </w:rPr>
      </w:pPr>
    </w:p>
    <w:p>
      <w:pPr>
        <w:ind w:left="1040" w:hanging="1032"/>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25" w:lineRule="exact"/>
        <w:rPr>
          <w:rFonts w:ascii="Times New Roman" w:cs="Times New Roman" w:eastAsia="Times New Roman" w:hAnsi="Times New Roman"/>
          <w:sz w:val="18"/>
          <w:szCs w:val="18"/>
          <w:color w:val="auto"/>
        </w:rPr>
      </w:pPr>
    </w:p>
    <w:p>
      <w:pPr>
        <w:ind w:left="1420" w:hanging="372"/>
        <w:spacing w:after="0"/>
        <w:tabs>
          <w:tab w:leader="none" w:pos="14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t>
      </w:r>
    </w:p>
    <w:p>
      <w:pPr>
        <w:spacing w:after="0" w:line="27" w:lineRule="exact"/>
        <w:rPr>
          <w:rFonts w:ascii="Times New Roman" w:cs="Times New Roman" w:eastAsia="Times New Roman" w:hAnsi="Times New Roman"/>
          <w:sz w:val="18"/>
          <w:szCs w:val="18"/>
          <w:color w:val="auto"/>
        </w:rPr>
      </w:pPr>
    </w:p>
    <w:p>
      <w:pPr>
        <w:ind w:left="1440" w:hanging="392"/>
        <w:spacing w:after="0"/>
        <w:tabs>
          <w:tab w:leader="none" w:pos="14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6" w:lineRule="exact"/>
        <w:rPr>
          <w:rFonts w:ascii="Times New Roman" w:cs="Times New Roman" w:eastAsia="Times New Roman" w:hAnsi="Times New Roman"/>
          <w:sz w:val="18"/>
          <w:szCs w:val="18"/>
          <w:color w:val="auto"/>
        </w:rPr>
      </w:pPr>
    </w:p>
    <w:p>
      <w:pPr>
        <w:ind w:left="1040" w:hanging="1032"/>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1040" w:hanging="1032"/>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Delaware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BENEFICIALLY OWNED BY EACH REPORTING PERSON WITH:</w:t>
      </w:r>
    </w:p>
    <w:p>
      <w:pPr>
        <w:spacing w:after="0" w:line="225" w:lineRule="exact"/>
        <w:rPr>
          <w:sz w:val="20"/>
          <w:szCs w:val="20"/>
          <w:color w:val="auto"/>
        </w:rPr>
      </w:pPr>
    </w:p>
    <w:p>
      <w:pPr>
        <w:ind w:left="1880" w:right="7319" w:hanging="1872"/>
        <w:spacing w:after="0" w:line="501" w:lineRule="auto"/>
        <w:tabs>
          <w:tab w:leader="none" w:pos="104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ind w:left="1880" w:right="7039" w:hanging="1872"/>
        <w:spacing w:after="0" w:line="501" w:lineRule="auto"/>
        <w:tabs>
          <w:tab w:leader="none" w:pos="104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12,784,000</w:t>
      </w:r>
    </w:p>
    <w:p>
      <w:pPr>
        <w:ind w:left="1880" w:right="6919" w:hanging="1872"/>
        <w:spacing w:after="0" w:line="501" w:lineRule="auto"/>
        <w:tabs>
          <w:tab w:leader="none" w:pos="104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jc w:val="center"/>
        <w:ind w:left="1880" w:right="6639" w:hanging="1872"/>
        <w:spacing w:after="0" w:line="501" w:lineRule="auto"/>
        <w:tabs>
          <w:tab w:leader="none" w:pos="104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12,784,000</w:t>
      </w:r>
    </w:p>
    <w:p>
      <w:pPr>
        <w:ind w:left="1880" w:right="2619" w:hanging="1872"/>
        <w:spacing w:after="0" w:line="501" w:lineRule="auto"/>
        <w:tabs>
          <w:tab w:leader="none" w:pos="104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12,784,000</w:t>
      </w:r>
    </w:p>
    <w:p>
      <w:pPr>
        <w:ind w:left="1040" w:hanging="1032"/>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w:t>
      </w:r>
    </w:p>
    <w:p>
      <w:pPr>
        <w:spacing w:after="0" w:line="27" w:lineRule="exact"/>
        <w:rPr>
          <w:sz w:val="20"/>
          <w:szCs w:val="20"/>
          <w:color w:val="auto"/>
        </w:rPr>
      </w:pPr>
    </w:p>
    <w:p>
      <w:pPr>
        <w:ind w:left="1040"/>
        <w:spacing w:after="0"/>
        <w:tabs>
          <w:tab w:leader="none" w:pos="3680" w:val="left"/>
        </w:tabs>
        <w:rPr>
          <w:sz w:val="20"/>
          <w:szCs w:val="20"/>
          <w:color w:val="auto"/>
        </w:rPr>
      </w:pPr>
      <w:r>
        <w:rPr>
          <w:rFonts w:ascii="Times New Roman" w:cs="Times New Roman" w:eastAsia="Times New Roman" w:hAnsi="Times New Roman"/>
          <w:sz w:val="18"/>
          <w:szCs w:val="18"/>
          <w:color w:val="auto"/>
        </w:rPr>
        <w:t>EXCLUDES CERTAIN SHARES</w:t>
      </w:r>
      <w:r>
        <w:rPr>
          <w:sz w:val="20"/>
          <w:szCs w:val="20"/>
          <w:color w:val="auto"/>
        </w:rPr>
        <w:tab/>
      </w:r>
      <w:r>
        <w:rPr>
          <w:rFonts w:ascii="Times New Roman" w:cs="Times New Roman" w:eastAsia="Times New Roman" w:hAnsi="Times New Roman"/>
          <w:sz w:val="17"/>
          <w:szCs w:val="17"/>
          <w:color w:val="auto"/>
        </w:rPr>
        <w:t>[ ]</w:t>
      </w:r>
    </w:p>
    <w:p>
      <w:pPr>
        <w:spacing w:after="0" w:line="207" w:lineRule="exact"/>
        <w:rPr>
          <w:sz w:val="20"/>
          <w:szCs w:val="20"/>
          <w:color w:val="auto"/>
        </w:rPr>
      </w:pPr>
    </w:p>
    <w:p>
      <w:pPr>
        <w:ind w:left="1880" w:right="4119" w:hanging="1872"/>
        <w:spacing w:after="0" w:line="501" w:lineRule="auto"/>
        <w:tabs>
          <w:tab w:leader="none" w:pos="104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4.04%</w:t>
      </w:r>
    </w:p>
    <w:p>
      <w:pPr>
        <w:ind w:left="1040" w:hanging="1032"/>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80"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This Schedule 13G reflects the beneficial ownership of the Reporting Persons (as defined below) as of December 31, 2016.</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Name of Issuer: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Hess Corporation ("Issuer")</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8"/>
          <w:szCs w:val="18"/>
          <w:b w:val="1"/>
          <w:bCs w:val="1"/>
          <w:color w:val="auto"/>
        </w:rPr>
        <w:t>Address of Issuer's Principal Executive Offices: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1185 Avenue of the Americas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20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2(a).</w:t>
      </w:r>
      <w:r>
        <w:rPr>
          <w:sz w:val="20"/>
          <w:szCs w:val="20"/>
          <w:color w:val="auto"/>
        </w:rPr>
        <w:tab/>
      </w:r>
      <w:r>
        <w:rPr>
          <w:rFonts w:ascii="Times New Roman" w:cs="Times New Roman" w:eastAsia="Times New Roman" w:hAnsi="Times New Roman"/>
          <w:sz w:val="17"/>
          <w:szCs w:val="17"/>
          <w:b w:val="1"/>
          <w:bCs w:val="1"/>
          <w:color w:val="auto"/>
        </w:rPr>
        <w:t>Name of Persons Filing:</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names of the persons filing this statement on Schedule 13G are: Elliott Associates, L.P. and its wholly-owned subsidiaries (collectively, "Elliott Associates"), Elliott International, L.P. ("Elliott International"), and Elliott International Capital Advisors Inc. ("International Advisors" and collectively with Elliott Associates and Elliott International, the "Reporting Persons"). Paul E. Singer ("Singer"), Elliott Capital Advisors, L.P., a Delaware limited partnership ("Capital Advisors"), which is controlled by Singer, and Elliott Special GP, LLC, a Delaware limited liability company ("Special GP"), which is controlled by Singer, are the general partners of Elliott Associates. Hambledon, Inc. ("Hambledon") is the general partner of Elliott International. International Advisors is the investment manager for Elliott International. International Advisors expressly disclaims equitable ownership of and pecuniary interest in any Common Stock.</w:t>
      </w:r>
    </w:p>
    <w:p>
      <w:pPr>
        <w:spacing w:after="0" w:line="18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2(b).</w:t>
      </w:r>
      <w:r>
        <w:rPr>
          <w:sz w:val="20"/>
          <w:szCs w:val="20"/>
          <w:color w:val="auto"/>
        </w:rPr>
        <w:tab/>
      </w:r>
      <w:r>
        <w:rPr>
          <w:rFonts w:ascii="Times New Roman" w:cs="Times New Roman" w:eastAsia="Times New Roman" w:hAnsi="Times New Roman"/>
          <w:sz w:val="17"/>
          <w:szCs w:val="17"/>
          <w:b w:val="1"/>
          <w:bCs w:val="1"/>
          <w:color w:val="auto"/>
        </w:rPr>
        <w:t>Address of Principal Business Office or, if None, Residence:</w:t>
      </w:r>
    </w:p>
    <w:p>
      <w:pPr>
        <w:spacing w:after="0" w:line="219" w:lineRule="exact"/>
        <w:rPr>
          <w:sz w:val="20"/>
          <w:szCs w:val="20"/>
          <w:color w:val="auto"/>
        </w:rPr>
      </w:pPr>
    </w:p>
    <w:p>
      <w:pPr>
        <w:jc w:val="both"/>
        <w:ind w:right="20" w:firstLine="648"/>
        <w:spacing w:after="0" w:line="200" w:lineRule="auto"/>
        <w:rPr>
          <w:sz w:val="20"/>
          <w:szCs w:val="20"/>
          <w:color w:val="auto"/>
        </w:rPr>
      </w:pPr>
      <w:r>
        <w:rPr>
          <w:rFonts w:ascii="Times New Roman" w:cs="Times New Roman" w:eastAsia="Times New Roman" w:hAnsi="Times New Roman"/>
          <w:sz w:val="18"/>
          <w:szCs w:val="18"/>
          <w:color w:val="auto"/>
        </w:rPr>
        <w:t>The business address of Elliott Associates, International Advisors, Capital Advisors, Singer and Special GP is 40 West 57</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Street, 30</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Floor, New York, New York 10019.</w:t>
      </w:r>
    </w:p>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business address of Elliott International and Hambledon is c/o Maples &amp; Calder, P.O. Box 309, Ugland House, South Church Street, George Town, Cayman Islands, British West Indies.</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2(c).</w:t>
      </w:r>
      <w:r>
        <w:rPr>
          <w:sz w:val="20"/>
          <w:szCs w:val="20"/>
          <w:color w:val="auto"/>
        </w:rPr>
        <w:tab/>
      </w:r>
      <w:r>
        <w:rPr>
          <w:rFonts w:ascii="Times New Roman" w:cs="Times New Roman" w:eastAsia="Times New Roman" w:hAnsi="Times New Roman"/>
          <w:sz w:val="18"/>
          <w:szCs w:val="18"/>
          <w:b w:val="1"/>
          <w:bCs w:val="1"/>
          <w:color w:val="auto"/>
        </w:rPr>
        <w:t>Citizenship:</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of Elliott Associates and Capital Advisors is a limited partnership formed under the laws of the State of Delaware.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Elliott International is a limited partnership formed under the laws of the Cayman Islands, British West Indies.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International Advisors is a corporation formed under the laws of the State of Delaware.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Special GP is a limited liability company formed under the laws of the State of Delaware.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Hambledon is a corporation formed under the laws of the Cayman Islands, British West Indies.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Singer is a U.S. citizen.</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2(d).</w:t>
      </w:r>
      <w:r>
        <w:rPr>
          <w:sz w:val="20"/>
          <w:szCs w:val="20"/>
          <w:color w:val="auto"/>
        </w:rPr>
        <w:tab/>
      </w:r>
      <w:r>
        <w:rPr>
          <w:rFonts w:ascii="Times New Roman" w:cs="Times New Roman" w:eastAsia="Times New Roman" w:hAnsi="Times New Roman"/>
          <w:sz w:val="17"/>
          <w:szCs w:val="17"/>
          <w:b w:val="1"/>
          <w:bCs w:val="1"/>
          <w:color w:val="auto"/>
        </w:rPr>
        <w:t>Title of Class of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Common stock, par value $1.00 ("Common Stock").</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2(e).</w:t>
      </w:r>
      <w:r>
        <w:rPr>
          <w:sz w:val="20"/>
          <w:szCs w:val="20"/>
          <w:color w:val="auto"/>
        </w:rPr>
        <w:tab/>
      </w:r>
      <w:r>
        <w:rPr>
          <w:rFonts w:ascii="Times New Roman" w:cs="Times New Roman" w:eastAsia="Times New Roman" w:hAnsi="Times New Roman"/>
          <w:sz w:val="17"/>
          <w:szCs w:val="17"/>
          <w:b w:val="1"/>
          <w:bCs w:val="1"/>
          <w:color w:val="auto"/>
        </w:rPr>
        <w:t>CUSIP Number: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42809H 10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 w:name="page6"/>
    <w:bookmarkEnd w:id="5"/>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If This Statement is Filed Pursuant to Rule 13d 1(b), or 13d-2(b) or (c), Check Whether the Person Filing is a:</w:t>
      </w:r>
    </w:p>
    <w:p>
      <w:pPr>
        <w:spacing w:after="0" w:line="229" w:lineRule="exact"/>
        <w:rPr>
          <w:sz w:val="20"/>
          <w:szCs w:val="20"/>
          <w:color w:val="auto"/>
        </w:rPr>
      </w:pPr>
    </w:p>
    <w:p>
      <w:pPr>
        <w:ind w:left="1020" w:hanging="376"/>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Broker or dealer registered under Section 15 of the Exchange Act.</w:t>
      </w:r>
    </w:p>
    <w:p>
      <w:pPr>
        <w:spacing w:after="0" w:line="225" w:lineRule="exact"/>
        <w:rPr>
          <w:rFonts w:ascii="Times New Roman" w:cs="Times New Roman" w:eastAsia="Times New Roman" w:hAnsi="Times New Roman"/>
          <w:sz w:val="18"/>
          <w:szCs w:val="18"/>
          <w:color w:val="auto"/>
        </w:rPr>
      </w:pPr>
    </w:p>
    <w:p>
      <w:pPr>
        <w:ind w:left="1020" w:hanging="381"/>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Bank as defined in Section 3(a)(6) of the Exchange Act.</w:t>
      </w:r>
    </w:p>
    <w:p>
      <w:pPr>
        <w:spacing w:after="0" w:line="225" w:lineRule="exact"/>
        <w:rPr>
          <w:rFonts w:ascii="Times New Roman" w:cs="Times New Roman" w:eastAsia="Times New Roman" w:hAnsi="Times New Roman"/>
          <w:sz w:val="18"/>
          <w:szCs w:val="18"/>
          <w:color w:val="auto"/>
        </w:rPr>
      </w:pPr>
    </w:p>
    <w:p>
      <w:pPr>
        <w:ind w:left="1020" w:hanging="376"/>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Insurance company defined in Section 3(a)(19) of the Exchange Act.</w:t>
      </w:r>
    </w:p>
    <w:p>
      <w:pPr>
        <w:spacing w:after="0" w:line="225" w:lineRule="exact"/>
        <w:rPr>
          <w:rFonts w:ascii="Times New Roman" w:cs="Times New Roman" w:eastAsia="Times New Roman" w:hAnsi="Times New Roman"/>
          <w:sz w:val="18"/>
          <w:szCs w:val="18"/>
          <w:color w:val="auto"/>
        </w:rPr>
      </w:pPr>
    </w:p>
    <w:p>
      <w:pPr>
        <w:ind w:left="1020" w:hanging="381"/>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Investment company registered under Section 8 of the Investment Company Act.</w:t>
      </w:r>
    </w:p>
    <w:p>
      <w:pPr>
        <w:spacing w:after="0" w:line="225" w:lineRule="exact"/>
        <w:rPr>
          <w:rFonts w:ascii="Times New Roman" w:cs="Times New Roman" w:eastAsia="Times New Roman" w:hAnsi="Times New Roman"/>
          <w:sz w:val="18"/>
          <w:szCs w:val="18"/>
          <w:color w:val="auto"/>
        </w:rPr>
      </w:pPr>
    </w:p>
    <w:p>
      <w:pPr>
        <w:ind w:left="1020" w:hanging="376"/>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An investment adviser in accordance with Rule 13d-1(b)(1)(ii)(E).</w:t>
      </w:r>
    </w:p>
    <w:p>
      <w:pPr>
        <w:spacing w:after="0" w:line="225" w:lineRule="exact"/>
        <w:rPr>
          <w:rFonts w:ascii="Times New Roman" w:cs="Times New Roman" w:eastAsia="Times New Roman" w:hAnsi="Times New Roman"/>
          <w:sz w:val="18"/>
          <w:szCs w:val="18"/>
          <w:color w:val="auto"/>
        </w:rPr>
      </w:pPr>
    </w:p>
    <w:p>
      <w:pPr>
        <w:ind w:left="1020" w:hanging="366"/>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An employee benefit plan or endowment fund in accordance with Rule 13d-1(b)(1)(ii)(F).</w:t>
      </w:r>
    </w:p>
    <w:p>
      <w:pPr>
        <w:spacing w:after="0" w:line="225" w:lineRule="exact"/>
        <w:rPr>
          <w:rFonts w:ascii="Times New Roman" w:cs="Times New Roman" w:eastAsia="Times New Roman" w:hAnsi="Times New Roman"/>
          <w:sz w:val="18"/>
          <w:szCs w:val="18"/>
          <w:color w:val="auto"/>
        </w:rPr>
      </w:pPr>
    </w:p>
    <w:p>
      <w:pPr>
        <w:ind w:left="1020" w:hanging="381"/>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A parent holding company or control person in accordance with Rule 13d-1(b)(1)(ii)(G).</w:t>
      </w:r>
    </w:p>
    <w:p>
      <w:pPr>
        <w:spacing w:after="0" w:line="225" w:lineRule="exact"/>
        <w:rPr>
          <w:rFonts w:ascii="Times New Roman" w:cs="Times New Roman" w:eastAsia="Times New Roman" w:hAnsi="Times New Roman"/>
          <w:sz w:val="18"/>
          <w:szCs w:val="18"/>
          <w:color w:val="auto"/>
        </w:rPr>
      </w:pPr>
    </w:p>
    <w:p>
      <w:pPr>
        <w:ind w:left="1020" w:hanging="381"/>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A savings association as defined in Section 3(b) of the Federal Deposit Insurance Act.</w:t>
      </w:r>
    </w:p>
    <w:p>
      <w:pPr>
        <w:spacing w:after="0" w:line="225" w:lineRule="exact"/>
        <w:rPr>
          <w:sz w:val="20"/>
          <w:szCs w:val="20"/>
          <w:color w:val="auto"/>
        </w:rPr>
      </w:pPr>
    </w:p>
    <w:p>
      <w:pPr>
        <w:ind w:left="1020" w:hanging="361"/>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A church plan that is excluded from the definition of an investment company under Section 3(c)(14) of the Investment Company Act;</w:t>
      </w:r>
    </w:p>
    <w:p>
      <w:pPr>
        <w:spacing w:after="0" w:line="27" w:lineRule="exact"/>
        <w:rPr>
          <w:rFonts w:ascii="Times New Roman" w:cs="Times New Roman" w:eastAsia="Times New Roman" w:hAnsi="Times New Roman"/>
          <w:sz w:val="18"/>
          <w:szCs w:val="18"/>
          <w:color w:val="auto"/>
        </w:rPr>
      </w:pPr>
    </w:p>
    <w:p>
      <w:pPr>
        <w:ind w:left="1020" w:hanging="361"/>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Group, in accordance with Rule 13d-1(b)(1)(ii)(J).</w:t>
      </w:r>
    </w:p>
    <w:p>
      <w:pPr>
        <w:spacing w:after="0" w:line="207" w:lineRule="exact"/>
        <w:rPr>
          <w:sz w:val="20"/>
          <w:szCs w:val="20"/>
          <w:color w:val="auto"/>
        </w:rPr>
      </w:pPr>
    </w:p>
    <w:p>
      <w:pPr>
        <w:ind w:left="1460" w:hanging="821"/>
        <w:spacing w:after="0" w:line="282" w:lineRule="auto"/>
        <w:tabs>
          <w:tab w:leader="none" w:pos="102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Group, in accordance with Rule 240.13d-1(b)(1)(ii)(K). If filing as a non-U.S. institution in accordance with § 240.13d-1(b)(1)(ii)(J), please specify the type of institution: 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6" w:name="page7"/>
    <w:bookmarkEnd w:id="6"/>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225" w:lineRule="exact"/>
        <w:rPr>
          <w:sz w:val="20"/>
          <w:szCs w:val="20"/>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w:t>
      </w:r>
    </w:p>
    <w:p>
      <w:pPr>
        <w:spacing w:after="0" w:line="22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Elliott Associates individually beneficially owns 6,016,000 shares of Common Stock.</w:t>
      </w:r>
    </w:p>
    <w:p>
      <w:pPr>
        <w:spacing w:after="0" w:line="225" w:lineRule="exact"/>
        <w:rPr>
          <w:rFonts w:ascii="Times New Roman" w:cs="Times New Roman" w:eastAsia="Times New Roman" w:hAnsi="Times New Roman"/>
          <w:sz w:val="18"/>
          <w:szCs w:val="18"/>
          <w:color w:val="auto"/>
        </w:rPr>
      </w:pPr>
    </w:p>
    <w:p>
      <w:pPr>
        <w:ind w:left="1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Elliott International and International Advisors together beneficially own the 12,784,000 shares of Common Stock held by Elliott International.</w:t>
      </w:r>
    </w:p>
    <w:p>
      <w:pPr>
        <w:spacing w:after="0" w:line="161" w:lineRule="exact"/>
        <w:rPr>
          <w:rFonts w:ascii="Times New Roman" w:cs="Times New Roman" w:eastAsia="Times New Roman" w:hAnsi="Times New Roman"/>
          <w:sz w:val="18"/>
          <w:szCs w:val="18"/>
          <w:color w:val="auto"/>
        </w:rPr>
      </w:pPr>
    </w:p>
    <w:p>
      <w:pPr>
        <w:ind w:left="1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Elliott Associates, Elliott International and International Advisors together beneficially own an aggregate of 18,800,000 shares of Common Stock.</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225" w:lineRule="exact"/>
        <w:rPr>
          <w:rFonts w:ascii="Times New Roman" w:cs="Times New Roman" w:eastAsia="Times New Roman" w:hAnsi="Times New Roman"/>
          <w:sz w:val="18"/>
          <w:szCs w:val="18"/>
          <w:color w:val="auto"/>
        </w:rPr>
      </w:pPr>
    </w:p>
    <w:p>
      <w:pPr>
        <w:jc w:val="both"/>
        <w:ind w:left="13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percentage of Common Stock reported owned by each person named herein is based upon 316,621,058 shares of Common Stock outstanding as of September 30, 2016, which is the total number of Shares outstanding as reported in the Issuer's Quarterly Report on Form 10-Q filed with the Securities and Exchange Commission on November 2, 2016.</w:t>
      </w:r>
    </w:p>
    <w:p>
      <w:pPr>
        <w:spacing w:after="0" w:line="176"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Elliott Associates beneficially owned 1.90% of the outstanding shares of Common Stock.</w:t>
      </w:r>
    </w:p>
    <w:p>
      <w:pPr>
        <w:spacing w:after="0" w:line="22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Elliott International and International Advisors owned approximately 4.04% of the outstanding shares of Common Stock.</w:t>
      </w:r>
    </w:p>
    <w:p>
      <w:pPr>
        <w:spacing w:after="0" w:line="225" w:lineRule="exact"/>
        <w:rPr>
          <w:rFonts w:ascii="Times New Roman" w:cs="Times New Roman" w:eastAsia="Times New Roman" w:hAnsi="Times New Roman"/>
          <w:sz w:val="18"/>
          <w:szCs w:val="18"/>
          <w:color w:val="auto"/>
        </w:rPr>
      </w:pPr>
    </w:p>
    <w:p>
      <w:pPr>
        <w:ind w:left="1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Elliott Associates, Elliott International and International Advisors' aggregate beneficial ownership constituted approximately 5.94% of the outstanding shares of Common Stock.</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5"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w:t>
      </w:r>
    </w:p>
    <w:p>
      <w:pPr>
        <w:spacing w:after="0" w:line="225"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Elliott Associates has sole power to vote or direct the vote of 6,016,000 shares of Common Stock.</w:t>
      </w:r>
    </w:p>
    <w:p>
      <w:pPr>
        <w:spacing w:after="0" w:line="225"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w:t>
      </w:r>
    </w:p>
    <w:p>
      <w:pPr>
        <w:spacing w:after="0" w:line="225" w:lineRule="exact"/>
        <w:rPr>
          <w:rFonts w:ascii="Times New Roman" w:cs="Times New Roman" w:eastAsia="Times New Roman" w:hAnsi="Times New Roman"/>
          <w:sz w:val="18"/>
          <w:szCs w:val="18"/>
          <w:color w:val="auto"/>
        </w:rPr>
      </w:pPr>
    </w:p>
    <w:p>
      <w:pPr>
        <w:ind w:left="196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Elliott International and International Advisors together have shared power to vote or direct the vote of 12,784,000 shares of Common Stock.</w:t>
      </w:r>
    </w:p>
    <w:p>
      <w:pPr>
        <w:spacing w:after="0" w:line="161"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w:t>
      </w:r>
    </w:p>
    <w:p>
      <w:pPr>
        <w:spacing w:after="0" w:line="225"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Elliott Associates has sole power to dispose or direct the disposition of 6,016,000 shares of Common Stock.</w:t>
      </w:r>
    </w:p>
    <w:p>
      <w:pPr>
        <w:spacing w:after="0" w:line="225"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w:t>
      </w:r>
    </w:p>
    <w:p>
      <w:pPr>
        <w:spacing w:after="0" w:line="225" w:lineRule="exact"/>
        <w:rPr>
          <w:rFonts w:ascii="Times New Roman" w:cs="Times New Roman" w:eastAsia="Times New Roman" w:hAnsi="Times New Roman"/>
          <w:sz w:val="18"/>
          <w:szCs w:val="18"/>
          <w:color w:val="auto"/>
        </w:rPr>
      </w:pPr>
    </w:p>
    <w:p>
      <w:pPr>
        <w:ind w:left="19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Elliott International and International Advisors together have shared power to dispose or direct the disposition of 12,784,000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7" w:name="page8"/>
    <w:bookmarkEnd w:id="7"/>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Persons have ceased to be the beneficial owner of more than five percent of the class of securities, check the following [ ].</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Ownership of More than Five Percent on Behalf of Another Person.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1300" w:right="780" w:hanging="1296"/>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8"/>
          <w:szCs w:val="18"/>
          <w:b w:val="1"/>
          <w:bCs w:val="1"/>
          <w:color w:val="auto"/>
        </w:rPr>
        <w:t>Identification and Classification of Members of the Group.</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Exhibit A to the Schedule 13G filed with the Securities and Exchange Commission on February 14, 2014.</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its knowledge and belief, each of the undersigned certifies that the information with respect to it set forth in this statement is true, complete, and correct.</w:t>
      </w:r>
    </w:p>
    <w:p>
      <w:pPr>
        <w:spacing w:after="0" w:line="16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February 14, 2017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ELLIOTT ASSOCIATES,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Elliott Capital Advisors, L.P., as General Partner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Braxton Associates, Inc., as General Partner</w:t>
      </w:r>
    </w:p>
    <w:p>
      <w:pPr>
        <w:spacing w:after="0" w:line="200" w:lineRule="exact"/>
        <w:rPr>
          <w:sz w:val="20"/>
          <w:szCs w:val="20"/>
          <w:color w:val="auto"/>
        </w:rPr>
      </w:pPr>
    </w:p>
    <w:p>
      <w:pPr>
        <w:spacing w:after="0" w:line="223" w:lineRule="exact"/>
        <w:rPr>
          <w:sz w:val="20"/>
          <w:szCs w:val="20"/>
          <w:color w:val="auto"/>
        </w:rPr>
      </w:pPr>
    </w:p>
    <w:p>
      <w:pPr>
        <w:ind w:left="1040"/>
        <w:spacing w:after="0"/>
        <w:tabs>
          <w:tab w:leader="none" w:pos="1520" w:val="left"/>
        </w:tabs>
        <w:rPr>
          <w:sz w:val="20"/>
          <w:szCs w:val="20"/>
          <w:color w:val="auto"/>
        </w:rPr>
      </w:pPr>
      <w:r>
        <w:rPr>
          <w:rFonts w:ascii="Times New Roman" w:cs="Times New Roman" w:eastAsia="Times New Roman" w:hAnsi="Times New Roman"/>
          <w:sz w:val="18"/>
          <w:szCs w:val="18"/>
          <w:color w:val="auto"/>
        </w:rPr>
        <w:t>By:</w:t>
        <w:tab/>
        <w:t>/s/ Elliot Greenberg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17145</wp:posOffset>
            </wp:positionV>
            <wp:extent cx="200660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06600" cy="17145"/>
                    </a:xfrm>
                    <a:prstGeom prst="rect">
                      <a:avLst/>
                    </a:prstGeom>
                    <a:noFill/>
                  </pic:spPr>
                </pic:pic>
              </a:graphicData>
            </a:graphic>
          </wp:anchor>
        </w:drawing>
      </w:r>
    </w:p>
    <w:p>
      <w:pPr>
        <w:spacing w:after="0" w:line="1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Elliot Greenberg,</w:t>
      </w:r>
    </w:p>
    <w:p>
      <w:pPr>
        <w:spacing w:after="0" w:line="2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Vice President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ELLIOTT INTERNATIONAL,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Elliott International Capital Advisors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Attorney-in-Fact</w:t>
      </w:r>
    </w:p>
    <w:p>
      <w:pPr>
        <w:spacing w:after="0" w:line="200" w:lineRule="exact"/>
        <w:rPr>
          <w:sz w:val="20"/>
          <w:szCs w:val="20"/>
          <w:color w:val="auto"/>
        </w:rPr>
      </w:pPr>
    </w:p>
    <w:p>
      <w:pPr>
        <w:spacing w:after="0" w:line="223" w:lineRule="exact"/>
        <w:rPr>
          <w:sz w:val="20"/>
          <w:szCs w:val="20"/>
          <w:color w:val="auto"/>
        </w:rPr>
      </w:pPr>
    </w:p>
    <w:p>
      <w:pPr>
        <w:ind w:left="1040"/>
        <w:spacing w:after="0"/>
        <w:tabs>
          <w:tab w:leader="none" w:pos="1520" w:val="left"/>
        </w:tabs>
        <w:rPr>
          <w:sz w:val="20"/>
          <w:szCs w:val="20"/>
          <w:color w:val="auto"/>
        </w:rPr>
      </w:pPr>
      <w:r>
        <w:rPr>
          <w:rFonts w:ascii="Times New Roman" w:cs="Times New Roman" w:eastAsia="Times New Roman" w:hAnsi="Times New Roman"/>
          <w:sz w:val="18"/>
          <w:szCs w:val="18"/>
          <w:color w:val="auto"/>
        </w:rPr>
        <w:t>By:</w:t>
        <w:tab/>
        <w:t>/s/ Elliot Greenberg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17145</wp:posOffset>
            </wp:positionV>
            <wp:extent cx="200660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06600" cy="17145"/>
                    </a:xfrm>
                    <a:prstGeom prst="rect">
                      <a:avLst/>
                    </a:prstGeom>
                    <a:noFill/>
                  </pic:spPr>
                </pic:pic>
              </a:graphicData>
            </a:graphic>
          </wp:anchor>
        </w:drawing>
      </w:r>
    </w:p>
    <w:p>
      <w:pPr>
        <w:spacing w:after="0" w:line="1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Elliot Greenberg,</w:t>
      </w:r>
    </w:p>
    <w:p>
      <w:pPr>
        <w:spacing w:after="0" w:line="2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ELLIOTT INTERNATIONAL CAPITAL ADVISORS INC.</w:t>
      </w:r>
    </w:p>
    <w:p>
      <w:pPr>
        <w:spacing w:after="0" w:line="200" w:lineRule="exact"/>
        <w:rPr>
          <w:sz w:val="20"/>
          <w:szCs w:val="20"/>
          <w:color w:val="auto"/>
        </w:rPr>
      </w:pPr>
    </w:p>
    <w:p>
      <w:pPr>
        <w:spacing w:after="0" w:line="24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Elliot Greenberg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17145</wp:posOffset>
            </wp:positionV>
            <wp:extent cx="144907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Elliot Greenberg,</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Vice President</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lowerRoman"/>
      <w:start w:val="10"/>
    </w:lvl>
  </w:abstractNum>
  <w:abstractNum w:abstractNumId="1">
    <w:nsid w:val="12200854"/>
    <w:multiLevelType w:val="hybridMultilevel"/>
    <w:lvl w:ilvl="0">
      <w:lvlJc w:val="left"/>
      <w:lvlText w:val="%1."/>
      <w:numFmt w:val="decimal"/>
      <w:start w:val="1"/>
    </w:lvl>
  </w:abstractNum>
  <w:abstractNum w:abstractNumId="2">
    <w:nsid w:val="4DB127F8"/>
    <w:multiLevelType w:val="hybridMultilevel"/>
    <w:lvl w:ilvl="0">
      <w:lvlJc w:val="left"/>
      <w:lvlText w:val="%1."/>
      <w:numFmt w:val="decimal"/>
      <w:start w:val="2"/>
    </w:lvl>
    <w:lvl w:ilvl="1">
      <w:lvlJc w:val="left"/>
      <w:lvlText w:val="(%2)"/>
      <w:numFmt w:val="lowerLetter"/>
      <w:start w:val="1"/>
    </w:lvl>
  </w:abstractNum>
  <w:abstractNum w:abstractNumId="3">
    <w:nsid w:val="216231B"/>
    <w:multiLevelType w:val="hybridMultilevel"/>
    <w:lvl w:ilvl="0">
      <w:lvlJc w:val="left"/>
      <w:lvlText w:val="%1."/>
      <w:numFmt w:val="decimal"/>
      <w:start w:val="5"/>
    </w:lvl>
  </w:abstractNum>
  <w:abstractNum w:abstractNumId="4">
    <w:nsid w:val="1F16E9E8"/>
    <w:multiLevelType w:val="hybridMultilevel"/>
    <w:lvl w:ilvl="0">
      <w:lvlJc w:val="left"/>
      <w:lvlText w:val="%1."/>
      <w:numFmt w:val="decimal"/>
      <w:start w:val="1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decimal"/>
      <w:start w:val="2"/>
    </w:lvl>
    <w:lvl w:ilvl="1">
      <w:lvlJc w:val="left"/>
      <w:lvlText w:val="(%2)"/>
      <w:numFmt w:val="lowerLetter"/>
      <w:start w:val="1"/>
    </w:lvl>
  </w:abstractNum>
  <w:abstractNum w:abstractNumId="7">
    <w:nsid w:val="140E0F76"/>
    <w:multiLevelType w:val="hybridMultilevel"/>
    <w:lvl w:ilvl="0">
      <w:lvlJc w:val="left"/>
      <w:lvlText w:val="%1."/>
      <w:numFmt w:val="decimal"/>
      <w:start w:val="5"/>
    </w:lvl>
  </w:abstractNum>
  <w:abstractNum w:abstractNumId="8">
    <w:nsid w:val="3352255A"/>
    <w:multiLevelType w:val="hybridMultilevel"/>
    <w:lvl w:ilvl="0">
      <w:lvlJc w:val="left"/>
      <w:lvlText w:val="%1."/>
      <w:numFmt w:val="decimal"/>
      <w:start w:val="1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decimal"/>
      <w:start w:val="2"/>
    </w:lvl>
    <w:lvl w:ilvl="1">
      <w:lvlJc w:val="left"/>
      <w:lvlText w:val="(%2)"/>
      <w:numFmt w:val="lowerLetter"/>
      <w:start w:val="1"/>
    </w:lvl>
  </w:abstractNum>
  <w:abstractNum w:abstractNumId="11">
    <w:nsid w:val="7FDCC233"/>
    <w:multiLevelType w:val="hybridMultilevel"/>
    <w:lvl w:ilvl="0">
      <w:lvlJc w:val="left"/>
      <w:lvlText w:val="%1."/>
      <w:numFmt w:val="decimal"/>
      <w:start w:val="5"/>
    </w:lvl>
  </w:abstractNum>
  <w:abstractNum w:abstractNumId="12">
    <w:nsid w:val="1BEFD79F"/>
    <w:multiLevelType w:val="hybridMultilevel"/>
    <w:lvl w:ilvl="0">
      <w:lvlJc w:val="left"/>
      <w:lvlText w:val="%1."/>
      <w:numFmt w:val="decimal"/>
      <w:start w:val="11"/>
    </w:lvl>
  </w:abstractNum>
  <w:abstractNum w:abstractNumId="13">
    <w:nsid w:val="41A7C4C9"/>
    <w:multiLevelType w:val="hybridMultilevel"/>
    <w:lvl w:ilvl="0">
      <w:lvlJc w:val="left"/>
      <w:lvlText w:val="(%1)"/>
      <w:numFmt w:val="lowerLetter"/>
      <w:start w:val="1"/>
    </w:lvl>
  </w:abstractNum>
  <w:abstractNum w:abstractNumId="14">
    <w:nsid w:val="6B68079A"/>
    <w:multiLevelType w:val="hybridMultilevel"/>
    <w:lvl w:ilvl="0">
      <w:lvlJc w:val="left"/>
      <w:lvlText w:val="(%1)"/>
      <w:numFmt w:val="lowerLetter"/>
      <w:start w:val="9"/>
    </w:lvl>
  </w:abstractNum>
  <w:abstractNum w:abstractNumId="15">
    <w:nsid w:val="4E6AFB66"/>
    <w:multiLevelType w:val="hybridMultilevel"/>
    <w:lvl w:ilvl="0">
      <w:lvlJc w:val="left"/>
      <w:lvlText w:val="(%1)"/>
      <w:numFmt w:val="lowerLetter"/>
      <w:start w:val="11"/>
    </w:lvl>
  </w:abstractNum>
  <w:abstractNum w:abstractNumId="16">
    <w:nsid w:val="25E45D32"/>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2019-12-05T01:21:48Z</dcterms:created>
  <dcterms:modified xsi:type="dcterms:W3CDTF">2019-12-05T01:21:48Z</dcterms:modified>
</cp:coreProperties>
</file>