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181610</wp:posOffset>
            </wp:positionH>
            <wp:positionV relativeFrom="paragraph">
              <wp:posOffset>209550</wp:posOffset>
            </wp:positionV>
            <wp:extent cx="68935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93560" cy="8255"/>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259715</wp:posOffset>
            </wp:positionV>
            <wp:extent cx="68935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SCHEDULE 14A</w:t>
      </w:r>
    </w:p>
    <w:p>
      <w:pPr>
        <w:spacing w:after="0" w:line="32" w:lineRule="exact"/>
        <w:rPr>
          <w:sz w:val="24"/>
          <w:szCs w:val="24"/>
          <w:color w:val="auto"/>
        </w:rPr>
      </w:pPr>
    </w:p>
    <w:p>
      <w:pPr>
        <w:jc w:val="center"/>
        <w:ind w:right="-279"/>
        <w:spacing w:after="0"/>
        <w:rPr>
          <w:sz w:val="20"/>
          <w:szCs w:val="20"/>
          <w:color w:val="auto"/>
        </w:rPr>
      </w:pPr>
      <w:r>
        <w:rPr>
          <w:rFonts w:ascii="Arial" w:cs="Arial" w:eastAsia="Arial" w:hAnsi="Arial"/>
          <w:sz w:val="21"/>
          <w:szCs w:val="21"/>
          <w:b w:val="1"/>
          <w:bCs w:val="1"/>
          <w:color w:val="auto"/>
        </w:rPr>
        <w:t>(Rule 14a-101)</w:t>
      </w:r>
    </w:p>
    <w:p>
      <w:pPr>
        <w:jc w:val="center"/>
        <w:ind w:right="-279"/>
        <w:spacing w:after="0"/>
        <w:rPr>
          <w:sz w:val="20"/>
          <w:szCs w:val="20"/>
          <w:color w:val="auto"/>
        </w:rPr>
      </w:pPr>
      <w:r>
        <w:rPr>
          <w:rFonts w:ascii="Arial" w:cs="Arial" w:eastAsia="Arial" w:hAnsi="Arial"/>
          <w:sz w:val="21"/>
          <w:szCs w:val="21"/>
          <w:b w:val="1"/>
          <w:bCs w:val="1"/>
          <w:color w:val="auto"/>
        </w:rPr>
        <w:t>Information Required in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146685</wp:posOffset>
            </wp:positionV>
            <wp:extent cx="14528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254"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SCHEDULE 14A INFORMATION</w:t>
      </w:r>
    </w:p>
    <w:p>
      <w:pPr>
        <w:spacing w:after="0" w:line="88" w:lineRule="exact"/>
        <w:rPr>
          <w:sz w:val="24"/>
          <w:szCs w:val="24"/>
          <w:color w:val="auto"/>
        </w:rPr>
      </w:pPr>
    </w:p>
    <w:p>
      <w:pPr>
        <w:jc w:val="center"/>
        <w:ind w:right="-279"/>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22" w:lineRule="exact"/>
        <w:rPr>
          <w:sz w:val="24"/>
          <w:szCs w:val="24"/>
          <w:color w:val="auto"/>
        </w:rPr>
      </w:pPr>
    </w:p>
    <w:p>
      <w:pPr>
        <w:jc w:val="center"/>
        <w:ind w:right="-279"/>
        <w:spacing w:after="0"/>
        <w:rPr>
          <w:sz w:val="20"/>
          <w:szCs w:val="20"/>
          <w:color w:val="auto"/>
        </w:rPr>
      </w:pPr>
      <w:r>
        <w:rPr>
          <w:rFonts w:ascii="Arial" w:cs="Arial" w:eastAsia="Arial" w:hAnsi="Arial"/>
          <w:sz w:val="21"/>
          <w:szCs w:val="21"/>
          <w:b w:val="1"/>
          <w:bCs w:val="1"/>
          <w:color w:val="auto"/>
        </w:rPr>
        <w:t>Securities Exchange Act of 1934</w:t>
      </w:r>
    </w:p>
    <w:p>
      <w:pPr>
        <w:jc w:val="center"/>
        <w:ind w:right="-279"/>
        <w:spacing w:after="0"/>
        <w:tabs>
          <w:tab w:leader="none" w:pos="200" w:val="left"/>
        </w:tabs>
        <w:rPr>
          <w:sz w:val="20"/>
          <w:szCs w:val="20"/>
          <w:color w:val="auto"/>
        </w:rPr>
      </w:pPr>
      <w:r>
        <w:rPr>
          <w:rFonts w:ascii="Arial" w:cs="Arial" w:eastAsia="Arial" w:hAnsi="Arial"/>
          <w:sz w:val="21"/>
          <w:szCs w:val="21"/>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121285</wp:posOffset>
            </wp:positionV>
            <wp:extent cx="14528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204" w:lineRule="exact"/>
        <w:rPr>
          <w:sz w:val="24"/>
          <w:szCs w:val="24"/>
          <w:color w:val="auto"/>
        </w:rPr>
      </w:pPr>
    </w:p>
    <w:p>
      <w:pPr>
        <w:ind w:left="280"/>
        <w:spacing w:after="0" w:line="207" w:lineRule="exact"/>
        <w:tabs>
          <w:tab w:leader="none" w:pos="37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32" w:lineRule="exact"/>
        <w:rPr>
          <w:sz w:val="24"/>
          <w:szCs w:val="24"/>
          <w:color w:val="auto"/>
        </w:rPr>
      </w:pPr>
    </w:p>
    <w:p>
      <w:pPr>
        <w:ind w:left="280"/>
        <w:spacing w:after="0"/>
        <w:rPr>
          <w:sz w:val="20"/>
          <w:szCs w:val="20"/>
          <w:color w:val="auto"/>
        </w:rPr>
      </w:pPr>
      <w:r>
        <w:rPr>
          <w:rFonts w:ascii="Arial" w:cs="Arial" w:eastAsia="Arial" w:hAnsi="Arial"/>
          <w:sz w:val="18"/>
          <w:szCs w:val="18"/>
          <w:color w:val="auto"/>
        </w:rPr>
        <w:t>Check the appropriate box:</w:t>
      </w:r>
    </w:p>
    <w:p>
      <w:pPr>
        <w:spacing w:after="0" w:line="72" w:lineRule="exact"/>
        <w:rPr>
          <w:sz w:val="24"/>
          <w:szCs w:val="24"/>
          <w:color w:val="auto"/>
        </w:rPr>
      </w:pPr>
    </w:p>
    <w:p>
      <w:pPr>
        <w:ind w:left="720" w:hanging="434"/>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5" w:lineRule="exact"/>
        <w:rPr>
          <w:rFonts w:ascii="MS PGothic" w:cs="MS PGothic" w:eastAsia="MS PGothic" w:hAnsi="MS PGothic"/>
          <w:sz w:val="18"/>
          <w:szCs w:val="18"/>
          <w:color w:val="auto"/>
        </w:rPr>
      </w:pPr>
    </w:p>
    <w:p>
      <w:pPr>
        <w:ind w:left="280" w:right="4160" w:firstLine="6"/>
        <w:spacing w:after="0" w:line="263" w:lineRule="exact"/>
        <w:tabs>
          <w:tab w:leader="none" w:pos="70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61" w:lineRule="exact"/>
        <w:rPr>
          <w:rFonts w:ascii="MS PGothic" w:cs="MS PGothic" w:eastAsia="MS PGothic" w:hAnsi="MS PGothic"/>
          <w:sz w:val="18"/>
          <w:szCs w:val="18"/>
          <w:color w:val="auto"/>
        </w:rPr>
      </w:pPr>
    </w:p>
    <w:p>
      <w:pPr>
        <w:ind w:left="720" w:hanging="434"/>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85" w:lineRule="exact"/>
        <w:rPr>
          <w:rFonts w:ascii="MS PGothic" w:cs="MS PGothic" w:eastAsia="MS PGothic" w:hAnsi="MS PGothic"/>
          <w:sz w:val="18"/>
          <w:szCs w:val="18"/>
          <w:color w:val="auto"/>
        </w:rPr>
      </w:pPr>
    </w:p>
    <w:p>
      <w:pPr>
        <w:ind w:left="720" w:hanging="434"/>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26" w:lineRule="exact"/>
        <w:rPr>
          <w:sz w:val="24"/>
          <w:szCs w:val="24"/>
          <w:color w:val="auto"/>
        </w:rPr>
      </w:pPr>
    </w:p>
    <w:p>
      <w:pPr>
        <w:jc w:val="center"/>
        <w:ind w:right="-279"/>
        <w:spacing w:after="0"/>
        <w:rPr>
          <w:sz w:val="20"/>
          <w:szCs w:val="20"/>
          <w:color w:val="auto"/>
        </w:rPr>
      </w:pPr>
      <w:r>
        <w:rPr>
          <w:rFonts w:ascii="Arial" w:cs="Arial" w:eastAsia="Arial" w:hAnsi="Arial"/>
          <w:sz w:val="43"/>
          <w:szCs w:val="43"/>
          <w:b w:val="1"/>
          <w:bCs w:val="1"/>
          <w:color w:val="auto"/>
        </w:rPr>
        <w:t>Hess Corporation</w:t>
      </w:r>
    </w:p>
    <w:p>
      <w:pPr>
        <w:spacing w:after="0" w:line="45"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26" w:lineRule="exact"/>
        <w:rPr>
          <w:sz w:val="24"/>
          <w:szCs w:val="24"/>
          <w:color w:val="auto"/>
        </w:rPr>
      </w:pPr>
    </w:p>
    <w:p>
      <w:pPr>
        <w:ind w:left="33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91" w:lineRule="exact"/>
        <w:rPr>
          <w:sz w:val="24"/>
          <w:szCs w:val="24"/>
          <w:color w:val="auto"/>
        </w:rPr>
      </w:pPr>
    </w:p>
    <w:p>
      <w:pPr>
        <w:ind w:left="280"/>
        <w:spacing w:after="0"/>
        <w:rPr>
          <w:sz w:val="20"/>
          <w:szCs w:val="20"/>
          <w:color w:val="auto"/>
        </w:rPr>
      </w:pPr>
      <w:r>
        <w:rPr>
          <w:rFonts w:ascii="Arial" w:cs="Arial" w:eastAsia="Arial" w:hAnsi="Arial"/>
          <w:sz w:val="18"/>
          <w:szCs w:val="18"/>
          <w:color w:val="auto"/>
        </w:rPr>
        <w:t>Payment of Filing Fee (Check the appropriate box):</w:t>
      </w:r>
    </w:p>
    <w:p>
      <w:pPr>
        <w:spacing w:after="0" w:line="72" w:lineRule="exact"/>
        <w:rPr>
          <w:sz w:val="24"/>
          <w:szCs w:val="24"/>
          <w:color w:val="auto"/>
        </w:rPr>
      </w:pPr>
    </w:p>
    <w:p>
      <w:pPr>
        <w:ind w:left="720" w:hanging="434"/>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86" w:lineRule="exact"/>
        <w:rPr>
          <w:sz w:val="24"/>
          <w:szCs w:val="24"/>
          <w:color w:val="auto"/>
        </w:rPr>
      </w:pPr>
    </w:p>
    <w:p>
      <w:pPr>
        <w:ind w:left="720" w:hanging="434"/>
        <w:spacing w:after="0"/>
        <w:tabs>
          <w:tab w:leader="none" w:pos="7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85" w:lineRule="exact"/>
        <w:rPr>
          <w:rFonts w:ascii="MS PGothic" w:cs="MS PGothic" w:eastAsia="MS PGothic" w:hAnsi="MS PGothic"/>
          <w:sz w:val="18"/>
          <w:szCs w:val="18"/>
          <w:color w:val="auto"/>
        </w:rPr>
      </w:pPr>
    </w:p>
    <w:p>
      <w:pPr>
        <w:ind w:left="1140" w:hanging="428"/>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44" w:lineRule="exact"/>
        <w:rPr>
          <w:rFonts w:ascii="Arial" w:cs="Arial" w:eastAsia="Arial" w:hAnsi="Arial"/>
          <w:sz w:val="18"/>
          <w:szCs w:val="18"/>
          <w:color w:val="auto"/>
        </w:rPr>
      </w:pPr>
    </w:p>
    <w:p>
      <w:pPr>
        <w:ind w:left="1140" w:hanging="428"/>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44" w:lineRule="exact"/>
        <w:rPr>
          <w:rFonts w:ascii="Arial" w:cs="Arial" w:eastAsia="Arial" w:hAnsi="Arial"/>
          <w:sz w:val="18"/>
          <w:szCs w:val="18"/>
          <w:color w:val="auto"/>
        </w:rPr>
      </w:pPr>
    </w:p>
    <w:p>
      <w:pPr>
        <w:ind w:left="1140" w:hanging="428"/>
        <w:spacing w:after="0" w:line="238" w:lineRule="auto"/>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40" w:hanging="428"/>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44" w:lineRule="exact"/>
        <w:rPr>
          <w:rFonts w:ascii="Arial" w:cs="Arial" w:eastAsia="Arial" w:hAnsi="Arial"/>
          <w:sz w:val="18"/>
          <w:szCs w:val="18"/>
          <w:color w:val="auto"/>
        </w:rPr>
      </w:pPr>
    </w:p>
    <w:p>
      <w:pPr>
        <w:ind w:left="1140" w:hanging="428"/>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720" w:hanging="434"/>
        <w:spacing w:after="0"/>
        <w:tabs>
          <w:tab w:leader="none" w:pos="7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85" w:lineRule="exact"/>
        <w:rPr>
          <w:rFonts w:ascii="MS PGothic" w:cs="MS PGothic" w:eastAsia="MS PGothic" w:hAnsi="MS PGothic"/>
          <w:sz w:val="18"/>
          <w:szCs w:val="18"/>
          <w:color w:val="auto"/>
        </w:rPr>
      </w:pPr>
    </w:p>
    <w:p>
      <w:pPr>
        <w:jc w:val="both"/>
        <w:ind w:left="720" w:hanging="434"/>
        <w:spacing w:after="0" w:line="236" w:lineRule="auto"/>
        <w:tabs>
          <w:tab w:leader="none" w:pos="7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7" w:lineRule="exact"/>
        <w:rPr>
          <w:rFonts w:ascii="MS PGothic" w:cs="MS PGothic" w:eastAsia="MS PGothic" w:hAnsi="MS PGothic"/>
          <w:sz w:val="18"/>
          <w:szCs w:val="18"/>
          <w:color w:val="auto"/>
        </w:rPr>
      </w:pPr>
    </w:p>
    <w:p>
      <w:pPr>
        <w:ind w:left="1140" w:hanging="428"/>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44" w:lineRule="exact"/>
        <w:rPr>
          <w:rFonts w:ascii="Arial" w:cs="Arial" w:eastAsia="Arial" w:hAnsi="Arial"/>
          <w:sz w:val="18"/>
          <w:szCs w:val="18"/>
          <w:color w:val="auto"/>
        </w:rPr>
      </w:pPr>
    </w:p>
    <w:p>
      <w:pPr>
        <w:ind w:left="1140" w:hanging="428"/>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44" w:lineRule="exact"/>
        <w:rPr>
          <w:rFonts w:ascii="Arial" w:cs="Arial" w:eastAsia="Arial" w:hAnsi="Arial"/>
          <w:sz w:val="18"/>
          <w:szCs w:val="18"/>
          <w:color w:val="auto"/>
        </w:rPr>
      </w:pPr>
    </w:p>
    <w:p>
      <w:pPr>
        <w:ind w:left="1140" w:hanging="428"/>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44" w:lineRule="exact"/>
        <w:rPr>
          <w:rFonts w:ascii="Arial" w:cs="Arial" w:eastAsia="Arial" w:hAnsi="Arial"/>
          <w:sz w:val="18"/>
          <w:szCs w:val="18"/>
          <w:color w:val="auto"/>
        </w:rPr>
      </w:pPr>
    </w:p>
    <w:p>
      <w:pPr>
        <w:ind w:left="1140" w:hanging="428"/>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730885</wp:posOffset>
            </wp:positionH>
            <wp:positionV relativeFrom="paragraph">
              <wp:posOffset>-3855720</wp:posOffset>
            </wp:positionV>
            <wp:extent cx="63449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44920" cy="8255"/>
                    </a:xfrm>
                    <a:prstGeom prst="rect">
                      <a:avLst/>
                    </a:prstGeom>
                    <a:noFill/>
                  </pic:spPr>
                </pic:pic>
              </a:graphicData>
            </a:graphic>
          </wp:anchor>
        </w:drawing>
        <w:drawing>
          <wp:anchor simplePos="0" relativeHeight="251657728" behindDoc="1" locked="0" layoutInCell="0" allowOverlap="1">
            <wp:simplePos x="0" y="0"/>
            <wp:positionH relativeFrom="column">
              <wp:posOffset>730885</wp:posOffset>
            </wp:positionH>
            <wp:positionV relativeFrom="paragraph">
              <wp:posOffset>-3441700</wp:posOffset>
            </wp:positionV>
            <wp:extent cx="63449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44920" cy="8255"/>
                    </a:xfrm>
                    <a:prstGeom prst="rect">
                      <a:avLst/>
                    </a:prstGeom>
                    <a:noFill/>
                  </pic:spPr>
                </pic:pic>
              </a:graphicData>
            </a:graphic>
          </wp:anchor>
        </w:drawing>
        <w:drawing>
          <wp:anchor simplePos="0" relativeHeight="251657728" behindDoc="1" locked="0" layoutInCell="0" allowOverlap="1">
            <wp:simplePos x="0" y="0"/>
            <wp:positionH relativeFrom="column">
              <wp:posOffset>730885</wp:posOffset>
            </wp:positionH>
            <wp:positionV relativeFrom="paragraph">
              <wp:posOffset>-2901315</wp:posOffset>
            </wp:positionV>
            <wp:extent cx="63449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44920" cy="8255"/>
                    </a:xfrm>
                    <a:prstGeom prst="rect">
                      <a:avLst/>
                    </a:prstGeom>
                    <a:noFill/>
                  </pic:spPr>
                </pic:pic>
              </a:graphicData>
            </a:graphic>
          </wp:anchor>
        </w:drawing>
        <w:drawing>
          <wp:anchor simplePos="0" relativeHeight="251657728" behindDoc="1" locked="0" layoutInCell="0" allowOverlap="1">
            <wp:simplePos x="0" y="0"/>
            <wp:positionH relativeFrom="column">
              <wp:posOffset>730885</wp:posOffset>
            </wp:positionH>
            <wp:positionV relativeFrom="paragraph">
              <wp:posOffset>-2487295</wp:posOffset>
            </wp:positionV>
            <wp:extent cx="63449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44920" cy="8255"/>
                    </a:xfrm>
                    <a:prstGeom prst="rect">
                      <a:avLst/>
                    </a:prstGeom>
                    <a:noFill/>
                  </pic:spPr>
                </pic:pic>
              </a:graphicData>
            </a:graphic>
          </wp:anchor>
        </w:drawing>
        <w:drawing>
          <wp:anchor simplePos="0" relativeHeight="251657728" behindDoc="1" locked="0" layoutInCell="0" allowOverlap="1">
            <wp:simplePos x="0" y="0"/>
            <wp:positionH relativeFrom="column">
              <wp:posOffset>730885</wp:posOffset>
            </wp:positionH>
            <wp:positionV relativeFrom="paragraph">
              <wp:posOffset>-2073275</wp:posOffset>
            </wp:positionV>
            <wp:extent cx="63449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44920" cy="8255"/>
                    </a:xfrm>
                    <a:prstGeom prst="rect">
                      <a:avLst/>
                    </a:prstGeom>
                    <a:noFill/>
                  </pic:spPr>
                </pic:pic>
              </a:graphicData>
            </a:graphic>
          </wp:anchor>
        </w:drawing>
        <w:drawing>
          <wp:anchor simplePos="0" relativeHeight="251657728" behindDoc="1" locked="0" layoutInCell="0" allowOverlap="1">
            <wp:simplePos x="0" y="0"/>
            <wp:positionH relativeFrom="column">
              <wp:posOffset>730885</wp:posOffset>
            </wp:positionH>
            <wp:positionV relativeFrom="paragraph">
              <wp:posOffset>-991870</wp:posOffset>
            </wp:positionV>
            <wp:extent cx="63449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44920" cy="8255"/>
                    </a:xfrm>
                    <a:prstGeom prst="rect">
                      <a:avLst/>
                    </a:prstGeom>
                    <a:noFill/>
                  </pic:spPr>
                </pic:pic>
              </a:graphicData>
            </a:graphic>
          </wp:anchor>
        </w:drawing>
        <w:drawing>
          <wp:anchor simplePos="0" relativeHeight="251657728" behindDoc="1" locked="0" layoutInCell="0" allowOverlap="1">
            <wp:simplePos x="0" y="0"/>
            <wp:positionH relativeFrom="column">
              <wp:posOffset>730885</wp:posOffset>
            </wp:positionH>
            <wp:positionV relativeFrom="paragraph">
              <wp:posOffset>-577850</wp:posOffset>
            </wp:positionV>
            <wp:extent cx="63449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44920" cy="8255"/>
                    </a:xfrm>
                    <a:prstGeom prst="rect">
                      <a:avLst/>
                    </a:prstGeom>
                    <a:noFill/>
                  </pic:spPr>
                </pic:pic>
              </a:graphicData>
            </a:graphic>
          </wp:anchor>
        </w:drawing>
        <w:drawing>
          <wp:anchor simplePos="0" relativeHeight="251657728" behindDoc="1" locked="0" layoutInCell="0" allowOverlap="1">
            <wp:simplePos x="0" y="0"/>
            <wp:positionH relativeFrom="column">
              <wp:posOffset>730885</wp:posOffset>
            </wp:positionH>
            <wp:positionV relativeFrom="paragraph">
              <wp:posOffset>-163830</wp:posOffset>
            </wp:positionV>
            <wp:extent cx="63449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44920" cy="8255"/>
                    </a:xfrm>
                    <a:prstGeom prst="rect">
                      <a:avLst/>
                    </a:prstGeom>
                    <a:noFill/>
                  </pic:spPr>
                </pic:pic>
              </a:graphicData>
            </a:graphic>
          </wp:anchor>
        </w:drawing>
        <w:drawing>
          <wp:anchor simplePos="0" relativeHeight="251657728" behindDoc="1" locked="0" layoutInCell="0" allowOverlap="1">
            <wp:simplePos x="0" y="0"/>
            <wp:positionH relativeFrom="column">
              <wp:posOffset>730885</wp:posOffset>
            </wp:positionH>
            <wp:positionV relativeFrom="paragraph">
              <wp:posOffset>249555</wp:posOffset>
            </wp:positionV>
            <wp:extent cx="63449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44920" cy="8255"/>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384175</wp:posOffset>
            </wp:positionV>
            <wp:extent cx="68935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93560" cy="8255"/>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434975</wp:posOffset>
            </wp:positionV>
            <wp:extent cx="68935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ectPr>
          <w:pgSz w:w="11900" w:h="16838" w:orient="portrait"/>
          <w:cols w:equalWidth="0" w:num="1">
            <w:col w:w="11140"/>
          </w:cols>
          <w:pgMar w:left="240" w:top="228" w:right="519" w:bottom="1440" w:gutter="0" w:footer="0" w:header="0"/>
        </w:sectPr>
      </w:pPr>
    </w:p>
    <w:bookmarkStart w:id="1" w:name="page2"/>
    <w:bookmarkEnd w:id="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222885</wp:posOffset>
            </wp:positionV>
            <wp:extent cx="6843395" cy="87947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43395" cy="8794750"/>
                    </a:xfrm>
                    <a:prstGeom prst="rect">
                      <a:avLst/>
                    </a:prstGeom>
                    <a:noFill/>
                  </pic:spPr>
                </pic:pic>
              </a:graphicData>
            </a:graphic>
          </wp:anchor>
        </w:drawing>
      </w:r>
    </w:p>
    <w:p>
      <w:pPr>
        <w:sectPr>
          <w:pgSz w:w="11900" w:h="16838" w:orient="portrait"/>
          <w:cols w:equalWidth="0" w:num="1">
            <w:col w:w="10219"/>
          </w:cols>
          <w:pgMar w:left="240" w:top="454"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2715895</wp:posOffset>
            </wp:positionH>
            <wp:positionV relativeFrom="paragraph">
              <wp:posOffset>200660</wp:posOffset>
            </wp:positionV>
            <wp:extent cx="1824990" cy="10896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4990" cy="1089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79"/>
        <w:spacing w:after="0"/>
        <w:rPr>
          <w:sz w:val="20"/>
          <w:szCs w:val="20"/>
          <w:color w:val="auto"/>
        </w:rPr>
      </w:pPr>
      <w:r>
        <w:rPr>
          <w:rFonts w:ascii="Arial" w:cs="Arial" w:eastAsia="Arial" w:hAnsi="Arial"/>
          <w:sz w:val="21"/>
          <w:szCs w:val="21"/>
          <w:b w:val="1"/>
          <w:bCs w:val="1"/>
          <w:color w:val="auto"/>
        </w:rPr>
        <w:t>HESS CORPORATION</w:t>
      </w: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27, 2018</w:t>
      </w:r>
    </w:p>
    <w:p>
      <w:pPr>
        <w:spacing w:after="0" w:line="187"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Dear Stockholder:</w:t>
      </w:r>
    </w:p>
    <w:p>
      <w:pPr>
        <w:spacing w:after="0" w:line="117" w:lineRule="exact"/>
        <w:rPr>
          <w:sz w:val="20"/>
          <w:szCs w:val="20"/>
          <w:color w:val="auto"/>
        </w:rPr>
      </w:pPr>
    </w:p>
    <w:p>
      <w:pPr>
        <w:jc w:val="both"/>
        <w:ind w:left="280"/>
        <w:spacing w:after="0" w:line="238" w:lineRule="auto"/>
        <w:rPr>
          <w:sz w:val="20"/>
          <w:szCs w:val="20"/>
          <w:color w:val="auto"/>
        </w:rPr>
      </w:pPr>
      <w:r>
        <w:rPr>
          <w:rFonts w:ascii="Arial" w:cs="Arial" w:eastAsia="Arial" w:hAnsi="Arial"/>
          <w:sz w:val="18"/>
          <w:szCs w:val="18"/>
          <w:color w:val="auto"/>
        </w:rPr>
        <w:t>You are cordially invited to attend our annual meeting of stockholders, which will be held at Hess Corporation, 1501 McKinney Street, Houston, Texas 77010, on Wednesday, June 6, 2018, at 9:00 a.m. local time.</w:t>
      </w:r>
    </w:p>
    <w:p>
      <w:pPr>
        <w:spacing w:after="0" w:line="179" w:lineRule="exact"/>
        <w:rPr>
          <w:sz w:val="20"/>
          <w:szCs w:val="20"/>
          <w:color w:val="auto"/>
        </w:rPr>
      </w:pPr>
    </w:p>
    <w:p>
      <w:pPr>
        <w:jc w:val="both"/>
        <w:ind w:left="280"/>
        <w:spacing w:after="0" w:line="247" w:lineRule="auto"/>
        <w:rPr>
          <w:sz w:val="20"/>
          <w:szCs w:val="20"/>
          <w:color w:val="auto"/>
        </w:rPr>
      </w:pPr>
      <w:r>
        <w:rPr>
          <w:rFonts w:ascii="Arial" w:cs="Arial" w:eastAsia="Arial" w:hAnsi="Arial"/>
          <w:sz w:val="18"/>
          <w:szCs w:val="18"/>
          <w:color w:val="auto"/>
        </w:rPr>
        <w:t>Reflecting on key highlights from 2017</w:t>
      </w:r>
      <w:r>
        <w:rPr>
          <w:rFonts w:ascii="Arial" w:cs="Arial" w:eastAsia="Arial" w:hAnsi="Arial"/>
          <w:sz w:val="18"/>
          <w:szCs w:val="18"/>
          <w:b w:val="1"/>
          <w:bCs w:val="1"/>
          <w:color w:val="auto"/>
        </w:rPr>
        <w:t>, we made substantial progress in executing our strategy</w:t>
      </w:r>
      <w:r>
        <w:rPr>
          <w:rFonts w:ascii="Arial" w:cs="Arial" w:eastAsia="Arial" w:hAnsi="Arial"/>
          <w:sz w:val="18"/>
          <w:szCs w:val="18"/>
          <w:color w:val="auto"/>
        </w:rPr>
        <w:t xml:space="preserve"> to grow our resource base in a capital disciplined manner, to move down the cost curve so we are resilient in a low oil price environment, and to be cash generative at a $50 per barrel Brent oil price post 2020.</w:t>
      </w:r>
    </w:p>
    <w:p>
      <w:pPr>
        <w:spacing w:after="0" w:line="173" w:lineRule="exact"/>
        <w:rPr>
          <w:sz w:val="20"/>
          <w:szCs w:val="20"/>
          <w:color w:val="auto"/>
        </w:rPr>
      </w:pPr>
    </w:p>
    <w:p>
      <w:pPr>
        <w:jc w:val="both"/>
        <w:ind w:left="280"/>
        <w:spacing w:after="0" w:line="239" w:lineRule="auto"/>
        <w:rPr>
          <w:sz w:val="20"/>
          <w:szCs w:val="20"/>
          <w:color w:val="auto"/>
        </w:rPr>
      </w:pPr>
      <w:r>
        <w:rPr>
          <w:rFonts w:ascii="Arial" w:cs="Arial" w:eastAsia="Arial" w:hAnsi="Arial"/>
          <w:sz w:val="18"/>
          <w:szCs w:val="18"/>
          <w:b w:val="1"/>
          <w:bCs w:val="1"/>
          <w:color w:val="auto"/>
        </w:rPr>
        <w:t xml:space="preserve">We high graded and focused our portfolio </w:t>
      </w:r>
      <w:r>
        <w:rPr>
          <w:rFonts w:ascii="Arial" w:cs="Arial" w:eastAsia="Arial" w:hAnsi="Arial"/>
          <w:sz w:val="18"/>
          <w:szCs w:val="18"/>
          <w:color w:val="auto"/>
        </w:rPr>
        <w:t>to deliver significant long-term value to stockholders by investing in lower-cost growth assets</w:t>
      </w:r>
      <w:r>
        <w:rPr>
          <w:rFonts w:ascii="Arial" w:cs="Arial" w:eastAsia="Arial" w:hAnsi="Arial"/>
          <w:sz w:val="18"/>
          <w:szCs w:val="18"/>
          <w:b w:val="1"/>
          <w:bCs w:val="1"/>
          <w:color w:val="auto"/>
        </w:rPr>
        <w:t xml:space="preserve"> </w:t>
      </w:r>
      <w:r>
        <w:rPr>
          <w:rFonts w:ascii="Arial" w:cs="Arial" w:eastAsia="Arial" w:hAnsi="Arial"/>
          <w:sz w:val="18"/>
          <w:szCs w:val="18"/>
          <w:color w:val="auto"/>
        </w:rPr>
        <w:t>and divesting higher-cost mature assets. Our 2017 asset monetizations resulted in total proceeds of $3.4 billion and the release of $1.3 billion of asset retirement obligations. Proceeds from these asset sales will first be used to prefund our investment opportunity in Guyana, where Hess has a 30 percent interest in the Stabroek Block, home to one of the industry’s largest oil discoveries in a decade, and to support our growth in the Bakken, our largest operated asset where we have more than 500,000 net acres in the core of the play.</w:t>
      </w:r>
    </w:p>
    <w:p>
      <w:pPr>
        <w:spacing w:after="0" w:line="180" w:lineRule="exact"/>
        <w:rPr>
          <w:sz w:val="20"/>
          <w:szCs w:val="20"/>
          <w:color w:val="auto"/>
        </w:rPr>
      </w:pPr>
    </w:p>
    <w:p>
      <w:pPr>
        <w:jc w:val="both"/>
        <w:ind w:left="280"/>
        <w:spacing w:after="0" w:line="263" w:lineRule="auto"/>
        <w:rPr>
          <w:sz w:val="20"/>
          <w:szCs w:val="20"/>
          <w:color w:val="auto"/>
        </w:rPr>
      </w:pPr>
      <w:r>
        <w:rPr>
          <w:rFonts w:ascii="Arial" w:cs="Arial" w:eastAsia="Arial" w:hAnsi="Arial"/>
          <w:sz w:val="18"/>
          <w:szCs w:val="18"/>
          <w:color w:val="auto"/>
        </w:rPr>
        <w:t xml:space="preserve">Our high graded portfolio – along with a meaningful $150 million annual cost reduction program – is expected to </w:t>
      </w:r>
      <w:r>
        <w:rPr>
          <w:rFonts w:ascii="Arial" w:cs="Arial" w:eastAsia="Arial" w:hAnsi="Arial"/>
          <w:sz w:val="18"/>
          <w:szCs w:val="18"/>
          <w:b w:val="1"/>
          <w:bCs w:val="1"/>
          <w:color w:val="auto"/>
        </w:rPr>
        <w:t>drive down our cash</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unit production costs significantly </w:t>
      </w:r>
      <w:r>
        <w:rPr>
          <w:rFonts w:ascii="Arial" w:cs="Arial" w:eastAsia="Arial" w:hAnsi="Arial"/>
          <w:sz w:val="18"/>
          <w:szCs w:val="18"/>
          <w:color w:val="auto"/>
        </w:rPr>
        <w:t>by 2020 while delivering capital efficient production growth.</w:t>
      </w:r>
    </w:p>
    <w:p>
      <w:pPr>
        <w:spacing w:after="0" w:line="158" w:lineRule="exact"/>
        <w:rPr>
          <w:sz w:val="20"/>
          <w:szCs w:val="20"/>
          <w:color w:val="auto"/>
        </w:rPr>
      </w:pPr>
    </w:p>
    <w:p>
      <w:pPr>
        <w:jc w:val="both"/>
        <w:ind w:left="280"/>
        <w:spacing w:after="0" w:line="239" w:lineRule="auto"/>
        <w:rPr>
          <w:sz w:val="20"/>
          <w:szCs w:val="20"/>
          <w:color w:val="auto"/>
        </w:rPr>
      </w:pPr>
      <w:r>
        <w:rPr>
          <w:rFonts w:ascii="Arial" w:cs="Arial" w:eastAsia="Arial" w:hAnsi="Arial"/>
          <w:sz w:val="18"/>
          <w:szCs w:val="18"/>
          <w:color w:val="auto"/>
        </w:rPr>
        <w:t xml:space="preserve">Our board values the feedback and insights gained from </w:t>
      </w:r>
      <w:r>
        <w:rPr>
          <w:rFonts w:ascii="Arial" w:cs="Arial" w:eastAsia="Arial" w:hAnsi="Arial"/>
          <w:sz w:val="18"/>
          <w:szCs w:val="18"/>
          <w:b w:val="1"/>
          <w:bCs w:val="1"/>
          <w:color w:val="auto"/>
        </w:rPr>
        <w:t>ongoing engagement with our stockholders</w:t>
      </w:r>
      <w:r>
        <w:rPr>
          <w:rFonts w:ascii="Arial" w:cs="Arial" w:eastAsia="Arial" w:hAnsi="Arial"/>
          <w:sz w:val="18"/>
          <w:szCs w:val="18"/>
          <w:color w:val="auto"/>
        </w:rPr>
        <w:t>. In 2017, in addition to regular discussions with stockholders regarding our financial results, we proactively engaged with stockholders representing approximately 70 percent of shares outstanding on matters relating to our strategy, corporate governance, executive compensation and sustainability. We participated as independent chairman and CEO along with other members of management and communicated the feedback received during these discussions to the full board.</w:t>
      </w:r>
    </w:p>
    <w:p>
      <w:pPr>
        <w:spacing w:after="0" w:line="180" w:lineRule="exact"/>
        <w:rPr>
          <w:sz w:val="20"/>
          <w:szCs w:val="20"/>
          <w:color w:val="auto"/>
        </w:rPr>
      </w:pPr>
    </w:p>
    <w:p>
      <w:pPr>
        <w:jc w:val="both"/>
        <w:ind w:left="280"/>
        <w:spacing w:after="0" w:line="242" w:lineRule="auto"/>
        <w:rPr>
          <w:sz w:val="20"/>
          <w:szCs w:val="20"/>
          <w:color w:val="auto"/>
        </w:rPr>
      </w:pPr>
      <w:r>
        <w:rPr>
          <w:rFonts w:ascii="Arial" w:cs="Arial" w:eastAsia="Arial" w:hAnsi="Arial"/>
          <w:sz w:val="18"/>
          <w:szCs w:val="18"/>
          <w:b w:val="1"/>
          <w:bCs w:val="1"/>
          <w:color w:val="auto"/>
        </w:rPr>
        <w:t xml:space="preserve">Sustainability is a strategic priority at Hess. </w:t>
      </w:r>
      <w:r>
        <w:rPr>
          <w:rFonts w:ascii="Arial" w:cs="Arial" w:eastAsia="Arial" w:hAnsi="Arial"/>
          <w:sz w:val="18"/>
          <w:szCs w:val="18"/>
          <w:color w:val="auto"/>
        </w:rPr>
        <w:t>Our company is committed to helping meet the world’s growing energy needs in a safe,</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environmentally responsible, socially sensitive and profitable way, which is reflected in executive compensation metrics set by our board. We are proud to have been recognized once again in 2017 by a number of third-party organizations for the quality of our environmental, social and governance performance and disclosure.</w:t>
      </w:r>
    </w:p>
    <w:p>
      <w:pPr>
        <w:spacing w:after="0" w:line="176" w:lineRule="exact"/>
        <w:rPr>
          <w:sz w:val="20"/>
          <w:szCs w:val="20"/>
          <w:color w:val="auto"/>
        </w:rPr>
      </w:pPr>
    </w:p>
    <w:p>
      <w:pPr>
        <w:jc w:val="both"/>
        <w:ind w:left="280"/>
        <w:spacing w:after="0" w:line="268" w:lineRule="auto"/>
        <w:rPr>
          <w:sz w:val="20"/>
          <w:szCs w:val="20"/>
          <w:color w:val="auto"/>
        </w:rPr>
      </w:pPr>
      <w:r>
        <w:rPr>
          <w:rFonts w:ascii="Arial" w:cs="Arial" w:eastAsia="Arial" w:hAnsi="Arial"/>
          <w:sz w:val="17"/>
          <w:szCs w:val="17"/>
          <w:b w:val="1"/>
          <w:bCs w:val="1"/>
          <w:color w:val="auto"/>
        </w:rPr>
        <w:t xml:space="preserve">We are excited about the future </w:t>
      </w:r>
      <w:r>
        <w:rPr>
          <w:rFonts w:ascii="Arial" w:cs="Arial" w:eastAsia="Arial" w:hAnsi="Arial"/>
          <w:sz w:val="17"/>
          <w:szCs w:val="17"/>
          <w:color w:val="auto"/>
        </w:rPr>
        <w:t>and look forward to sharing more about our company at our annual meeting. In addition to the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to be transacted and described in the accompanying Notice of Annual Meeting of Stockholders and proxy statement, we will discuss recent developments in our strategy to deliver significant value for our stockholders and respond to your comments and questions.</w:t>
      </w:r>
    </w:p>
    <w:p>
      <w:pPr>
        <w:spacing w:after="0" w:line="179" w:lineRule="exact"/>
        <w:rPr>
          <w:sz w:val="20"/>
          <w:szCs w:val="20"/>
          <w:color w:val="auto"/>
        </w:rPr>
      </w:pPr>
    </w:p>
    <w:p>
      <w:pPr>
        <w:jc w:val="both"/>
        <w:ind w:left="280"/>
        <w:spacing w:after="0" w:line="238" w:lineRule="auto"/>
        <w:rPr>
          <w:sz w:val="20"/>
          <w:szCs w:val="20"/>
          <w:color w:val="auto"/>
        </w:rPr>
      </w:pPr>
      <w:r>
        <w:rPr>
          <w:rFonts w:ascii="Arial" w:cs="Arial" w:eastAsia="Arial" w:hAnsi="Arial"/>
          <w:sz w:val="18"/>
          <w:szCs w:val="18"/>
          <w:color w:val="auto"/>
        </w:rPr>
        <w:t>On behalf of the board of directors, we thank you for your participation and investment in Hess Corporation. We look forward to seeing you on June 6.</w:t>
      </w:r>
    </w:p>
    <w:p>
      <w:pPr>
        <w:spacing w:after="0" w:line="183" w:lineRule="exact"/>
        <w:rPr>
          <w:sz w:val="20"/>
          <w:szCs w:val="20"/>
          <w:color w:val="auto"/>
        </w:rPr>
      </w:pPr>
    </w:p>
    <w:p>
      <w:pPr>
        <w:jc w:val="center"/>
        <w:ind w:right="-279"/>
        <w:spacing w:after="0"/>
        <w:rPr>
          <w:sz w:val="20"/>
          <w:szCs w:val="20"/>
          <w:color w:val="auto"/>
        </w:rPr>
      </w:pPr>
      <w:r>
        <w:rPr>
          <w:rFonts w:ascii="Arial" w:cs="Arial" w:eastAsia="Arial" w:hAnsi="Arial"/>
          <w:sz w:val="18"/>
          <w:szCs w:val="18"/>
          <w:i w:val="1"/>
          <w:iCs w:val="1"/>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1363980</wp:posOffset>
            </wp:positionH>
            <wp:positionV relativeFrom="paragraph">
              <wp:posOffset>159385</wp:posOffset>
            </wp:positionV>
            <wp:extent cx="1157605" cy="5575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57605" cy="557530"/>
                    </a:xfrm>
                    <a:prstGeom prst="rect">
                      <a:avLst/>
                    </a:prstGeom>
                    <a:noFill/>
                  </pic:spPr>
                </pic:pic>
              </a:graphicData>
            </a:graphic>
          </wp:anchor>
        </w:drawing>
        <w:drawing>
          <wp:anchor simplePos="0" relativeHeight="251657728" behindDoc="1" locked="0" layoutInCell="0" allowOverlap="1">
            <wp:simplePos x="0" y="0"/>
            <wp:positionH relativeFrom="column">
              <wp:posOffset>4878705</wp:posOffset>
            </wp:positionH>
            <wp:positionV relativeFrom="paragraph">
              <wp:posOffset>159385</wp:posOffset>
            </wp:positionV>
            <wp:extent cx="1157605" cy="5067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57605" cy="506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2100" w:type="dxa"/>
        <w:tblCellMar>
          <w:top w:w="0" w:type="dxa"/>
          <w:left w:w="0" w:type="dxa"/>
          <w:bottom w:w="0" w:type="dxa"/>
          <w:right w:w="0" w:type="dxa"/>
        </w:tblCellMar>
      </w:tblPr>
      <w:tr>
        <w:trPr>
          <w:trHeight w:val="230"/>
        </w:trPr>
        <w:tc>
          <w:tcPr>
            <w:tcW w:w="3760" w:type="dxa"/>
            <w:vAlign w:val="bottom"/>
            <w:vMerge w:val="restart"/>
          </w:tcPr>
          <w:p>
            <w:pPr>
              <w:jc w:val="center"/>
              <w:ind w:right="1751"/>
              <w:spacing w:after="0"/>
              <w:rPr>
                <w:sz w:val="20"/>
                <w:szCs w:val="20"/>
                <w:color w:val="auto"/>
              </w:rPr>
            </w:pPr>
            <w:r>
              <w:rPr>
                <w:rFonts w:ascii="Arial" w:cs="Arial" w:eastAsia="Arial" w:hAnsi="Arial"/>
                <w:sz w:val="18"/>
                <w:szCs w:val="18"/>
                <w:i w:val="1"/>
                <w:iCs w:val="1"/>
                <w:color w:val="auto"/>
                <w:w w:val="98"/>
              </w:rPr>
              <w:t>Independent Chairman</w:t>
            </w:r>
          </w:p>
        </w:tc>
        <w:tc>
          <w:tcPr>
            <w:tcW w:w="3640" w:type="dxa"/>
            <w:vAlign w:val="bottom"/>
          </w:tcPr>
          <w:p>
            <w:pPr>
              <w:ind w:left="1840"/>
              <w:spacing w:after="0"/>
              <w:rPr>
                <w:sz w:val="20"/>
                <w:szCs w:val="20"/>
                <w:color w:val="auto"/>
              </w:rPr>
            </w:pPr>
            <w:r>
              <w:rPr>
                <w:rFonts w:ascii="Arial" w:cs="Arial" w:eastAsia="Arial" w:hAnsi="Arial"/>
                <w:sz w:val="18"/>
                <w:szCs w:val="18"/>
                <w:i w:val="1"/>
                <w:iCs w:val="1"/>
                <w:color w:val="auto"/>
                <w:w w:val="97"/>
              </w:rPr>
              <w:t>Chief Executive Officer</w:t>
            </w:r>
          </w:p>
        </w:tc>
        <w:tc>
          <w:tcPr>
            <w:tcW w:w="0" w:type="dxa"/>
            <w:vAlign w:val="bottom"/>
          </w:tcPr>
          <w:p>
            <w:pPr>
              <w:spacing w:after="0"/>
              <w:rPr>
                <w:sz w:val="1"/>
                <w:szCs w:val="1"/>
                <w:color w:val="auto"/>
              </w:rPr>
            </w:pPr>
          </w:p>
        </w:tc>
      </w:tr>
      <w:tr>
        <w:trPr>
          <w:trHeight w:val="49"/>
        </w:trPr>
        <w:tc>
          <w:tcPr>
            <w:tcW w:w="3760" w:type="dxa"/>
            <w:vAlign w:val="bottom"/>
            <w:vMerge w:val="continue"/>
          </w:tcPr>
          <w:p>
            <w:pPr>
              <w:spacing w:after="0"/>
              <w:rPr>
                <w:sz w:val="4"/>
                <w:szCs w:val="4"/>
                <w:color w:val="auto"/>
              </w:rPr>
            </w:pPr>
          </w:p>
        </w:tc>
        <w:tc>
          <w:tcPr>
            <w:tcW w:w="3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760" w:type="dxa"/>
            <w:vAlign w:val="bottom"/>
          </w:tcPr>
          <w:p>
            <w:pPr>
              <w:jc w:val="center"/>
              <w:ind w:right="1751"/>
              <w:spacing w:after="0"/>
              <w:rPr>
                <w:sz w:val="20"/>
                <w:szCs w:val="20"/>
                <w:color w:val="auto"/>
              </w:rPr>
            </w:pPr>
            <w:r>
              <w:rPr>
                <w:rFonts w:ascii="Arial" w:cs="Arial" w:eastAsia="Arial" w:hAnsi="Arial"/>
                <w:sz w:val="18"/>
                <w:szCs w:val="18"/>
                <w:i w:val="1"/>
                <w:iCs w:val="1"/>
                <w:color w:val="auto"/>
                <w:w w:val="98"/>
              </w:rPr>
              <w:t>of the Board of Directors</w:t>
            </w:r>
          </w:p>
        </w:tc>
        <w:tc>
          <w:tcPr>
            <w:tcW w:w="3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54" w:right="5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80"/>
        <w:spacing w:after="0"/>
        <w:rPr>
          <w:sz w:val="20"/>
          <w:szCs w:val="20"/>
          <w:color w:val="auto"/>
        </w:rPr>
      </w:pPr>
      <w:r>
        <w:rPr>
          <w:rFonts w:ascii="Arial" w:cs="Arial" w:eastAsia="Arial" w:hAnsi="Arial"/>
          <w:sz w:val="38"/>
          <w:szCs w:val="38"/>
          <w:color w:val="007549"/>
        </w:rPr>
        <w:t>TABLE OF CONTENTS</w:t>
      </w:r>
    </w:p>
    <w:p>
      <w:pPr>
        <w:sectPr>
          <w:pgSz w:w="11900" w:h="16838" w:orient="portrait"/>
          <w:cols w:equalWidth="0" w:num="1">
            <w:col w:w="11140"/>
          </w:cols>
          <w:pgMar w:left="240" w:top="454" w:right="519" w:bottom="1440" w:gutter="0" w:footer="0" w:header="0"/>
        </w:sectPr>
      </w:pPr>
    </w:p>
    <w:p>
      <w:pPr>
        <w:spacing w:after="0" w:line="315" w:lineRule="exact"/>
        <w:rPr>
          <w:sz w:val="20"/>
          <w:szCs w:val="20"/>
          <w:color w:val="auto"/>
        </w:rPr>
      </w:pPr>
    </w:p>
    <w:tbl>
      <w:tblPr>
        <w:tblLayout w:type="fixed"/>
        <w:tblInd w:w="28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4660" w:type="dxa"/>
            <w:vAlign w:val="bottom"/>
            <w:gridSpan w:val="22"/>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NOTICE OF ANNUAL MEETING OF STOCKHOLDERS</w:t>
              </w:r>
            </w:hyperlink>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0"/>
        </w:trPr>
        <w:tc>
          <w:tcPr>
            <w:tcW w:w="20" w:type="dxa"/>
            <w:vAlign w:val="bottom"/>
            <w:tcBorders>
              <w:bottom w:val="single" w:sz="8" w:color="007549"/>
            </w:tcBorders>
          </w:tcPr>
          <w:p>
            <w:pPr>
              <w:spacing w:after="0" w:line="20" w:lineRule="exact"/>
              <w:rPr>
                <w:sz w:val="1"/>
                <w:szCs w:val="1"/>
                <w:color w:val="auto"/>
              </w:rPr>
            </w:pPr>
          </w:p>
        </w:tc>
        <w:tc>
          <w:tcPr>
            <w:tcW w:w="100" w:type="dxa"/>
            <w:vAlign w:val="bottom"/>
            <w:tcBorders>
              <w:top w:val="single" w:sz="8" w:color="0000EE"/>
              <w:bottom w:val="single" w:sz="8" w:color="007549"/>
            </w:tcBorders>
          </w:tcPr>
          <w:p>
            <w:pPr>
              <w:spacing w:after="0" w:line="20" w:lineRule="exact"/>
              <w:rPr>
                <w:sz w:val="1"/>
                <w:szCs w:val="1"/>
                <w:color w:val="auto"/>
              </w:rPr>
            </w:pPr>
          </w:p>
        </w:tc>
        <w:tc>
          <w:tcPr>
            <w:tcW w:w="860" w:type="dxa"/>
            <w:vAlign w:val="bottom"/>
            <w:tcBorders>
              <w:top w:val="single" w:sz="8" w:color="0000EE"/>
              <w:bottom w:val="single" w:sz="8" w:color="007549"/>
            </w:tcBorders>
          </w:tcPr>
          <w:p>
            <w:pPr>
              <w:spacing w:after="0" w:line="20" w:lineRule="exact"/>
              <w:rPr>
                <w:sz w:val="1"/>
                <w:szCs w:val="1"/>
                <w:color w:val="auto"/>
              </w:rPr>
            </w:pPr>
          </w:p>
        </w:tc>
        <w:tc>
          <w:tcPr>
            <w:tcW w:w="100" w:type="dxa"/>
            <w:vAlign w:val="bottom"/>
            <w:tcBorders>
              <w:top w:val="single" w:sz="8" w:color="0000EE"/>
              <w:bottom w:val="single" w:sz="8" w:color="007549"/>
            </w:tcBorders>
          </w:tcPr>
          <w:p>
            <w:pPr>
              <w:spacing w:after="0" w:line="20" w:lineRule="exact"/>
              <w:rPr>
                <w:sz w:val="1"/>
                <w:szCs w:val="1"/>
                <w:color w:val="auto"/>
              </w:rPr>
            </w:pPr>
          </w:p>
        </w:tc>
        <w:tc>
          <w:tcPr>
            <w:tcW w:w="160" w:type="dxa"/>
            <w:vAlign w:val="bottom"/>
            <w:tcBorders>
              <w:top w:val="single" w:sz="8" w:color="0000EE"/>
              <w:bottom w:val="single" w:sz="8" w:color="007549"/>
            </w:tcBorders>
          </w:tcPr>
          <w:p>
            <w:pPr>
              <w:spacing w:after="0" w:line="20" w:lineRule="exact"/>
              <w:rPr>
                <w:sz w:val="1"/>
                <w:szCs w:val="1"/>
                <w:color w:val="auto"/>
              </w:rPr>
            </w:pPr>
          </w:p>
        </w:tc>
        <w:tc>
          <w:tcPr>
            <w:tcW w:w="100" w:type="dxa"/>
            <w:vAlign w:val="bottom"/>
            <w:tcBorders>
              <w:top w:val="single" w:sz="8" w:color="0000EE"/>
              <w:bottom w:val="single" w:sz="8" w:color="007549"/>
            </w:tcBorders>
          </w:tcPr>
          <w:p>
            <w:pPr>
              <w:spacing w:after="0" w:line="20" w:lineRule="exact"/>
              <w:rPr>
                <w:sz w:val="1"/>
                <w:szCs w:val="1"/>
                <w:color w:val="auto"/>
              </w:rPr>
            </w:pPr>
          </w:p>
        </w:tc>
        <w:tc>
          <w:tcPr>
            <w:tcW w:w="100" w:type="dxa"/>
            <w:vAlign w:val="bottom"/>
            <w:tcBorders>
              <w:top w:val="single" w:sz="8" w:color="0000EE"/>
              <w:bottom w:val="single" w:sz="8" w:color="007549"/>
            </w:tcBorders>
          </w:tcPr>
          <w:p>
            <w:pPr>
              <w:spacing w:after="0" w:line="20" w:lineRule="exact"/>
              <w:rPr>
                <w:sz w:val="1"/>
                <w:szCs w:val="1"/>
                <w:color w:val="auto"/>
              </w:rPr>
            </w:pPr>
          </w:p>
        </w:tc>
        <w:tc>
          <w:tcPr>
            <w:tcW w:w="60" w:type="dxa"/>
            <w:vAlign w:val="bottom"/>
            <w:tcBorders>
              <w:top w:val="single" w:sz="8" w:color="0000EE"/>
              <w:bottom w:val="single" w:sz="8" w:color="007549"/>
            </w:tcBorders>
          </w:tcPr>
          <w:p>
            <w:pPr>
              <w:spacing w:after="0" w:line="20" w:lineRule="exact"/>
              <w:rPr>
                <w:sz w:val="1"/>
                <w:szCs w:val="1"/>
                <w:color w:val="auto"/>
              </w:rPr>
            </w:pPr>
          </w:p>
        </w:tc>
        <w:tc>
          <w:tcPr>
            <w:tcW w:w="60" w:type="dxa"/>
            <w:vAlign w:val="bottom"/>
            <w:tcBorders>
              <w:top w:val="single" w:sz="8" w:color="0000EE"/>
              <w:bottom w:val="single" w:sz="8" w:color="007549"/>
            </w:tcBorders>
          </w:tcPr>
          <w:p>
            <w:pPr>
              <w:spacing w:after="0" w:line="20" w:lineRule="exact"/>
              <w:rPr>
                <w:sz w:val="1"/>
                <w:szCs w:val="1"/>
                <w:color w:val="auto"/>
              </w:rPr>
            </w:pPr>
          </w:p>
        </w:tc>
        <w:tc>
          <w:tcPr>
            <w:tcW w:w="80" w:type="dxa"/>
            <w:vAlign w:val="bottom"/>
            <w:tcBorders>
              <w:top w:val="single" w:sz="8" w:color="0000EE"/>
              <w:bottom w:val="single" w:sz="8" w:color="007549"/>
            </w:tcBorders>
          </w:tcPr>
          <w:p>
            <w:pPr>
              <w:spacing w:after="0" w:line="20" w:lineRule="exact"/>
              <w:rPr>
                <w:sz w:val="1"/>
                <w:szCs w:val="1"/>
                <w:color w:val="auto"/>
              </w:rPr>
            </w:pPr>
          </w:p>
        </w:tc>
        <w:tc>
          <w:tcPr>
            <w:tcW w:w="140" w:type="dxa"/>
            <w:vAlign w:val="bottom"/>
            <w:tcBorders>
              <w:top w:val="single" w:sz="8" w:color="0000EE"/>
              <w:bottom w:val="single" w:sz="8" w:color="007549"/>
            </w:tcBorders>
          </w:tcPr>
          <w:p>
            <w:pPr>
              <w:spacing w:after="0" w:line="20" w:lineRule="exact"/>
              <w:rPr>
                <w:sz w:val="1"/>
                <w:szCs w:val="1"/>
                <w:color w:val="auto"/>
              </w:rPr>
            </w:pPr>
          </w:p>
        </w:tc>
        <w:tc>
          <w:tcPr>
            <w:tcW w:w="120" w:type="dxa"/>
            <w:vAlign w:val="bottom"/>
            <w:tcBorders>
              <w:top w:val="single" w:sz="8" w:color="0000EE"/>
              <w:bottom w:val="single" w:sz="8" w:color="007549"/>
            </w:tcBorders>
          </w:tcPr>
          <w:p>
            <w:pPr>
              <w:spacing w:after="0" w:line="20" w:lineRule="exact"/>
              <w:rPr>
                <w:sz w:val="1"/>
                <w:szCs w:val="1"/>
                <w:color w:val="auto"/>
              </w:rPr>
            </w:pPr>
          </w:p>
        </w:tc>
        <w:tc>
          <w:tcPr>
            <w:tcW w:w="220" w:type="dxa"/>
            <w:vAlign w:val="bottom"/>
            <w:tcBorders>
              <w:top w:val="single" w:sz="8" w:color="0000EE"/>
              <w:bottom w:val="single" w:sz="8" w:color="007549"/>
            </w:tcBorders>
          </w:tcPr>
          <w:p>
            <w:pPr>
              <w:spacing w:after="0" w:line="20" w:lineRule="exact"/>
              <w:rPr>
                <w:sz w:val="1"/>
                <w:szCs w:val="1"/>
                <w:color w:val="auto"/>
              </w:rPr>
            </w:pPr>
          </w:p>
        </w:tc>
        <w:tc>
          <w:tcPr>
            <w:tcW w:w="260" w:type="dxa"/>
            <w:vAlign w:val="bottom"/>
            <w:tcBorders>
              <w:top w:val="single" w:sz="8" w:color="0000EE"/>
              <w:bottom w:val="single" w:sz="8" w:color="007549"/>
            </w:tcBorders>
          </w:tcPr>
          <w:p>
            <w:pPr>
              <w:spacing w:after="0" w:line="20" w:lineRule="exact"/>
              <w:rPr>
                <w:sz w:val="1"/>
                <w:szCs w:val="1"/>
                <w:color w:val="auto"/>
              </w:rPr>
            </w:pPr>
          </w:p>
        </w:tc>
        <w:tc>
          <w:tcPr>
            <w:tcW w:w="180" w:type="dxa"/>
            <w:vAlign w:val="bottom"/>
            <w:tcBorders>
              <w:top w:val="single" w:sz="8" w:color="0000EE"/>
              <w:bottom w:val="single" w:sz="8" w:color="007549"/>
            </w:tcBorders>
          </w:tcPr>
          <w:p>
            <w:pPr>
              <w:spacing w:after="0" w:line="20" w:lineRule="exact"/>
              <w:rPr>
                <w:sz w:val="1"/>
                <w:szCs w:val="1"/>
                <w:color w:val="auto"/>
              </w:rPr>
            </w:pPr>
          </w:p>
        </w:tc>
        <w:tc>
          <w:tcPr>
            <w:tcW w:w="700" w:type="dxa"/>
            <w:vAlign w:val="bottom"/>
            <w:tcBorders>
              <w:top w:val="single" w:sz="8" w:color="0000EE"/>
              <w:bottom w:val="single" w:sz="8" w:color="007549"/>
            </w:tcBorders>
          </w:tcPr>
          <w:p>
            <w:pPr>
              <w:spacing w:after="0" w:line="20" w:lineRule="exact"/>
              <w:rPr>
                <w:sz w:val="1"/>
                <w:szCs w:val="1"/>
                <w:color w:val="auto"/>
              </w:rPr>
            </w:pPr>
          </w:p>
        </w:tc>
        <w:tc>
          <w:tcPr>
            <w:tcW w:w="180" w:type="dxa"/>
            <w:vAlign w:val="bottom"/>
            <w:tcBorders>
              <w:top w:val="single" w:sz="8" w:color="0000EE"/>
              <w:bottom w:val="single" w:sz="8" w:color="007549"/>
            </w:tcBorders>
          </w:tcPr>
          <w:p>
            <w:pPr>
              <w:spacing w:after="0" w:line="20" w:lineRule="exact"/>
              <w:rPr>
                <w:sz w:val="1"/>
                <w:szCs w:val="1"/>
                <w:color w:val="auto"/>
              </w:rPr>
            </w:pPr>
          </w:p>
        </w:tc>
        <w:tc>
          <w:tcPr>
            <w:tcW w:w="160" w:type="dxa"/>
            <w:vAlign w:val="bottom"/>
            <w:tcBorders>
              <w:top w:val="single" w:sz="8" w:color="0000EE"/>
              <w:bottom w:val="single" w:sz="8" w:color="007549"/>
            </w:tcBorders>
          </w:tcPr>
          <w:p>
            <w:pPr>
              <w:spacing w:after="0" w:line="20" w:lineRule="exact"/>
              <w:rPr>
                <w:sz w:val="1"/>
                <w:szCs w:val="1"/>
                <w:color w:val="auto"/>
              </w:rPr>
            </w:pPr>
          </w:p>
        </w:tc>
        <w:tc>
          <w:tcPr>
            <w:tcW w:w="140" w:type="dxa"/>
            <w:vAlign w:val="bottom"/>
            <w:tcBorders>
              <w:top w:val="single" w:sz="8" w:color="0000EE"/>
              <w:bottom w:val="single" w:sz="8" w:color="007549"/>
            </w:tcBorders>
          </w:tcPr>
          <w:p>
            <w:pPr>
              <w:spacing w:after="0" w:line="20" w:lineRule="exact"/>
              <w:rPr>
                <w:sz w:val="1"/>
                <w:szCs w:val="1"/>
                <w:color w:val="auto"/>
              </w:rPr>
            </w:pPr>
          </w:p>
        </w:tc>
        <w:tc>
          <w:tcPr>
            <w:tcW w:w="240" w:type="dxa"/>
            <w:vAlign w:val="bottom"/>
            <w:tcBorders>
              <w:top w:val="single" w:sz="8" w:color="0000EE"/>
              <w:bottom w:val="single" w:sz="8" w:color="007549"/>
            </w:tcBorders>
          </w:tcPr>
          <w:p>
            <w:pPr>
              <w:spacing w:after="0" w:line="20" w:lineRule="exact"/>
              <w:rPr>
                <w:sz w:val="1"/>
                <w:szCs w:val="1"/>
                <w:color w:val="auto"/>
              </w:rPr>
            </w:pPr>
          </w:p>
        </w:tc>
        <w:tc>
          <w:tcPr>
            <w:tcW w:w="180" w:type="dxa"/>
            <w:vAlign w:val="bottom"/>
            <w:tcBorders>
              <w:top w:val="single" w:sz="8" w:color="0000EE"/>
              <w:bottom w:val="single" w:sz="8" w:color="007549"/>
            </w:tcBorders>
          </w:tcPr>
          <w:p>
            <w:pPr>
              <w:spacing w:after="0" w:line="20" w:lineRule="exact"/>
              <w:rPr>
                <w:sz w:val="1"/>
                <w:szCs w:val="1"/>
                <w:color w:val="auto"/>
              </w:rPr>
            </w:pPr>
          </w:p>
        </w:tc>
        <w:tc>
          <w:tcPr>
            <w:tcW w:w="300" w:type="dxa"/>
            <w:vAlign w:val="bottom"/>
            <w:tcBorders>
              <w:top w:val="single" w:sz="8" w:color="0000EE"/>
              <w:bottom w:val="single" w:sz="8" w:color="007549"/>
            </w:tcBorders>
          </w:tcPr>
          <w:p>
            <w:pPr>
              <w:spacing w:after="0" w:line="20" w:lineRule="exact"/>
              <w:rPr>
                <w:sz w:val="1"/>
                <w:szCs w:val="1"/>
                <w:color w:val="auto"/>
              </w:rPr>
            </w:pPr>
          </w:p>
        </w:tc>
        <w:tc>
          <w:tcPr>
            <w:tcW w:w="220" w:type="dxa"/>
            <w:vAlign w:val="bottom"/>
            <w:tcBorders>
              <w:bottom w:val="single" w:sz="8" w:color="007549"/>
            </w:tcBorders>
          </w:tcPr>
          <w:p>
            <w:pPr>
              <w:spacing w:after="0" w:line="20" w:lineRule="exact"/>
              <w:rPr>
                <w:sz w:val="1"/>
                <w:szCs w:val="1"/>
                <w:color w:val="auto"/>
              </w:rPr>
            </w:pPr>
          </w:p>
        </w:tc>
        <w:tc>
          <w:tcPr>
            <w:tcW w:w="200" w:type="dxa"/>
            <w:vAlign w:val="bottom"/>
            <w:tcBorders>
              <w:bottom w:val="single" w:sz="8" w:color="007549"/>
            </w:tcBorders>
          </w:tcPr>
          <w:p>
            <w:pPr>
              <w:spacing w:after="0" w:line="20" w:lineRule="exact"/>
              <w:rPr>
                <w:sz w:val="1"/>
                <w:szCs w:val="1"/>
                <w:color w:val="auto"/>
              </w:rPr>
            </w:pPr>
          </w:p>
        </w:tc>
        <w:tc>
          <w:tcPr>
            <w:tcW w:w="40" w:type="dxa"/>
            <w:vAlign w:val="bottom"/>
            <w:tcBorders>
              <w:bottom w:val="single" w:sz="8" w:color="007549"/>
            </w:tcBorders>
          </w:tcPr>
          <w:p>
            <w:pPr>
              <w:spacing w:after="0" w:line="20" w:lineRule="exact"/>
              <w:rPr>
                <w:sz w:val="1"/>
                <w:szCs w:val="1"/>
                <w:color w:val="auto"/>
              </w:rPr>
            </w:pPr>
          </w:p>
        </w:tc>
        <w:tc>
          <w:tcPr>
            <w:tcW w:w="200" w:type="dxa"/>
            <w:vAlign w:val="bottom"/>
            <w:tcBorders>
              <w:bottom w:val="single" w:sz="8" w:color="007549"/>
            </w:tcBorders>
          </w:tcPr>
          <w:p>
            <w:pPr>
              <w:spacing w:after="0" w:line="20" w:lineRule="exact"/>
              <w:rPr>
                <w:sz w:val="1"/>
                <w:szCs w:val="1"/>
                <w:color w:val="auto"/>
              </w:rPr>
            </w:pPr>
          </w:p>
        </w:tc>
        <w:tc>
          <w:tcPr>
            <w:tcW w:w="80" w:type="dxa"/>
            <w:vAlign w:val="bottom"/>
            <w:tcBorders>
              <w:bottom w:val="single" w:sz="8" w:color="0075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20" w:type="dxa"/>
            <w:vAlign w:val="bottom"/>
          </w:tcPr>
          <w:p>
            <w:pPr>
              <w:spacing w:after="0"/>
              <w:rPr>
                <w:sz w:val="22"/>
                <w:szCs w:val="22"/>
                <w:color w:val="auto"/>
              </w:rPr>
            </w:pPr>
          </w:p>
        </w:tc>
        <w:tc>
          <w:tcPr>
            <w:tcW w:w="4660" w:type="dxa"/>
            <w:vAlign w:val="bottom"/>
            <w:gridSpan w:val="22"/>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PROXY SUMMARY</w:t>
              </w:r>
            </w:hyperlink>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20"/>
        </w:trPr>
        <w:tc>
          <w:tcPr>
            <w:tcW w:w="20" w:type="dxa"/>
            <w:vAlign w:val="bottom"/>
            <w:tcBorders>
              <w:bottom w:val="single" w:sz="8" w:color="007549"/>
            </w:tcBorders>
          </w:tcPr>
          <w:p>
            <w:pPr>
              <w:spacing w:after="0" w:line="20" w:lineRule="exact"/>
              <w:rPr>
                <w:sz w:val="1"/>
                <w:szCs w:val="1"/>
                <w:color w:val="auto"/>
              </w:rPr>
            </w:pPr>
          </w:p>
        </w:tc>
        <w:tc>
          <w:tcPr>
            <w:tcW w:w="100" w:type="dxa"/>
            <w:vAlign w:val="bottom"/>
            <w:tcBorders>
              <w:top w:val="single" w:sz="8" w:color="0000EE"/>
              <w:bottom w:val="single" w:sz="8" w:color="007549"/>
            </w:tcBorders>
          </w:tcPr>
          <w:p>
            <w:pPr>
              <w:spacing w:after="0" w:line="20" w:lineRule="exact"/>
              <w:rPr>
                <w:sz w:val="1"/>
                <w:szCs w:val="1"/>
                <w:color w:val="auto"/>
              </w:rPr>
            </w:pPr>
          </w:p>
        </w:tc>
        <w:tc>
          <w:tcPr>
            <w:tcW w:w="860" w:type="dxa"/>
            <w:vAlign w:val="bottom"/>
            <w:tcBorders>
              <w:top w:val="single" w:sz="8" w:color="0000EE"/>
              <w:bottom w:val="single" w:sz="8" w:color="007549"/>
            </w:tcBorders>
          </w:tcPr>
          <w:p>
            <w:pPr>
              <w:spacing w:after="0" w:line="20" w:lineRule="exact"/>
              <w:rPr>
                <w:sz w:val="1"/>
                <w:szCs w:val="1"/>
                <w:color w:val="auto"/>
              </w:rPr>
            </w:pPr>
          </w:p>
        </w:tc>
        <w:tc>
          <w:tcPr>
            <w:tcW w:w="100" w:type="dxa"/>
            <w:vAlign w:val="bottom"/>
            <w:tcBorders>
              <w:top w:val="single" w:sz="8" w:color="0000EE"/>
              <w:bottom w:val="single" w:sz="8" w:color="007549"/>
            </w:tcBorders>
          </w:tcPr>
          <w:p>
            <w:pPr>
              <w:spacing w:after="0" w:line="20" w:lineRule="exact"/>
              <w:rPr>
                <w:sz w:val="1"/>
                <w:szCs w:val="1"/>
                <w:color w:val="auto"/>
              </w:rPr>
            </w:pPr>
          </w:p>
        </w:tc>
        <w:tc>
          <w:tcPr>
            <w:tcW w:w="160" w:type="dxa"/>
            <w:vAlign w:val="bottom"/>
            <w:tcBorders>
              <w:top w:val="single" w:sz="8" w:color="0000EE"/>
              <w:bottom w:val="single" w:sz="8" w:color="007549"/>
            </w:tcBorders>
          </w:tcPr>
          <w:p>
            <w:pPr>
              <w:spacing w:after="0" w:line="20" w:lineRule="exact"/>
              <w:rPr>
                <w:sz w:val="1"/>
                <w:szCs w:val="1"/>
                <w:color w:val="auto"/>
              </w:rPr>
            </w:pPr>
          </w:p>
        </w:tc>
        <w:tc>
          <w:tcPr>
            <w:tcW w:w="100" w:type="dxa"/>
            <w:vAlign w:val="bottom"/>
            <w:tcBorders>
              <w:top w:val="single" w:sz="8" w:color="0000EE"/>
              <w:bottom w:val="single" w:sz="8" w:color="007549"/>
            </w:tcBorders>
          </w:tcPr>
          <w:p>
            <w:pPr>
              <w:spacing w:after="0" w:line="20" w:lineRule="exact"/>
              <w:rPr>
                <w:sz w:val="1"/>
                <w:szCs w:val="1"/>
                <w:color w:val="auto"/>
              </w:rPr>
            </w:pPr>
          </w:p>
        </w:tc>
        <w:tc>
          <w:tcPr>
            <w:tcW w:w="100" w:type="dxa"/>
            <w:vAlign w:val="bottom"/>
            <w:tcBorders>
              <w:top w:val="single" w:sz="8" w:color="0000EE"/>
              <w:bottom w:val="single" w:sz="8" w:color="007549"/>
            </w:tcBorders>
          </w:tcPr>
          <w:p>
            <w:pPr>
              <w:spacing w:after="0" w:line="20" w:lineRule="exact"/>
              <w:rPr>
                <w:sz w:val="1"/>
                <w:szCs w:val="1"/>
                <w:color w:val="auto"/>
              </w:rPr>
            </w:pPr>
          </w:p>
        </w:tc>
        <w:tc>
          <w:tcPr>
            <w:tcW w:w="60" w:type="dxa"/>
            <w:vAlign w:val="bottom"/>
            <w:tcBorders>
              <w:top w:val="single" w:sz="8" w:color="0000EE"/>
              <w:bottom w:val="single" w:sz="8" w:color="007549"/>
            </w:tcBorders>
          </w:tcPr>
          <w:p>
            <w:pPr>
              <w:spacing w:after="0" w:line="20" w:lineRule="exact"/>
              <w:rPr>
                <w:sz w:val="1"/>
                <w:szCs w:val="1"/>
                <w:color w:val="auto"/>
              </w:rPr>
            </w:pPr>
          </w:p>
        </w:tc>
        <w:tc>
          <w:tcPr>
            <w:tcW w:w="60" w:type="dxa"/>
            <w:vAlign w:val="bottom"/>
            <w:tcBorders>
              <w:top w:val="single" w:sz="8" w:color="0000EE"/>
              <w:bottom w:val="single" w:sz="8" w:color="007549"/>
            </w:tcBorders>
          </w:tcPr>
          <w:p>
            <w:pPr>
              <w:spacing w:after="0" w:line="20" w:lineRule="exact"/>
              <w:rPr>
                <w:sz w:val="1"/>
                <w:szCs w:val="1"/>
                <w:color w:val="auto"/>
              </w:rPr>
            </w:pPr>
          </w:p>
        </w:tc>
        <w:tc>
          <w:tcPr>
            <w:tcW w:w="80" w:type="dxa"/>
            <w:vAlign w:val="bottom"/>
            <w:tcBorders>
              <w:top w:val="single" w:sz="8" w:color="0000EE"/>
              <w:bottom w:val="single" w:sz="8" w:color="007549"/>
            </w:tcBorders>
          </w:tcPr>
          <w:p>
            <w:pPr>
              <w:spacing w:after="0" w:line="20" w:lineRule="exact"/>
              <w:rPr>
                <w:sz w:val="1"/>
                <w:szCs w:val="1"/>
                <w:color w:val="auto"/>
              </w:rPr>
            </w:pPr>
          </w:p>
        </w:tc>
        <w:tc>
          <w:tcPr>
            <w:tcW w:w="140" w:type="dxa"/>
            <w:vAlign w:val="bottom"/>
            <w:tcBorders>
              <w:bottom w:val="single" w:sz="8" w:color="007549"/>
            </w:tcBorders>
          </w:tcPr>
          <w:p>
            <w:pPr>
              <w:spacing w:after="0" w:line="20" w:lineRule="exact"/>
              <w:rPr>
                <w:sz w:val="1"/>
                <w:szCs w:val="1"/>
                <w:color w:val="auto"/>
              </w:rPr>
            </w:pPr>
          </w:p>
        </w:tc>
        <w:tc>
          <w:tcPr>
            <w:tcW w:w="120" w:type="dxa"/>
            <w:vAlign w:val="bottom"/>
            <w:tcBorders>
              <w:bottom w:val="single" w:sz="8" w:color="007549"/>
            </w:tcBorders>
          </w:tcPr>
          <w:p>
            <w:pPr>
              <w:spacing w:after="0" w:line="20" w:lineRule="exact"/>
              <w:rPr>
                <w:sz w:val="1"/>
                <w:szCs w:val="1"/>
                <w:color w:val="auto"/>
              </w:rPr>
            </w:pPr>
          </w:p>
        </w:tc>
        <w:tc>
          <w:tcPr>
            <w:tcW w:w="220" w:type="dxa"/>
            <w:vAlign w:val="bottom"/>
            <w:tcBorders>
              <w:bottom w:val="single" w:sz="8" w:color="007549"/>
            </w:tcBorders>
          </w:tcPr>
          <w:p>
            <w:pPr>
              <w:spacing w:after="0" w:line="20" w:lineRule="exact"/>
              <w:rPr>
                <w:sz w:val="1"/>
                <w:szCs w:val="1"/>
                <w:color w:val="auto"/>
              </w:rPr>
            </w:pPr>
          </w:p>
        </w:tc>
        <w:tc>
          <w:tcPr>
            <w:tcW w:w="260" w:type="dxa"/>
            <w:vAlign w:val="bottom"/>
            <w:tcBorders>
              <w:bottom w:val="single" w:sz="8" w:color="007549"/>
            </w:tcBorders>
          </w:tcPr>
          <w:p>
            <w:pPr>
              <w:spacing w:after="0" w:line="20" w:lineRule="exact"/>
              <w:rPr>
                <w:sz w:val="1"/>
                <w:szCs w:val="1"/>
                <w:color w:val="auto"/>
              </w:rPr>
            </w:pPr>
          </w:p>
        </w:tc>
        <w:tc>
          <w:tcPr>
            <w:tcW w:w="180" w:type="dxa"/>
            <w:vAlign w:val="bottom"/>
            <w:tcBorders>
              <w:bottom w:val="single" w:sz="8" w:color="007549"/>
            </w:tcBorders>
          </w:tcPr>
          <w:p>
            <w:pPr>
              <w:spacing w:after="0" w:line="20" w:lineRule="exact"/>
              <w:rPr>
                <w:sz w:val="1"/>
                <w:szCs w:val="1"/>
                <w:color w:val="auto"/>
              </w:rPr>
            </w:pPr>
          </w:p>
        </w:tc>
        <w:tc>
          <w:tcPr>
            <w:tcW w:w="700" w:type="dxa"/>
            <w:vAlign w:val="bottom"/>
            <w:tcBorders>
              <w:bottom w:val="single" w:sz="8" w:color="007549"/>
            </w:tcBorders>
          </w:tcPr>
          <w:p>
            <w:pPr>
              <w:spacing w:after="0" w:line="20" w:lineRule="exact"/>
              <w:rPr>
                <w:sz w:val="1"/>
                <w:szCs w:val="1"/>
                <w:color w:val="auto"/>
              </w:rPr>
            </w:pPr>
          </w:p>
        </w:tc>
        <w:tc>
          <w:tcPr>
            <w:tcW w:w="180" w:type="dxa"/>
            <w:vAlign w:val="bottom"/>
            <w:tcBorders>
              <w:bottom w:val="single" w:sz="8" w:color="007549"/>
            </w:tcBorders>
          </w:tcPr>
          <w:p>
            <w:pPr>
              <w:spacing w:after="0" w:line="20" w:lineRule="exact"/>
              <w:rPr>
                <w:sz w:val="1"/>
                <w:szCs w:val="1"/>
                <w:color w:val="auto"/>
              </w:rPr>
            </w:pPr>
          </w:p>
        </w:tc>
        <w:tc>
          <w:tcPr>
            <w:tcW w:w="160" w:type="dxa"/>
            <w:vAlign w:val="bottom"/>
            <w:tcBorders>
              <w:bottom w:val="single" w:sz="8" w:color="007549"/>
            </w:tcBorders>
          </w:tcPr>
          <w:p>
            <w:pPr>
              <w:spacing w:after="0" w:line="20" w:lineRule="exact"/>
              <w:rPr>
                <w:sz w:val="1"/>
                <w:szCs w:val="1"/>
                <w:color w:val="auto"/>
              </w:rPr>
            </w:pPr>
          </w:p>
        </w:tc>
        <w:tc>
          <w:tcPr>
            <w:tcW w:w="140" w:type="dxa"/>
            <w:vAlign w:val="bottom"/>
            <w:tcBorders>
              <w:bottom w:val="single" w:sz="8" w:color="007549"/>
            </w:tcBorders>
          </w:tcPr>
          <w:p>
            <w:pPr>
              <w:spacing w:after="0" w:line="20" w:lineRule="exact"/>
              <w:rPr>
                <w:sz w:val="1"/>
                <w:szCs w:val="1"/>
                <w:color w:val="auto"/>
              </w:rPr>
            </w:pPr>
          </w:p>
        </w:tc>
        <w:tc>
          <w:tcPr>
            <w:tcW w:w="240" w:type="dxa"/>
            <w:vAlign w:val="bottom"/>
            <w:tcBorders>
              <w:bottom w:val="single" w:sz="8" w:color="007549"/>
            </w:tcBorders>
          </w:tcPr>
          <w:p>
            <w:pPr>
              <w:spacing w:after="0" w:line="20" w:lineRule="exact"/>
              <w:rPr>
                <w:sz w:val="1"/>
                <w:szCs w:val="1"/>
                <w:color w:val="auto"/>
              </w:rPr>
            </w:pPr>
          </w:p>
        </w:tc>
        <w:tc>
          <w:tcPr>
            <w:tcW w:w="180" w:type="dxa"/>
            <w:vAlign w:val="bottom"/>
            <w:tcBorders>
              <w:bottom w:val="single" w:sz="8" w:color="007549"/>
            </w:tcBorders>
          </w:tcPr>
          <w:p>
            <w:pPr>
              <w:spacing w:after="0" w:line="20" w:lineRule="exact"/>
              <w:rPr>
                <w:sz w:val="1"/>
                <w:szCs w:val="1"/>
                <w:color w:val="auto"/>
              </w:rPr>
            </w:pPr>
          </w:p>
        </w:tc>
        <w:tc>
          <w:tcPr>
            <w:tcW w:w="300" w:type="dxa"/>
            <w:vAlign w:val="bottom"/>
            <w:tcBorders>
              <w:bottom w:val="single" w:sz="8" w:color="007549"/>
            </w:tcBorders>
          </w:tcPr>
          <w:p>
            <w:pPr>
              <w:spacing w:after="0" w:line="20" w:lineRule="exact"/>
              <w:rPr>
                <w:sz w:val="1"/>
                <w:szCs w:val="1"/>
                <w:color w:val="auto"/>
              </w:rPr>
            </w:pPr>
          </w:p>
        </w:tc>
        <w:tc>
          <w:tcPr>
            <w:tcW w:w="220" w:type="dxa"/>
            <w:vAlign w:val="bottom"/>
            <w:tcBorders>
              <w:bottom w:val="single" w:sz="8" w:color="007549"/>
            </w:tcBorders>
          </w:tcPr>
          <w:p>
            <w:pPr>
              <w:spacing w:after="0" w:line="20" w:lineRule="exact"/>
              <w:rPr>
                <w:sz w:val="1"/>
                <w:szCs w:val="1"/>
                <w:color w:val="auto"/>
              </w:rPr>
            </w:pPr>
          </w:p>
        </w:tc>
        <w:tc>
          <w:tcPr>
            <w:tcW w:w="200" w:type="dxa"/>
            <w:vAlign w:val="bottom"/>
            <w:tcBorders>
              <w:bottom w:val="single" w:sz="8" w:color="007549"/>
            </w:tcBorders>
          </w:tcPr>
          <w:p>
            <w:pPr>
              <w:spacing w:after="0" w:line="20" w:lineRule="exact"/>
              <w:rPr>
                <w:sz w:val="1"/>
                <w:szCs w:val="1"/>
                <w:color w:val="auto"/>
              </w:rPr>
            </w:pPr>
          </w:p>
        </w:tc>
        <w:tc>
          <w:tcPr>
            <w:tcW w:w="40" w:type="dxa"/>
            <w:vAlign w:val="bottom"/>
            <w:tcBorders>
              <w:bottom w:val="single" w:sz="8" w:color="007549"/>
            </w:tcBorders>
          </w:tcPr>
          <w:p>
            <w:pPr>
              <w:spacing w:after="0" w:line="20" w:lineRule="exact"/>
              <w:rPr>
                <w:sz w:val="1"/>
                <w:szCs w:val="1"/>
                <w:color w:val="auto"/>
              </w:rPr>
            </w:pPr>
          </w:p>
        </w:tc>
        <w:tc>
          <w:tcPr>
            <w:tcW w:w="200" w:type="dxa"/>
            <w:vAlign w:val="bottom"/>
            <w:tcBorders>
              <w:bottom w:val="single" w:sz="8" w:color="007549"/>
            </w:tcBorders>
          </w:tcPr>
          <w:p>
            <w:pPr>
              <w:spacing w:after="0" w:line="20" w:lineRule="exact"/>
              <w:rPr>
                <w:sz w:val="1"/>
                <w:szCs w:val="1"/>
                <w:color w:val="auto"/>
              </w:rPr>
            </w:pPr>
          </w:p>
        </w:tc>
        <w:tc>
          <w:tcPr>
            <w:tcW w:w="80" w:type="dxa"/>
            <w:vAlign w:val="bottom"/>
            <w:tcBorders>
              <w:bottom w:val="single" w:sz="8" w:color="0075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shd w:val="clear" w:color="auto" w:fill="E5E5E5"/>
          </w:tcPr>
          <w:p>
            <w:pPr>
              <w:spacing w:after="0"/>
              <w:rPr>
                <w:sz w:val="10"/>
                <w:szCs w:val="10"/>
                <w:color w:val="auto"/>
              </w:rPr>
            </w:pPr>
          </w:p>
        </w:tc>
        <w:tc>
          <w:tcPr>
            <w:tcW w:w="100" w:type="dxa"/>
            <w:vAlign w:val="bottom"/>
            <w:tcBorders>
              <w:right w:val="single" w:sz="8" w:color="E5E5E5"/>
            </w:tcBorders>
            <w:shd w:val="clear" w:color="auto" w:fill="E5E5E5"/>
          </w:tcPr>
          <w:p>
            <w:pPr>
              <w:spacing w:after="0"/>
              <w:rPr>
                <w:sz w:val="10"/>
                <w:szCs w:val="10"/>
                <w:color w:val="auto"/>
              </w:rPr>
            </w:pPr>
          </w:p>
        </w:tc>
        <w:tc>
          <w:tcPr>
            <w:tcW w:w="4560" w:type="dxa"/>
            <w:vAlign w:val="bottom"/>
            <w:gridSpan w:val="21"/>
            <w:shd w:val="clear" w:color="auto" w:fill="E5E5E5"/>
          </w:tcPr>
          <w:p>
            <w:pPr>
              <w:spacing w:after="0" w:line="127" w:lineRule="exact"/>
              <w:rPr>
                <w:rFonts w:ascii="Arial" w:cs="Arial" w:eastAsia="Arial" w:hAnsi="Arial"/>
                <w:sz w:val="14"/>
                <w:szCs w:val="14"/>
                <w:color w:val="0000EE"/>
              </w:rPr>
            </w:pPr>
            <w:hyperlink w:anchor="page6">
              <w:r>
                <w:rPr>
                  <w:rFonts w:ascii="Arial" w:cs="Arial" w:eastAsia="Arial" w:hAnsi="Arial"/>
                  <w:sz w:val="14"/>
                  <w:szCs w:val="14"/>
                  <w:color w:val="0000EE"/>
                </w:rPr>
                <w:t>2018 Annual Meeting Information</w:t>
              </w:r>
            </w:hyperlink>
          </w:p>
        </w:tc>
        <w:tc>
          <w:tcPr>
            <w:tcW w:w="200" w:type="dxa"/>
            <w:vAlign w:val="bottom"/>
            <w:shd w:val="clear" w:color="auto" w:fill="E5E5E5"/>
          </w:tcPr>
          <w:p>
            <w:pPr>
              <w:spacing w:after="0"/>
              <w:rPr>
                <w:sz w:val="10"/>
                <w:szCs w:val="10"/>
                <w:color w:val="auto"/>
              </w:rPr>
            </w:pPr>
          </w:p>
        </w:tc>
        <w:tc>
          <w:tcPr>
            <w:tcW w:w="40" w:type="dxa"/>
            <w:vAlign w:val="bottom"/>
            <w:shd w:val="clear" w:color="auto" w:fill="E5E5E5"/>
          </w:tcPr>
          <w:p>
            <w:pPr>
              <w:spacing w:after="0"/>
              <w:rPr>
                <w:sz w:val="10"/>
                <w:szCs w:val="10"/>
                <w:color w:val="auto"/>
              </w:rPr>
            </w:pPr>
          </w:p>
        </w:tc>
        <w:tc>
          <w:tcPr>
            <w:tcW w:w="280" w:type="dxa"/>
            <w:vAlign w:val="bottom"/>
            <w:gridSpan w:val="2"/>
            <w:shd w:val="clear" w:color="auto" w:fill="E5E5E5"/>
          </w:tcPr>
          <w:p>
            <w:pPr>
              <w:jc w:val="right"/>
              <w:ind w:right="80"/>
              <w:spacing w:after="0" w:line="127" w:lineRule="exact"/>
              <w:rPr>
                <w:sz w:val="20"/>
                <w:szCs w:val="20"/>
                <w:color w:val="auto"/>
              </w:rPr>
            </w:pPr>
            <w:r>
              <w:rPr>
                <w:rFonts w:ascii="Arial" w:cs="Arial" w:eastAsia="Arial" w:hAnsi="Arial"/>
                <w:sz w:val="14"/>
                <w:szCs w:val="14"/>
                <w:color w:val="auto"/>
              </w:rPr>
              <w:t>ii</w:t>
            </w:r>
          </w:p>
        </w:tc>
        <w:tc>
          <w:tcPr>
            <w:tcW w:w="0" w:type="dxa"/>
            <w:vAlign w:val="bottom"/>
          </w:tcPr>
          <w:p>
            <w:pPr>
              <w:spacing w:after="0"/>
              <w:rPr>
                <w:sz w:val="1"/>
                <w:szCs w:val="1"/>
                <w:color w:val="auto"/>
              </w:rPr>
            </w:pPr>
          </w:p>
        </w:tc>
      </w:tr>
      <w:tr>
        <w:trPr>
          <w:trHeight w:val="20"/>
        </w:trPr>
        <w:tc>
          <w:tcPr>
            <w:tcW w:w="20" w:type="dxa"/>
            <w:vAlign w:val="bottom"/>
            <w:shd w:val="clear" w:color="auto" w:fill="E5E5E5"/>
          </w:tcPr>
          <w:p>
            <w:pPr>
              <w:spacing w:after="0" w:line="20" w:lineRule="exact"/>
              <w:rPr>
                <w:sz w:val="1"/>
                <w:szCs w:val="1"/>
                <w:color w:val="auto"/>
              </w:rPr>
            </w:pPr>
          </w:p>
        </w:tc>
        <w:tc>
          <w:tcPr>
            <w:tcW w:w="100" w:type="dxa"/>
            <w:vAlign w:val="bottom"/>
            <w:tcBorders>
              <w:right w:val="single" w:sz="8" w:color="E5E5E5"/>
            </w:tcBorders>
            <w:shd w:val="clear" w:color="auto" w:fill="E5E5E5"/>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E5E5E5"/>
          </w:tcPr>
          <w:p>
            <w:pPr>
              <w:spacing w:after="0" w:line="20" w:lineRule="exact"/>
              <w:rPr>
                <w:sz w:val="1"/>
                <w:szCs w:val="1"/>
                <w:color w:val="auto"/>
              </w:rPr>
            </w:pPr>
          </w:p>
        </w:tc>
        <w:tc>
          <w:tcPr>
            <w:tcW w:w="700" w:type="dxa"/>
            <w:vAlign w:val="bottom"/>
            <w:shd w:val="clear" w:color="auto" w:fill="E5E5E5"/>
          </w:tcPr>
          <w:p>
            <w:pPr>
              <w:spacing w:after="0" w:line="20" w:lineRule="exact"/>
              <w:rPr>
                <w:sz w:val="1"/>
                <w:szCs w:val="1"/>
                <w:color w:val="auto"/>
              </w:rPr>
            </w:pPr>
          </w:p>
        </w:tc>
        <w:tc>
          <w:tcPr>
            <w:tcW w:w="180" w:type="dxa"/>
            <w:vAlign w:val="bottom"/>
            <w:shd w:val="clear" w:color="auto" w:fill="E5E5E5"/>
          </w:tcPr>
          <w:p>
            <w:pPr>
              <w:spacing w:after="0" w:line="20" w:lineRule="exact"/>
              <w:rPr>
                <w:sz w:val="1"/>
                <w:szCs w:val="1"/>
                <w:color w:val="auto"/>
              </w:rPr>
            </w:pPr>
          </w:p>
        </w:tc>
        <w:tc>
          <w:tcPr>
            <w:tcW w:w="160" w:type="dxa"/>
            <w:vAlign w:val="bottom"/>
            <w:shd w:val="clear" w:color="auto" w:fill="E5E5E5"/>
          </w:tcPr>
          <w:p>
            <w:pPr>
              <w:spacing w:after="0" w:line="20" w:lineRule="exact"/>
              <w:rPr>
                <w:sz w:val="1"/>
                <w:szCs w:val="1"/>
                <w:color w:val="auto"/>
              </w:rPr>
            </w:pPr>
          </w:p>
        </w:tc>
        <w:tc>
          <w:tcPr>
            <w:tcW w:w="140" w:type="dxa"/>
            <w:vAlign w:val="bottom"/>
            <w:shd w:val="clear" w:color="auto" w:fill="E5E5E5"/>
          </w:tcPr>
          <w:p>
            <w:pPr>
              <w:spacing w:after="0" w:line="20" w:lineRule="exact"/>
              <w:rPr>
                <w:sz w:val="1"/>
                <w:szCs w:val="1"/>
                <w:color w:val="auto"/>
              </w:rPr>
            </w:pPr>
          </w:p>
        </w:tc>
        <w:tc>
          <w:tcPr>
            <w:tcW w:w="240" w:type="dxa"/>
            <w:vAlign w:val="bottom"/>
            <w:shd w:val="clear" w:color="auto" w:fill="E5E5E5"/>
          </w:tcPr>
          <w:p>
            <w:pPr>
              <w:spacing w:after="0" w:line="20" w:lineRule="exact"/>
              <w:rPr>
                <w:sz w:val="1"/>
                <w:szCs w:val="1"/>
                <w:color w:val="auto"/>
              </w:rPr>
            </w:pPr>
          </w:p>
        </w:tc>
        <w:tc>
          <w:tcPr>
            <w:tcW w:w="180" w:type="dxa"/>
            <w:vAlign w:val="bottom"/>
            <w:shd w:val="clear" w:color="auto" w:fill="E5E5E5"/>
          </w:tcPr>
          <w:p>
            <w:pPr>
              <w:spacing w:after="0" w:line="20" w:lineRule="exact"/>
              <w:rPr>
                <w:sz w:val="1"/>
                <w:szCs w:val="1"/>
                <w:color w:val="auto"/>
              </w:rPr>
            </w:pPr>
          </w:p>
        </w:tc>
        <w:tc>
          <w:tcPr>
            <w:tcW w:w="300" w:type="dxa"/>
            <w:vAlign w:val="bottom"/>
            <w:shd w:val="clear" w:color="auto" w:fill="E5E5E5"/>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200" w:type="dxa"/>
            <w:vAlign w:val="bottom"/>
            <w:shd w:val="clear" w:color="auto" w:fill="E5E5E5"/>
          </w:tcPr>
          <w:p>
            <w:pPr>
              <w:spacing w:after="0" w:line="20" w:lineRule="exact"/>
              <w:rPr>
                <w:sz w:val="1"/>
                <w:szCs w:val="1"/>
                <w:color w:val="auto"/>
              </w:rPr>
            </w:pPr>
          </w:p>
        </w:tc>
        <w:tc>
          <w:tcPr>
            <w:tcW w:w="40" w:type="dxa"/>
            <w:vAlign w:val="bottom"/>
            <w:shd w:val="clear" w:color="auto" w:fill="E5E5E5"/>
          </w:tcPr>
          <w:p>
            <w:pPr>
              <w:spacing w:after="0" w:line="20" w:lineRule="exact"/>
              <w:rPr>
                <w:sz w:val="1"/>
                <w:szCs w:val="1"/>
                <w:color w:val="auto"/>
              </w:rPr>
            </w:pPr>
          </w:p>
        </w:tc>
        <w:tc>
          <w:tcPr>
            <w:tcW w:w="280" w:type="dxa"/>
            <w:vAlign w:val="bottom"/>
            <w:gridSpan w:val="2"/>
            <w:vMerge w:val="restart"/>
            <w:shd w:val="clear" w:color="auto" w:fill="E5E5E5"/>
          </w:tcPr>
          <w:p>
            <w:pPr>
              <w:jc w:val="right"/>
              <w:ind w:right="80"/>
              <w:spacing w:after="0" w:line="160" w:lineRule="exact"/>
              <w:rPr>
                <w:sz w:val="20"/>
                <w:szCs w:val="20"/>
                <w:color w:val="auto"/>
              </w:rPr>
            </w:pPr>
            <w:r>
              <w:rPr>
                <w:rFonts w:ascii="Arial" w:cs="Arial" w:eastAsia="Arial" w:hAnsi="Arial"/>
                <w:sz w:val="15"/>
                <w:szCs w:val="15"/>
                <w:color w:val="auto"/>
              </w:rPr>
              <w:t>ii</w:t>
            </w:r>
          </w:p>
        </w:tc>
        <w:tc>
          <w:tcPr>
            <w:tcW w:w="0" w:type="dxa"/>
            <w:vAlign w:val="bottom"/>
          </w:tcPr>
          <w:p>
            <w:pPr>
              <w:spacing w:after="0" w:line="20" w:lineRule="exact"/>
              <w:rPr>
                <w:sz w:val="1"/>
                <w:szCs w:val="1"/>
                <w:color w:val="auto"/>
              </w:rPr>
            </w:pPr>
          </w:p>
        </w:tc>
      </w:tr>
      <w:tr>
        <w:trPr>
          <w:trHeight w:val="140"/>
        </w:trPr>
        <w:tc>
          <w:tcPr>
            <w:tcW w:w="20" w:type="dxa"/>
            <w:vAlign w:val="bottom"/>
            <w:shd w:val="clear" w:color="auto" w:fill="E5E5E5"/>
          </w:tcPr>
          <w:p>
            <w:pPr>
              <w:spacing w:after="0"/>
              <w:rPr>
                <w:sz w:val="12"/>
                <w:szCs w:val="12"/>
                <w:color w:val="auto"/>
              </w:rPr>
            </w:pPr>
          </w:p>
        </w:tc>
        <w:tc>
          <w:tcPr>
            <w:tcW w:w="100" w:type="dxa"/>
            <w:vAlign w:val="bottom"/>
            <w:tcBorders>
              <w:right w:val="single" w:sz="8" w:color="E5E5E5"/>
            </w:tcBorders>
            <w:shd w:val="clear" w:color="auto" w:fill="E5E5E5"/>
          </w:tcPr>
          <w:p>
            <w:pPr>
              <w:spacing w:after="0"/>
              <w:rPr>
                <w:sz w:val="12"/>
                <w:szCs w:val="12"/>
                <w:color w:val="auto"/>
              </w:rPr>
            </w:pPr>
          </w:p>
        </w:tc>
        <w:tc>
          <w:tcPr>
            <w:tcW w:w="4560" w:type="dxa"/>
            <w:vAlign w:val="bottom"/>
            <w:gridSpan w:val="21"/>
            <w:shd w:val="clear" w:color="auto" w:fill="E5E5E5"/>
          </w:tcPr>
          <w:p>
            <w:pPr>
              <w:spacing w:after="0" w:line="140" w:lineRule="exact"/>
              <w:rPr>
                <w:rFonts w:ascii="Arial" w:cs="Arial" w:eastAsia="Arial" w:hAnsi="Arial"/>
                <w:sz w:val="15"/>
                <w:szCs w:val="15"/>
                <w:color w:val="0000EE"/>
              </w:rPr>
            </w:pPr>
            <w:hyperlink w:anchor="page6">
              <w:r>
                <w:rPr>
                  <w:rFonts w:ascii="Arial" w:cs="Arial" w:eastAsia="Arial" w:hAnsi="Arial"/>
                  <w:sz w:val="15"/>
                  <w:szCs w:val="15"/>
                  <w:color w:val="0000EE"/>
                </w:rPr>
                <w:t>Corporate Governance Highlights</w:t>
              </w:r>
            </w:hyperlink>
          </w:p>
        </w:tc>
        <w:tc>
          <w:tcPr>
            <w:tcW w:w="20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280" w:type="dxa"/>
            <w:vAlign w:val="bottom"/>
            <w:gridSpan w:val="2"/>
            <w:vMerge w:val="continue"/>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Borders>
              <w:top w:val="single" w:sz="8" w:color="E5E5E5"/>
            </w:tcBorders>
            <w:shd w:val="clear" w:color="auto" w:fill="E5E5E5"/>
          </w:tcPr>
          <w:p>
            <w:pPr>
              <w:spacing w:after="0"/>
              <w:rPr>
                <w:sz w:val="12"/>
                <w:szCs w:val="12"/>
                <w:color w:val="auto"/>
              </w:rPr>
            </w:pPr>
          </w:p>
        </w:tc>
        <w:tc>
          <w:tcPr>
            <w:tcW w:w="100" w:type="dxa"/>
            <w:vAlign w:val="bottom"/>
            <w:tcBorders>
              <w:top w:val="single" w:sz="8" w:color="E5E5E5"/>
              <w:right w:val="single" w:sz="8" w:color="E5E5E5"/>
            </w:tcBorders>
            <w:shd w:val="clear" w:color="auto" w:fill="E5E5E5"/>
          </w:tcPr>
          <w:p>
            <w:pPr>
              <w:spacing w:after="0"/>
              <w:rPr>
                <w:sz w:val="12"/>
                <w:szCs w:val="12"/>
                <w:color w:val="auto"/>
              </w:rPr>
            </w:pPr>
          </w:p>
        </w:tc>
        <w:tc>
          <w:tcPr>
            <w:tcW w:w="2260" w:type="dxa"/>
            <w:vAlign w:val="bottom"/>
            <w:tcBorders>
              <w:top w:val="single" w:sz="8" w:color="0000EE"/>
              <w:right w:val="single" w:sz="8" w:color="E5E5E5"/>
            </w:tcBorders>
            <w:gridSpan w:val="12"/>
            <w:shd w:val="clear" w:color="auto" w:fill="E5E5E5"/>
          </w:tcPr>
          <w:p>
            <w:pPr>
              <w:spacing w:after="0" w:line="127" w:lineRule="exact"/>
              <w:rPr>
                <w:rFonts w:ascii="Arial" w:cs="Arial" w:eastAsia="Arial" w:hAnsi="Arial"/>
                <w:sz w:val="14"/>
                <w:szCs w:val="14"/>
                <w:color w:val="0000EE"/>
              </w:rPr>
            </w:pPr>
            <w:hyperlink w:anchor="page7">
              <w:r>
                <w:rPr>
                  <w:rFonts w:ascii="Arial" w:cs="Arial" w:eastAsia="Arial" w:hAnsi="Arial"/>
                  <w:sz w:val="14"/>
                  <w:szCs w:val="14"/>
                  <w:color w:val="0000EE"/>
                </w:rPr>
                <w:t>Business and Strategy Overview</w:t>
              </w:r>
            </w:hyperlink>
          </w:p>
        </w:tc>
        <w:tc>
          <w:tcPr>
            <w:tcW w:w="180" w:type="dxa"/>
            <w:vAlign w:val="bottom"/>
            <w:tcBorders>
              <w:top w:val="single" w:sz="8" w:color="E5E5E5"/>
            </w:tcBorders>
            <w:shd w:val="clear" w:color="auto" w:fill="E5E5E5"/>
          </w:tcPr>
          <w:p>
            <w:pPr>
              <w:spacing w:after="0"/>
              <w:rPr>
                <w:sz w:val="12"/>
                <w:szCs w:val="12"/>
                <w:color w:val="auto"/>
              </w:rPr>
            </w:pPr>
          </w:p>
        </w:tc>
        <w:tc>
          <w:tcPr>
            <w:tcW w:w="700" w:type="dxa"/>
            <w:vAlign w:val="bottom"/>
            <w:tcBorders>
              <w:top w:val="single" w:sz="8" w:color="E5E5E5"/>
            </w:tcBorders>
            <w:shd w:val="clear" w:color="auto" w:fill="E5E5E5"/>
          </w:tcPr>
          <w:p>
            <w:pPr>
              <w:spacing w:after="0"/>
              <w:rPr>
                <w:sz w:val="12"/>
                <w:szCs w:val="12"/>
                <w:color w:val="auto"/>
              </w:rPr>
            </w:pPr>
          </w:p>
        </w:tc>
        <w:tc>
          <w:tcPr>
            <w:tcW w:w="180" w:type="dxa"/>
            <w:vAlign w:val="bottom"/>
            <w:tcBorders>
              <w:top w:val="single" w:sz="8" w:color="E5E5E5"/>
            </w:tcBorders>
            <w:shd w:val="clear" w:color="auto" w:fill="E5E5E5"/>
          </w:tcPr>
          <w:p>
            <w:pPr>
              <w:spacing w:after="0"/>
              <w:rPr>
                <w:sz w:val="12"/>
                <w:szCs w:val="12"/>
                <w:color w:val="auto"/>
              </w:rPr>
            </w:pPr>
          </w:p>
        </w:tc>
        <w:tc>
          <w:tcPr>
            <w:tcW w:w="160" w:type="dxa"/>
            <w:vAlign w:val="bottom"/>
            <w:tcBorders>
              <w:top w:val="single" w:sz="8" w:color="E5E5E5"/>
            </w:tcBorders>
            <w:shd w:val="clear" w:color="auto" w:fill="E5E5E5"/>
          </w:tcPr>
          <w:p>
            <w:pPr>
              <w:spacing w:after="0"/>
              <w:rPr>
                <w:sz w:val="12"/>
                <w:szCs w:val="12"/>
                <w:color w:val="auto"/>
              </w:rPr>
            </w:pPr>
          </w:p>
        </w:tc>
        <w:tc>
          <w:tcPr>
            <w:tcW w:w="140" w:type="dxa"/>
            <w:vAlign w:val="bottom"/>
            <w:tcBorders>
              <w:top w:val="single" w:sz="8" w:color="E5E5E5"/>
            </w:tcBorders>
            <w:shd w:val="clear" w:color="auto" w:fill="E5E5E5"/>
          </w:tcPr>
          <w:p>
            <w:pPr>
              <w:spacing w:after="0"/>
              <w:rPr>
                <w:sz w:val="12"/>
                <w:szCs w:val="12"/>
                <w:color w:val="auto"/>
              </w:rPr>
            </w:pPr>
          </w:p>
        </w:tc>
        <w:tc>
          <w:tcPr>
            <w:tcW w:w="240" w:type="dxa"/>
            <w:vAlign w:val="bottom"/>
            <w:tcBorders>
              <w:top w:val="single" w:sz="8" w:color="E5E5E5"/>
            </w:tcBorders>
            <w:shd w:val="clear" w:color="auto" w:fill="E5E5E5"/>
          </w:tcPr>
          <w:p>
            <w:pPr>
              <w:spacing w:after="0"/>
              <w:rPr>
                <w:sz w:val="12"/>
                <w:szCs w:val="12"/>
                <w:color w:val="auto"/>
              </w:rPr>
            </w:pPr>
          </w:p>
        </w:tc>
        <w:tc>
          <w:tcPr>
            <w:tcW w:w="180" w:type="dxa"/>
            <w:vAlign w:val="bottom"/>
            <w:tcBorders>
              <w:top w:val="single" w:sz="8" w:color="E5E5E5"/>
            </w:tcBorders>
            <w:shd w:val="clear" w:color="auto" w:fill="E5E5E5"/>
          </w:tcPr>
          <w:p>
            <w:pPr>
              <w:spacing w:after="0"/>
              <w:rPr>
                <w:sz w:val="12"/>
                <w:szCs w:val="12"/>
                <w:color w:val="auto"/>
              </w:rPr>
            </w:pPr>
          </w:p>
        </w:tc>
        <w:tc>
          <w:tcPr>
            <w:tcW w:w="520" w:type="dxa"/>
            <w:vAlign w:val="bottom"/>
            <w:tcBorders>
              <w:top w:val="single" w:sz="8" w:color="E5E5E5"/>
            </w:tcBorders>
            <w:gridSpan w:val="2"/>
            <w:shd w:val="clear" w:color="auto" w:fill="E5E5E5"/>
          </w:tcPr>
          <w:p>
            <w:pPr>
              <w:spacing w:after="0"/>
              <w:rPr>
                <w:sz w:val="12"/>
                <w:szCs w:val="12"/>
                <w:color w:val="auto"/>
              </w:rPr>
            </w:pPr>
          </w:p>
        </w:tc>
        <w:tc>
          <w:tcPr>
            <w:tcW w:w="200" w:type="dxa"/>
            <w:vAlign w:val="bottom"/>
            <w:tcBorders>
              <w:top w:val="single" w:sz="8" w:color="E5E5E5"/>
            </w:tcBorders>
            <w:shd w:val="clear" w:color="auto" w:fill="E5E5E5"/>
          </w:tcPr>
          <w:p>
            <w:pPr>
              <w:spacing w:after="0"/>
              <w:rPr>
                <w:sz w:val="12"/>
                <w:szCs w:val="12"/>
                <w:color w:val="auto"/>
              </w:rPr>
            </w:pPr>
          </w:p>
        </w:tc>
        <w:tc>
          <w:tcPr>
            <w:tcW w:w="40" w:type="dxa"/>
            <w:vAlign w:val="bottom"/>
            <w:tcBorders>
              <w:top w:val="single" w:sz="8" w:color="E5E5E5"/>
            </w:tcBorders>
            <w:shd w:val="clear" w:color="auto" w:fill="E5E5E5"/>
          </w:tcPr>
          <w:p>
            <w:pPr>
              <w:spacing w:after="0"/>
              <w:rPr>
                <w:sz w:val="12"/>
                <w:szCs w:val="12"/>
                <w:color w:val="auto"/>
              </w:rPr>
            </w:pPr>
          </w:p>
        </w:tc>
        <w:tc>
          <w:tcPr>
            <w:tcW w:w="280" w:type="dxa"/>
            <w:vAlign w:val="bottom"/>
            <w:tcBorders>
              <w:top w:val="single" w:sz="8" w:color="E5E5E5"/>
            </w:tcBorders>
            <w:gridSpan w:val="2"/>
            <w:shd w:val="clear" w:color="auto" w:fill="E5E5E5"/>
          </w:tcPr>
          <w:p>
            <w:pPr>
              <w:jc w:val="right"/>
              <w:ind w:right="80"/>
              <w:spacing w:after="0" w:line="127" w:lineRule="exact"/>
              <w:rPr>
                <w:sz w:val="20"/>
                <w:szCs w:val="20"/>
                <w:color w:val="auto"/>
              </w:rPr>
            </w:pPr>
            <w:r>
              <w:rPr>
                <w:rFonts w:ascii="Arial" w:cs="Arial" w:eastAsia="Arial" w:hAnsi="Arial"/>
                <w:sz w:val="14"/>
                <w:szCs w:val="14"/>
                <w:color w:val="auto"/>
              </w:rPr>
              <w:t>iii</w:t>
            </w:r>
          </w:p>
        </w:tc>
        <w:tc>
          <w:tcPr>
            <w:tcW w:w="0" w:type="dxa"/>
            <w:vAlign w:val="bottom"/>
          </w:tcPr>
          <w:p>
            <w:pPr>
              <w:spacing w:after="0"/>
              <w:rPr>
                <w:sz w:val="1"/>
                <w:szCs w:val="1"/>
                <w:color w:val="auto"/>
              </w:rPr>
            </w:pPr>
          </w:p>
        </w:tc>
      </w:tr>
      <w:tr>
        <w:trPr>
          <w:trHeight w:val="20"/>
        </w:trPr>
        <w:tc>
          <w:tcPr>
            <w:tcW w:w="20" w:type="dxa"/>
            <w:vAlign w:val="bottom"/>
            <w:shd w:val="clear" w:color="auto" w:fill="E5E5E5"/>
          </w:tcPr>
          <w:p>
            <w:pPr>
              <w:spacing w:after="0" w:line="20" w:lineRule="exact"/>
              <w:rPr>
                <w:sz w:val="1"/>
                <w:szCs w:val="1"/>
                <w:color w:val="auto"/>
              </w:rPr>
            </w:pPr>
          </w:p>
        </w:tc>
        <w:tc>
          <w:tcPr>
            <w:tcW w:w="100" w:type="dxa"/>
            <w:vAlign w:val="bottom"/>
            <w:tcBorders>
              <w:right w:val="single" w:sz="8" w:color="0000EE"/>
            </w:tcBorders>
            <w:shd w:val="clear" w:color="auto" w:fill="E5E5E5"/>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Borders>
              <w:right w:val="single" w:sz="8" w:color="E5E5E5"/>
            </w:tcBorders>
            <w:shd w:val="clear" w:color="auto" w:fill="0000EE"/>
          </w:tcPr>
          <w:p>
            <w:pPr>
              <w:spacing w:after="0" w:line="20" w:lineRule="exact"/>
              <w:rPr>
                <w:sz w:val="1"/>
                <w:szCs w:val="1"/>
                <w:color w:val="auto"/>
              </w:rPr>
            </w:pPr>
          </w:p>
        </w:tc>
        <w:tc>
          <w:tcPr>
            <w:tcW w:w="180" w:type="dxa"/>
            <w:vAlign w:val="bottom"/>
            <w:shd w:val="clear" w:color="auto" w:fill="E5E5E5"/>
          </w:tcPr>
          <w:p>
            <w:pPr>
              <w:spacing w:after="0" w:line="20" w:lineRule="exact"/>
              <w:rPr>
                <w:sz w:val="1"/>
                <w:szCs w:val="1"/>
                <w:color w:val="auto"/>
              </w:rPr>
            </w:pPr>
          </w:p>
        </w:tc>
        <w:tc>
          <w:tcPr>
            <w:tcW w:w="700" w:type="dxa"/>
            <w:vAlign w:val="bottom"/>
            <w:shd w:val="clear" w:color="auto" w:fill="E5E5E5"/>
          </w:tcPr>
          <w:p>
            <w:pPr>
              <w:spacing w:after="0" w:line="20" w:lineRule="exact"/>
              <w:rPr>
                <w:sz w:val="1"/>
                <w:szCs w:val="1"/>
                <w:color w:val="auto"/>
              </w:rPr>
            </w:pPr>
          </w:p>
        </w:tc>
        <w:tc>
          <w:tcPr>
            <w:tcW w:w="180" w:type="dxa"/>
            <w:vAlign w:val="bottom"/>
            <w:shd w:val="clear" w:color="auto" w:fill="E5E5E5"/>
          </w:tcPr>
          <w:p>
            <w:pPr>
              <w:spacing w:after="0" w:line="20" w:lineRule="exact"/>
              <w:rPr>
                <w:sz w:val="1"/>
                <w:szCs w:val="1"/>
                <w:color w:val="auto"/>
              </w:rPr>
            </w:pPr>
          </w:p>
        </w:tc>
        <w:tc>
          <w:tcPr>
            <w:tcW w:w="160" w:type="dxa"/>
            <w:vAlign w:val="bottom"/>
            <w:shd w:val="clear" w:color="auto" w:fill="E5E5E5"/>
          </w:tcPr>
          <w:p>
            <w:pPr>
              <w:spacing w:after="0" w:line="20" w:lineRule="exact"/>
              <w:rPr>
                <w:sz w:val="1"/>
                <w:szCs w:val="1"/>
                <w:color w:val="auto"/>
              </w:rPr>
            </w:pPr>
          </w:p>
        </w:tc>
        <w:tc>
          <w:tcPr>
            <w:tcW w:w="140" w:type="dxa"/>
            <w:vAlign w:val="bottom"/>
            <w:shd w:val="clear" w:color="auto" w:fill="E5E5E5"/>
          </w:tcPr>
          <w:p>
            <w:pPr>
              <w:spacing w:after="0" w:line="20" w:lineRule="exact"/>
              <w:rPr>
                <w:sz w:val="1"/>
                <w:szCs w:val="1"/>
                <w:color w:val="auto"/>
              </w:rPr>
            </w:pPr>
          </w:p>
        </w:tc>
        <w:tc>
          <w:tcPr>
            <w:tcW w:w="240" w:type="dxa"/>
            <w:vAlign w:val="bottom"/>
            <w:shd w:val="clear" w:color="auto" w:fill="E5E5E5"/>
          </w:tcPr>
          <w:p>
            <w:pPr>
              <w:spacing w:after="0" w:line="20" w:lineRule="exact"/>
              <w:rPr>
                <w:sz w:val="1"/>
                <w:szCs w:val="1"/>
                <w:color w:val="auto"/>
              </w:rPr>
            </w:pPr>
          </w:p>
        </w:tc>
        <w:tc>
          <w:tcPr>
            <w:tcW w:w="180" w:type="dxa"/>
            <w:vAlign w:val="bottom"/>
            <w:shd w:val="clear" w:color="auto" w:fill="E5E5E5"/>
          </w:tcPr>
          <w:p>
            <w:pPr>
              <w:spacing w:after="0" w:line="20" w:lineRule="exact"/>
              <w:rPr>
                <w:sz w:val="1"/>
                <w:szCs w:val="1"/>
                <w:color w:val="auto"/>
              </w:rPr>
            </w:pPr>
          </w:p>
        </w:tc>
        <w:tc>
          <w:tcPr>
            <w:tcW w:w="520" w:type="dxa"/>
            <w:vAlign w:val="bottom"/>
            <w:gridSpan w:val="2"/>
            <w:shd w:val="clear" w:color="auto" w:fill="E5E5E5"/>
          </w:tcPr>
          <w:p>
            <w:pPr>
              <w:spacing w:after="0" w:line="20" w:lineRule="exact"/>
              <w:rPr>
                <w:sz w:val="1"/>
                <w:szCs w:val="1"/>
                <w:color w:val="auto"/>
              </w:rPr>
            </w:pPr>
          </w:p>
        </w:tc>
        <w:tc>
          <w:tcPr>
            <w:tcW w:w="200" w:type="dxa"/>
            <w:vAlign w:val="bottom"/>
            <w:shd w:val="clear" w:color="auto" w:fill="E5E5E5"/>
          </w:tcPr>
          <w:p>
            <w:pPr>
              <w:spacing w:after="0" w:line="20" w:lineRule="exact"/>
              <w:rPr>
                <w:sz w:val="1"/>
                <w:szCs w:val="1"/>
                <w:color w:val="auto"/>
              </w:rPr>
            </w:pPr>
          </w:p>
        </w:tc>
        <w:tc>
          <w:tcPr>
            <w:tcW w:w="40" w:type="dxa"/>
            <w:vAlign w:val="bottom"/>
            <w:shd w:val="clear" w:color="auto" w:fill="E5E5E5"/>
          </w:tcPr>
          <w:p>
            <w:pPr>
              <w:spacing w:after="0" w:line="20" w:lineRule="exact"/>
              <w:rPr>
                <w:sz w:val="1"/>
                <w:szCs w:val="1"/>
                <w:color w:val="auto"/>
              </w:rPr>
            </w:pPr>
          </w:p>
        </w:tc>
        <w:tc>
          <w:tcPr>
            <w:tcW w:w="200" w:type="dxa"/>
            <w:vAlign w:val="bottom"/>
            <w:shd w:val="clear" w:color="auto" w:fill="E5E5E5"/>
          </w:tcPr>
          <w:p>
            <w:pPr>
              <w:spacing w:after="0" w:line="20" w:lineRule="exact"/>
              <w:rPr>
                <w:sz w:val="1"/>
                <w:szCs w:val="1"/>
                <w:color w:val="auto"/>
              </w:rPr>
            </w:pPr>
          </w:p>
        </w:tc>
        <w:tc>
          <w:tcPr>
            <w:tcW w:w="8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shd w:val="clear" w:color="auto" w:fill="E5E5E5"/>
          </w:tcPr>
          <w:p>
            <w:pPr>
              <w:spacing w:after="0"/>
              <w:rPr>
                <w:sz w:val="13"/>
                <w:szCs w:val="13"/>
                <w:color w:val="auto"/>
              </w:rPr>
            </w:pPr>
          </w:p>
        </w:tc>
        <w:tc>
          <w:tcPr>
            <w:tcW w:w="100" w:type="dxa"/>
            <w:vAlign w:val="bottom"/>
            <w:tcBorders>
              <w:right w:val="single" w:sz="8" w:color="E5E5E5"/>
            </w:tcBorders>
            <w:shd w:val="clear" w:color="auto" w:fill="E5E5E5"/>
          </w:tcPr>
          <w:p>
            <w:pPr>
              <w:spacing w:after="0"/>
              <w:rPr>
                <w:sz w:val="13"/>
                <w:szCs w:val="13"/>
                <w:color w:val="auto"/>
              </w:rPr>
            </w:pPr>
          </w:p>
        </w:tc>
        <w:tc>
          <w:tcPr>
            <w:tcW w:w="4560" w:type="dxa"/>
            <w:vAlign w:val="bottom"/>
            <w:gridSpan w:val="21"/>
            <w:shd w:val="clear" w:color="auto" w:fill="E5E5E5"/>
          </w:tcPr>
          <w:p>
            <w:pPr>
              <w:spacing w:after="0" w:line="153" w:lineRule="exact"/>
              <w:rPr>
                <w:rFonts w:ascii="Arial" w:cs="Arial" w:eastAsia="Arial" w:hAnsi="Arial"/>
                <w:sz w:val="15"/>
                <w:szCs w:val="15"/>
                <w:color w:val="0000EE"/>
              </w:rPr>
            </w:pPr>
            <w:hyperlink w:anchor="page8">
              <w:r>
                <w:rPr>
                  <w:rFonts w:ascii="Arial" w:cs="Arial" w:eastAsia="Arial" w:hAnsi="Arial"/>
                  <w:sz w:val="15"/>
                  <w:szCs w:val="15"/>
                  <w:color w:val="0000EE"/>
                </w:rPr>
                <w:t>Corporate Performance Highlights</w:t>
              </w:r>
            </w:hyperlink>
          </w:p>
        </w:tc>
        <w:tc>
          <w:tcPr>
            <w:tcW w:w="200" w:type="dxa"/>
            <w:vAlign w:val="bottom"/>
            <w:shd w:val="clear" w:color="auto" w:fill="E5E5E5"/>
          </w:tcPr>
          <w:p>
            <w:pPr>
              <w:spacing w:after="0"/>
              <w:rPr>
                <w:sz w:val="13"/>
                <w:szCs w:val="13"/>
                <w:color w:val="auto"/>
              </w:rPr>
            </w:pPr>
          </w:p>
        </w:tc>
        <w:tc>
          <w:tcPr>
            <w:tcW w:w="40" w:type="dxa"/>
            <w:vAlign w:val="bottom"/>
            <w:shd w:val="clear" w:color="auto" w:fill="E5E5E5"/>
          </w:tcPr>
          <w:p>
            <w:pPr>
              <w:spacing w:after="0"/>
              <w:rPr>
                <w:sz w:val="13"/>
                <w:szCs w:val="13"/>
                <w:color w:val="auto"/>
              </w:rPr>
            </w:pPr>
          </w:p>
        </w:tc>
        <w:tc>
          <w:tcPr>
            <w:tcW w:w="200" w:type="dxa"/>
            <w:vAlign w:val="bottom"/>
            <w:shd w:val="clear" w:color="auto" w:fill="E5E5E5"/>
          </w:tcPr>
          <w:p>
            <w:pPr>
              <w:jc w:val="right"/>
              <w:spacing w:after="0" w:line="153" w:lineRule="exact"/>
              <w:rPr>
                <w:sz w:val="20"/>
                <w:szCs w:val="20"/>
                <w:color w:val="auto"/>
              </w:rPr>
            </w:pPr>
            <w:r>
              <w:rPr>
                <w:rFonts w:ascii="Arial" w:cs="Arial" w:eastAsia="Arial" w:hAnsi="Arial"/>
                <w:sz w:val="15"/>
                <w:szCs w:val="15"/>
                <w:color w:val="auto"/>
              </w:rPr>
              <w:t>iv</w:t>
            </w:r>
          </w:p>
        </w:tc>
        <w:tc>
          <w:tcPr>
            <w:tcW w:w="8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Borders>
              <w:top w:val="single" w:sz="8" w:color="E5E5E5"/>
              <w:bottom w:val="single" w:sz="8" w:color="E5E5E5"/>
            </w:tcBorders>
            <w:shd w:val="clear" w:color="auto" w:fill="E5E5E5"/>
          </w:tcPr>
          <w:p>
            <w:pPr>
              <w:spacing w:after="0"/>
              <w:rPr>
                <w:sz w:val="12"/>
                <w:szCs w:val="12"/>
                <w:color w:val="auto"/>
              </w:rPr>
            </w:pPr>
          </w:p>
        </w:tc>
        <w:tc>
          <w:tcPr>
            <w:tcW w:w="100" w:type="dxa"/>
            <w:vAlign w:val="bottom"/>
            <w:tcBorders>
              <w:top w:val="single" w:sz="8" w:color="E5E5E5"/>
              <w:bottom w:val="single" w:sz="8" w:color="E5E5E5"/>
              <w:right w:val="single" w:sz="8" w:color="E5E5E5"/>
            </w:tcBorders>
            <w:shd w:val="clear" w:color="auto" w:fill="E5E5E5"/>
          </w:tcPr>
          <w:p>
            <w:pPr>
              <w:spacing w:after="0"/>
              <w:rPr>
                <w:sz w:val="12"/>
                <w:szCs w:val="12"/>
                <w:color w:val="auto"/>
              </w:rPr>
            </w:pPr>
          </w:p>
        </w:tc>
        <w:tc>
          <w:tcPr>
            <w:tcW w:w="1220" w:type="dxa"/>
            <w:vAlign w:val="bottom"/>
            <w:tcBorders>
              <w:top w:val="single" w:sz="8" w:color="0000EE"/>
              <w:bottom w:val="single" w:sz="8" w:color="0000EE"/>
            </w:tcBorders>
            <w:gridSpan w:val="4"/>
            <w:shd w:val="clear" w:color="auto" w:fill="E5E5E5"/>
          </w:tcPr>
          <w:p>
            <w:pPr>
              <w:spacing w:after="0" w:line="140" w:lineRule="exact"/>
              <w:rPr>
                <w:rFonts w:ascii="Arial" w:cs="Arial" w:eastAsia="Arial" w:hAnsi="Arial"/>
                <w:sz w:val="15"/>
                <w:szCs w:val="15"/>
                <w:color w:val="0000EE"/>
                <w:w w:val="96"/>
              </w:rPr>
            </w:pPr>
            <w:hyperlink w:anchor="page9">
              <w:r>
                <w:rPr>
                  <w:rFonts w:ascii="Arial" w:cs="Arial" w:eastAsia="Arial" w:hAnsi="Arial"/>
                  <w:sz w:val="15"/>
                  <w:szCs w:val="15"/>
                  <w:color w:val="0000EE"/>
                  <w:w w:val="96"/>
                </w:rPr>
                <w:t>Director Nominees</w:t>
              </w:r>
            </w:hyperlink>
          </w:p>
        </w:tc>
        <w:tc>
          <w:tcPr>
            <w:tcW w:w="1040" w:type="dxa"/>
            <w:vAlign w:val="bottom"/>
            <w:tcBorders>
              <w:top w:val="single" w:sz="8" w:color="0000EE"/>
              <w:bottom w:val="single" w:sz="8" w:color="E5E5E5"/>
              <w:right w:val="single" w:sz="8" w:color="E5E5E5"/>
            </w:tcBorders>
            <w:gridSpan w:val="8"/>
            <w:shd w:val="clear" w:color="auto" w:fill="E5E5E5"/>
          </w:tcPr>
          <w:p>
            <w:pPr>
              <w:spacing w:after="0"/>
              <w:rPr>
                <w:sz w:val="12"/>
                <w:szCs w:val="12"/>
                <w:color w:val="auto"/>
              </w:rPr>
            </w:pPr>
          </w:p>
        </w:tc>
        <w:tc>
          <w:tcPr>
            <w:tcW w:w="180" w:type="dxa"/>
            <w:vAlign w:val="bottom"/>
            <w:tcBorders>
              <w:top w:val="single" w:sz="8" w:color="E5E5E5"/>
              <w:bottom w:val="single" w:sz="8" w:color="E5E5E5"/>
            </w:tcBorders>
            <w:shd w:val="clear" w:color="auto" w:fill="E5E5E5"/>
          </w:tcPr>
          <w:p>
            <w:pPr>
              <w:spacing w:after="0"/>
              <w:rPr>
                <w:sz w:val="12"/>
                <w:szCs w:val="12"/>
                <w:color w:val="auto"/>
              </w:rPr>
            </w:pPr>
          </w:p>
        </w:tc>
        <w:tc>
          <w:tcPr>
            <w:tcW w:w="700" w:type="dxa"/>
            <w:vAlign w:val="bottom"/>
            <w:tcBorders>
              <w:top w:val="single" w:sz="8" w:color="E5E5E5"/>
              <w:bottom w:val="single" w:sz="8" w:color="E5E5E5"/>
            </w:tcBorders>
            <w:shd w:val="clear" w:color="auto" w:fill="E5E5E5"/>
          </w:tcPr>
          <w:p>
            <w:pPr>
              <w:spacing w:after="0"/>
              <w:rPr>
                <w:sz w:val="12"/>
                <w:szCs w:val="12"/>
                <w:color w:val="auto"/>
              </w:rPr>
            </w:pPr>
          </w:p>
        </w:tc>
        <w:tc>
          <w:tcPr>
            <w:tcW w:w="180" w:type="dxa"/>
            <w:vAlign w:val="bottom"/>
            <w:tcBorders>
              <w:top w:val="single" w:sz="8" w:color="E5E5E5"/>
              <w:bottom w:val="single" w:sz="8" w:color="E5E5E5"/>
            </w:tcBorders>
            <w:shd w:val="clear" w:color="auto" w:fill="E5E5E5"/>
          </w:tcPr>
          <w:p>
            <w:pPr>
              <w:spacing w:after="0"/>
              <w:rPr>
                <w:sz w:val="12"/>
                <w:szCs w:val="12"/>
                <w:color w:val="auto"/>
              </w:rPr>
            </w:pPr>
          </w:p>
        </w:tc>
        <w:tc>
          <w:tcPr>
            <w:tcW w:w="160" w:type="dxa"/>
            <w:vAlign w:val="bottom"/>
            <w:tcBorders>
              <w:top w:val="single" w:sz="8" w:color="E5E5E5"/>
              <w:bottom w:val="single" w:sz="8" w:color="E5E5E5"/>
            </w:tcBorders>
            <w:shd w:val="clear" w:color="auto" w:fill="E5E5E5"/>
          </w:tcPr>
          <w:p>
            <w:pPr>
              <w:spacing w:after="0"/>
              <w:rPr>
                <w:sz w:val="12"/>
                <w:szCs w:val="12"/>
                <w:color w:val="auto"/>
              </w:rPr>
            </w:pPr>
          </w:p>
        </w:tc>
        <w:tc>
          <w:tcPr>
            <w:tcW w:w="140" w:type="dxa"/>
            <w:vAlign w:val="bottom"/>
            <w:tcBorders>
              <w:top w:val="single" w:sz="8" w:color="E5E5E5"/>
              <w:bottom w:val="single" w:sz="8" w:color="E5E5E5"/>
            </w:tcBorders>
            <w:shd w:val="clear" w:color="auto" w:fill="E5E5E5"/>
          </w:tcPr>
          <w:p>
            <w:pPr>
              <w:spacing w:after="0"/>
              <w:rPr>
                <w:sz w:val="12"/>
                <w:szCs w:val="12"/>
                <w:color w:val="auto"/>
              </w:rPr>
            </w:pPr>
          </w:p>
        </w:tc>
        <w:tc>
          <w:tcPr>
            <w:tcW w:w="240" w:type="dxa"/>
            <w:vAlign w:val="bottom"/>
            <w:tcBorders>
              <w:top w:val="single" w:sz="8" w:color="E5E5E5"/>
              <w:bottom w:val="single" w:sz="8" w:color="E5E5E5"/>
            </w:tcBorders>
            <w:shd w:val="clear" w:color="auto" w:fill="E5E5E5"/>
          </w:tcPr>
          <w:p>
            <w:pPr>
              <w:spacing w:after="0"/>
              <w:rPr>
                <w:sz w:val="12"/>
                <w:szCs w:val="12"/>
                <w:color w:val="auto"/>
              </w:rPr>
            </w:pPr>
          </w:p>
        </w:tc>
        <w:tc>
          <w:tcPr>
            <w:tcW w:w="180" w:type="dxa"/>
            <w:vAlign w:val="bottom"/>
            <w:tcBorders>
              <w:top w:val="single" w:sz="8" w:color="E5E5E5"/>
              <w:bottom w:val="single" w:sz="8" w:color="E5E5E5"/>
            </w:tcBorders>
            <w:shd w:val="clear" w:color="auto" w:fill="E5E5E5"/>
          </w:tcPr>
          <w:p>
            <w:pPr>
              <w:spacing w:after="0"/>
              <w:rPr>
                <w:sz w:val="12"/>
                <w:szCs w:val="12"/>
                <w:color w:val="auto"/>
              </w:rPr>
            </w:pPr>
          </w:p>
        </w:tc>
        <w:tc>
          <w:tcPr>
            <w:tcW w:w="520" w:type="dxa"/>
            <w:vAlign w:val="bottom"/>
            <w:tcBorders>
              <w:top w:val="single" w:sz="8" w:color="E5E5E5"/>
              <w:bottom w:val="single" w:sz="8" w:color="E5E5E5"/>
            </w:tcBorders>
            <w:gridSpan w:val="2"/>
            <w:shd w:val="clear" w:color="auto" w:fill="E5E5E5"/>
          </w:tcPr>
          <w:p>
            <w:pPr>
              <w:spacing w:after="0"/>
              <w:rPr>
                <w:sz w:val="12"/>
                <w:szCs w:val="12"/>
                <w:color w:val="auto"/>
              </w:rPr>
            </w:pPr>
          </w:p>
        </w:tc>
        <w:tc>
          <w:tcPr>
            <w:tcW w:w="200" w:type="dxa"/>
            <w:vAlign w:val="bottom"/>
            <w:tcBorders>
              <w:top w:val="single" w:sz="8" w:color="E5E5E5"/>
              <w:bottom w:val="single" w:sz="8" w:color="E5E5E5"/>
            </w:tcBorders>
            <w:shd w:val="clear" w:color="auto" w:fill="E5E5E5"/>
          </w:tcPr>
          <w:p>
            <w:pPr>
              <w:spacing w:after="0"/>
              <w:rPr>
                <w:sz w:val="12"/>
                <w:szCs w:val="12"/>
                <w:color w:val="auto"/>
              </w:rPr>
            </w:pPr>
          </w:p>
        </w:tc>
        <w:tc>
          <w:tcPr>
            <w:tcW w:w="40" w:type="dxa"/>
            <w:vAlign w:val="bottom"/>
            <w:tcBorders>
              <w:top w:val="single" w:sz="8" w:color="E5E5E5"/>
              <w:bottom w:val="single" w:sz="8" w:color="E5E5E5"/>
            </w:tcBorders>
            <w:shd w:val="clear" w:color="auto" w:fill="E5E5E5"/>
          </w:tcPr>
          <w:p>
            <w:pPr>
              <w:spacing w:after="0"/>
              <w:rPr>
                <w:sz w:val="12"/>
                <w:szCs w:val="12"/>
                <w:color w:val="auto"/>
              </w:rPr>
            </w:pPr>
          </w:p>
        </w:tc>
        <w:tc>
          <w:tcPr>
            <w:tcW w:w="200" w:type="dxa"/>
            <w:vAlign w:val="bottom"/>
            <w:tcBorders>
              <w:top w:val="single" w:sz="8" w:color="E5E5E5"/>
              <w:bottom w:val="single" w:sz="8" w:color="E5E5E5"/>
            </w:tcBorders>
            <w:shd w:val="clear" w:color="auto" w:fill="E5E5E5"/>
          </w:tcPr>
          <w:p>
            <w:pPr>
              <w:jc w:val="right"/>
              <w:spacing w:after="0" w:line="140" w:lineRule="exact"/>
              <w:rPr>
                <w:sz w:val="20"/>
                <w:szCs w:val="20"/>
                <w:color w:val="auto"/>
              </w:rPr>
            </w:pPr>
            <w:r>
              <w:rPr>
                <w:rFonts w:ascii="Arial" w:cs="Arial" w:eastAsia="Arial" w:hAnsi="Arial"/>
                <w:sz w:val="15"/>
                <w:szCs w:val="15"/>
                <w:color w:val="auto"/>
              </w:rPr>
              <w:t>v</w:t>
            </w:r>
          </w:p>
        </w:tc>
        <w:tc>
          <w:tcPr>
            <w:tcW w:w="80" w:type="dxa"/>
            <w:vAlign w:val="bottom"/>
            <w:tcBorders>
              <w:top w:val="single" w:sz="8" w:color="E5E5E5"/>
              <w:bottom w:val="single" w:sz="8" w:color="E5E5E5"/>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shd w:val="clear" w:color="auto" w:fill="E5E5E5"/>
          </w:tcPr>
          <w:p>
            <w:pPr>
              <w:spacing w:after="0"/>
              <w:rPr>
                <w:sz w:val="12"/>
                <w:szCs w:val="12"/>
                <w:color w:val="auto"/>
              </w:rPr>
            </w:pPr>
          </w:p>
        </w:tc>
        <w:tc>
          <w:tcPr>
            <w:tcW w:w="100" w:type="dxa"/>
            <w:vAlign w:val="bottom"/>
            <w:tcBorders>
              <w:right w:val="single" w:sz="8" w:color="E5E5E5"/>
            </w:tcBorders>
            <w:shd w:val="clear" w:color="auto" w:fill="E5E5E5"/>
          </w:tcPr>
          <w:p>
            <w:pPr>
              <w:spacing w:after="0"/>
              <w:rPr>
                <w:sz w:val="12"/>
                <w:szCs w:val="12"/>
                <w:color w:val="auto"/>
              </w:rPr>
            </w:pPr>
          </w:p>
        </w:tc>
        <w:tc>
          <w:tcPr>
            <w:tcW w:w="4560" w:type="dxa"/>
            <w:vAlign w:val="bottom"/>
            <w:gridSpan w:val="21"/>
            <w:shd w:val="clear" w:color="auto" w:fill="E5E5E5"/>
          </w:tcPr>
          <w:p>
            <w:pPr>
              <w:spacing w:after="0" w:line="140" w:lineRule="exact"/>
              <w:rPr>
                <w:rFonts w:ascii="Arial" w:cs="Arial" w:eastAsia="Arial" w:hAnsi="Arial"/>
                <w:sz w:val="15"/>
                <w:szCs w:val="15"/>
                <w:color w:val="0000EE"/>
              </w:rPr>
            </w:pPr>
            <w:hyperlink w:anchor="page10">
              <w:r>
                <w:rPr>
                  <w:rFonts w:ascii="Arial" w:cs="Arial" w:eastAsia="Arial" w:hAnsi="Arial"/>
                  <w:sz w:val="15"/>
                  <w:szCs w:val="15"/>
                  <w:color w:val="0000EE"/>
                </w:rPr>
                <w:t>Executive Compensation</w:t>
              </w:r>
            </w:hyperlink>
          </w:p>
        </w:tc>
        <w:tc>
          <w:tcPr>
            <w:tcW w:w="20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200" w:type="dxa"/>
            <w:vAlign w:val="bottom"/>
            <w:shd w:val="clear" w:color="auto" w:fill="E5E5E5"/>
          </w:tcPr>
          <w:p>
            <w:pPr>
              <w:jc w:val="right"/>
              <w:spacing w:after="0" w:line="140" w:lineRule="exact"/>
              <w:rPr>
                <w:sz w:val="20"/>
                <w:szCs w:val="20"/>
                <w:color w:val="auto"/>
              </w:rPr>
            </w:pPr>
            <w:r>
              <w:rPr>
                <w:rFonts w:ascii="Arial" w:cs="Arial" w:eastAsia="Arial" w:hAnsi="Arial"/>
                <w:sz w:val="15"/>
                <w:szCs w:val="15"/>
                <w:color w:val="auto"/>
              </w:rPr>
              <w:t>vi</w:t>
            </w:r>
          </w:p>
        </w:tc>
        <w:tc>
          <w:tcPr>
            <w:tcW w:w="8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Borders>
              <w:top w:val="single" w:sz="8" w:color="E5E5E5"/>
            </w:tcBorders>
            <w:shd w:val="clear" w:color="auto" w:fill="E5E5E5"/>
          </w:tcPr>
          <w:p>
            <w:pPr>
              <w:spacing w:after="0"/>
              <w:rPr>
                <w:sz w:val="12"/>
                <w:szCs w:val="12"/>
                <w:color w:val="auto"/>
              </w:rPr>
            </w:pPr>
          </w:p>
        </w:tc>
        <w:tc>
          <w:tcPr>
            <w:tcW w:w="100" w:type="dxa"/>
            <w:vAlign w:val="bottom"/>
            <w:tcBorders>
              <w:top w:val="single" w:sz="8" w:color="E5E5E5"/>
              <w:right w:val="single" w:sz="8" w:color="E5E5E5"/>
            </w:tcBorders>
            <w:shd w:val="clear" w:color="auto" w:fill="E5E5E5"/>
          </w:tcPr>
          <w:p>
            <w:pPr>
              <w:spacing w:after="0"/>
              <w:rPr>
                <w:sz w:val="12"/>
                <w:szCs w:val="12"/>
                <w:color w:val="auto"/>
              </w:rPr>
            </w:pPr>
          </w:p>
        </w:tc>
        <w:tc>
          <w:tcPr>
            <w:tcW w:w="1660" w:type="dxa"/>
            <w:vAlign w:val="bottom"/>
            <w:tcBorders>
              <w:top w:val="single" w:sz="8" w:color="0000EE"/>
              <w:right w:val="single" w:sz="8" w:color="E5E5E5"/>
            </w:tcBorders>
            <w:gridSpan w:val="9"/>
            <w:shd w:val="clear" w:color="auto" w:fill="E5E5E5"/>
          </w:tcPr>
          <w:p>
            <w:pPr>
              <w:spacing w:after="0" w:line="140" w:lineRule="exact"/>
              <w:rPr>
                <w:rFonts w:ascii="Arial" w:cs="Arial" w:eastAsia="Arial" w:hAnsi="Arial"/>
                <w:sz w:val="15"/>
                <w:szCs w:val="15"/>
                <w:color w:val="0000EE"/>
              </w:rPr>
            </w:pPr>
            <w:hyperlink w:anchor="page12">
              <w:r>
                <w:rPr>
                  <w:rFonts w:ascii="Arial" w:cs="Arial" w:eastAsia="Arial" w:hAnsi="Arial"/>
                  <w:sz w:val="15"/>
                  <w:szCs w:val="15"/>
                  <w:color w:val="0000EE"/>
                </w:rPr>
                <w:t>Sustainability</w:t>
              </w:r>
            </w:hyperlink>
          </w:p>
        </w:tc>
        <w:tc>
          <w:tcPr>
            <w:tcW w:w="120" w:type="dxa"/>
            <w:vAlign w:val="bottom"/>
            <w:tcBorders>
              <w:top w:val="single" w:sz="8" w:color="E5E5E5"/>
            </w:tcBorders>
            <w:shd w:val="clear" w:color="auto" w:fill="E5E5E5"/>
          </w:tcPr>
          <w:p>
            <w:pPr>
              <w:spacing w:after="0"/>
              <w:rPr>
                <w:sz w:val="12"/>
                <w:szCs w:val="12"/>
                <w:color w:val="auto"/>
              </w:rPr>
            </w:pPr>
          </w:p>
        </w:tc>
        <w:tc>
          <w:tcPr>
            <w:tcW w:w="220" w:type="dxa"/>
            <w:vAlign w:val="bottom"/>
            <w:tcBorders>
              <w:top w:val="single" w:sz="8" w:color="E5E5E5"/>
            </w:tcBorders>
            <w:shd w:val="clear" w:color="auto" w:fill="E5E5E5"/>
          </w:tcPr>
          <w:p>
            <w:pPr>
              <w:spacing w:after="0"/>
              <w:rPr>
                <w:sz w:val="12"/>
                <w:szCs w:val="12"/>
                <w:color w:val="auto"/>
              </w:rPr>
            </w:pPr>
          </w:p>
        </w:tc>
        <w:tc>
          <w:tcPr>
            <w:tcW w:w="260" w:type="dxa"/>
            <w:vAlign w:val="bottom"/>
            <w:tcBorders>
              <w:top w:val="single" w:sz="8" w:color="E5E5E5"/>
              <w:right w:val="single" w:sz="8" w:color="E5E5E5"/>
            </w:tcBorders>
            <w:shd w:val="clear" w:color="auto" w:fill="E5E5E5"/>
          </w:tcPr>
          <w:p>
            <w:pPr>
              <w:spacing w:after="0"/>
              <w:rPr>
                <w:sz w:val="12"/>
                <w:szCs w:val="12"/>
                <w:color w:val="auto"/>
              </w:rPr>
            </w:pPr>
          </w:p>
        </w:tc>
        <w:tc>
          <w:tcPr>
            <w:tcW w:w="180" w:type="dxa"/>
            <w:vAlign w:val="bottom"/>
            <w:tcBorders>
              <w:top w:val="single" w:sz="8" w:color="E5E5E5"/>
            </w:tcBorders>
            <w:shd w:val="clear" w:color="auto" w:fill="E5E5E5"/>
          </w:tcPr>
          <w:p>
            <w:pPr>
              <w:spacing w:after="0"/>
              <w:rPr>
                <w:sz w:val="12"/>
                <w:szCs w:val="12"/>
                <w:color w:val="auto"/>
              </w:rPr>
            </w:pPr>
          </w:p>
        </w:tc>
        <w:tc>
          <w:tcPr>
            <w:tcW w:w="700" w:type="dxa"/>
            <w:vAlign w:val="bottom"/>
            <w:tcBorders>
              <w:top w:val="single" w:sz="8" w:color="E5E5E5"/>
            </w:tcBorders>
            <w:shd w:val="clear" w:color="auto" w:fill="E5E5E5"/>
          </w:tcPr>
          <w:p>
            <w:pPr>
              <w:spacing w:after="0"/>
              <w:rPr>
                <w:sz w:val="12"/>
                <w:szCs w:val="12"/>
                <w:color w:val="auto"/>
              </w:rPr>
            </w:pPr>
          </w:p>
        </w:tc>
        <w:tc>
          <w:tcPr>
            <w:tcW w:w="180" w:type="dxa"/>
            <w:vAlign w:val="bottom"/>
            <w:tcBorders>
              <w:top w:val="single" w:sz="8" w:color="E5E5E5"/>
            </w:tcBorders>
            <w:shd w:val="clear" w:color="auto" w:fill="E5E5E5"/>
          </w:tcPr>
          <w:p>
            <w:pPr>
              <w:spacing w:after="0"/>
              <w:rPr>
                <w:sz w:val="12"/>
                <w:szCs w:val="12"/>
                <w:color w:val="auto"/>
              </w:rPr>
            </w:pPr>
          </w:p>
        </w:tc>
        <w:tc>
          <w:tcPr>
            <w:tcW w:w="160" w:type="dxa"/>
            <w:vAlign w:val="bottom"/>
            <w:tcBorders>
              <w:top w:val="single" w:sz="8" w:color="E5E5E5"/>
            </w:tcBorders>
            <w:shd w:val="clear" w:color="auto" w:fill="E5E5E5"/>
          </w:tcPr>
          <w:p>
            <w:pPr>
              <w:spacing w:after="0"/>
              <w:rPr>
                <w:sz w:val="12"/>
                <w:szCs w:val="12"/>
                <w:color w:val="auto"/>
              </w:rPr>
            </w:pPr>
          </w:p>
        </w:tc>
        <w:tc>
          <w:tcPr>
            <w:tcW w:w="140" w:type="dxa"/>
            <w:vAlign w:val="bottom"/>
            <w:tcBorders>
              <w:top w:val="single" w:sz="8" w:color="E5E5E5"/>
            </w:tcBorders>
            <w:shd w:val="clear" w:color="auto" w:fill="E5E5E5"/>
          </w:tcPr>
          <w:p>
            <w:pPr>
              <w:spacing w:after="0"/>
              <w:rPr>
                <w:sz w:val="12"/>
                <w:szCs w:val="12"/>
                <w:color w:val="auto"/>
              </w:rPr>
            </w:pPr>
          </w:p>
        </w:tc>
        <w:tc>
          <w:tcPr>
            <w:tcW w:w="240" w:type="dxa"/>
            <w:vAlign w:val="bottom"/>
            <w:tcBorders>
              <w:top w:val="single" w:sz="8" w:color="E5E5E5"/>
            </w:tcBorders>
            <w:shd w:val="clear" w:color="auto" w:fill="E5E5E5"/>
          </w:tcPr>
          <w:p>
            <w:pPr>
              <w:spacing w:after="0"/>
              <w:rPr>
                <w:sz w:val="12"/>
                <w:szCs w:val="12"/>
                <w:color w:val="auto"/>
              </w:rPr>
            </w:pPr>
          </w:p>
        </w:tc>
        <w:tc>
          <w:tcPr>
            <w:tcW w:w="180" w:type="dxa"/>
            <w:vAlign w:val="bottom"/>
            <w:tcBorders>
              <w:top w:val="single" w:sz="8" w:color="E5E5E5"/>
            </w:tcBorders>
            <w:shd w:val="clear" w:color="auto" w:fill="E5E5E5"/>
          </w:tcPr>
          <w:p>
            <w:pPr>
              <w:spacing w:after="0"/>
              <w:rPr>
                <w:sz w:val="12"/>
                <w:szCs w:val="12"/>
                <w:color w:val="auto"/>
              </w:rPr>
            </w:pPr>
          </w:p>
        </w:tc>
        <w:tc>
          <w:tcPr>
            <w:tcW w:w="520" w:type="dxa"/>
            <w:vAlign w:val="bottom"/>
            <w:tcBorders>
              <w:top w:val="single" w:sz="8" w:color="E5E5E5"/>
            </w:tcBorders>
            <w:gridSpan w:val="2"/>
            <w:shd w:val="clear" w:color="auto" w:fill="E5E5E5"/>
          </w:tcPr>
          <w:p>
            <w:pPr>
              <w:spacing w:after="0"/>
              <w:rPr>
                <w:sz w:val="12"/>
                <w:szCs w:val="12"/>
                <w:color w:val="auto"/>
              </w:rPr>
            </w:pPr>
          </w:p>
        </w:tc>
        <w:tc>
          <w:tcPr>
            <w:tcW w:w="200" w:type="dxa"/>
            <w:vAlign w:val="bottom"/>
            <w:tcBorders>
              <w:top w:val="single" w:sz="8" w:color="E5E5E5"/>
            </w:tcBorders>
            <w:shd w:val="clear" w:color="auto" w:fill="E5E5E5"/>
          </w:tcPr>
          <w:p>
            <w:pPr>
              <w:spacing w:after="0"/>
              <w:rPr>
                <w:sz w:val="12"/>
                <w:szCs w:val="12"/>
                <w:color w:val="auto"/>
              </w:rPr>
            </w:pPr>
          </w:p>
        </w:tc>
        <w:tc>
          <w:tcPr>
            <w:tcW w:w="40" w:type="dxa"/>
            <w:vAlign w:val="bottom"/>
            <w:tcBorders>
              <w:top w:val="single" w:sz="8" w:color="E5E5E5"/>
            </w:tcBorders>
            <w:shd w:val="clear" w:color="auto" w:fill="E5E5E5"/>
          </w:tcPr>
          <w:p>
            <w:pPr>
              <w:spacing w:after="0"/>
              <w:rPr>
                <w:sz w:val="12"/>
                <w:szCs w:val="12"/>
                <w:color w:val="auto"/>
              </w:rPr>
            </w:pPr>
          </w:p>
        </w:tc>
        <w:tc>
          <w:tcPr>
            <w:tcW w:w="200" w:type="dxa"/>
            <w:vAlign w:val="bottom"/>
            <w:tcBorders>
              <w:top w:val="single" w:sz="8" w:color="E5E5E5"/>
            </w:tcBorders>
            <w:shd w:val="clear" w:color="auto" w:fill="E5E5E5"/>
          </w:tcPr>
          <w:p>
            <w:pPr>
              <w:jc w:val="right"/>
              <w:spacing w:after="0" w:line="140" w:lineRule="exact"/>
              <w:rPr>
                <w:sz w:val="20"/>
                <w:szCs w:val="20"/>
                <w:color w:val="auto"/>
              </w:rPr>
            </w:pPr>
            <w:r>
              <w:rPr>
                <w:rFonts w:ascii="Arial" w:cs="Arial" w:eastAsia="Arial" w:hAnsi="Arial"/>
                <w:sz w:val="15"/>
                <w:szCs w:val="15"/>
                <w:color w:val="auto"/>
              </w:rPr>
              <w:t>viii</w:t>
            </w:r>
          </w:p>
        </w:tc>
        <w:tc>
          <w:tcPr>
            <w:tcW w:w="80" w:type="dxa"/>
            <w:vAlign w:val="bottom"/>
            <w:tcBorders>
              <w:top w:val="single" w:sz="8" w:color="E5E5E5"/>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E5E5E5"/>
          </w:tcPr>
          <w:p>
            <w:pPr>
              <w:spacing w:after="0" w:line="20" w:lineRule="exact"/>
              <w:rPr>
                <w:sz w:val="1"/>
                <w:szCs w:val="1"/>
                <w:color w:val="auto"/>
              </w:rPr>
            </w:pPr>
          </w:p>
        </w:tc>
        <w:tc>
          <w:tcPr>
            <w:tcW w:w="100" w:type="dxa"/>
            <w:vAlign w:val="bottom"/>
            <w:tcBorders>
              <w:right w:val="single" w:sz="8" w:color="E5E5E5"/>
            </w:tcBorders>
            <w:shd w:val="clear" w:color="auto" w:fill="E5E5E5"/>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shd w:val="clear" w:color="auto" w:fill="E5E5E5"/>
          </w:tcPr>
          <w:p>
            <w:pPr>
              <w:spacing w:after="0" w:line="20" w:lineRule="exact"/>
              <w:rPr>
                <w:sz w:val="1"/>
                <w:szCs w:val="1"/>
                <w:color w:val="auto"/>
              </w:rPr>
            </w:pPr>
          </w:p>
        </w:tc>
        <w:tc>
          <w:tcPr>
            <w:tcW w:w="160" w:type="dxa"/>
            <w:vAlign w:val="bottom"/>
            <w:shd w:val="clear" w:color="auto" w:fill="E5E5E5"/>
          </w:tcPr>
          <w:p>
            <w:pPr>
              <w:spacing w:after="0" w:line="20" w:lineRule="exact"/>
              <w:rPr>
                <w:sz w:val="1"/>
                <w:szCs w:val="1"/>
                <w:color w:val="auto"/>
              </w:rPr>
            </w:pPr>
          </w:p>
        </w:tc>
        <w:tc>
          <w:tcPr>
            <w:tcW w:w="100" w:type="dxa"/>
            <w:vAlign w:val="bottom"/>
            <w:shd w:val="clear" w:color="auto" w:fill="E5E5E5"/>
          </w:tcPr>
          <w:p>
            <w:pPr>
              <w:spacing w:after="0" w:line="20" w:lineRule="exact"/>
              <w:rPr>
                <w:sz w:val="1"/>
                <w:szCs w:val="1"/>
                <w:color w:val="auto"/>
              </w:rPr>
            </w:pPr>
          </w:p>
        </w:tc>
        <w:tc>
          <w:tcPr>
            <w:tcW w:w="100" w:type="dxa"/>
            <w:vAlign w:val="bottom"/>
            <w:shd w:val="clear" w:color="auto" w:fill="E5E5E5"/>
          </w:tcPr>
          <w:p>
            <w:pPr>
              <w:spacing w:after="0" w:line="20" w:lineRule="exact"/>
              <w:rPr>
                <w:sz w:val="1"/>
                <w:szCs w:val="1"/>
                <w:color w:val="auto"/>
              </w:rPr>
            </w:pPr>
          </w:p>
        </w:tc>
        <w:tc>
          <w:tcPr>
            <w:tcW w:w="60" w:type="dxa"/>
            <w:vAlign w:val="bottom"/>
            <w:shd w:val="clear" w:color="auto" w:fill="E5E5E5"/>
          </w:tcPr>
          <w:p>
            <w:pPr>
              <w:spacing w:after="0" w:line="20" w:lineRule="exact"/>
              <w:rPr>
                <w:sz w:val="1"/>
                <w:szCs w:val="1"/>
                <w:color w:val="auto"/>
              </w:rPr>
            </w:pPr>
          </w:p>
        </w:tc>
        <w:tc>
          <w:tcPr>
            <w:tcW w:w="60" w:type="dxa"/>
            <w:vAlign w:val="bottom"/>
            <w:shd w:val="clear" w:color="auto" w:fill="E5E5E5"/>
          </w:tcPr>
          <w:p>
            <w:pPr>
              <w:spacing w:after="0" w:line="20" w:lineRule="exact"/>
              <w:rPr>
                <w:sz w:val="1"/>
                <w:szCs w:val="1"/>
                <w:color w:val="auto"/>
              </w:rPr>
            </w:pPr>
          </w:p>
        </w:tc>
        <w:tc>
          <w:tcPr>
            <w:tcW w:w="80" w:type="dxa"/>
            <w:vAlign w:val="bottom"/>
            <w:tcBorders>
              <w:right w:val="single" w:sz="8" w:color="E5E5E5"/>
            </w:tcBorders>
            <w:shd w:val="clear" w:color="auto" w:fill="E5E5E5"/>
          </w:tcPr>
          <w:p>
            <w:pPr>
              <w:spacing w:after="0" w:line="20" w:lineRule="exact"/>
              <w:rPr>
                <w:sz w:val="1"/>
                <w:szCs w:val="1"/>
                <w:color w:val="auto"/>
              </w:rPr>
            </w:pPr>
          </w:p>
        </w:tc>
        <w:tc>
          <w:tcPr>
            <w:tcW w:w="140" w:type="dxa"/>
            <w:vAlign w:val="bottom"/>
            <w:tcBorders>
              <w:right w:val="single" w:sz="8" w:color="E5E5E5"/>
            </w:tcBorders>
            <w:shd w:val="clear" w:color="auto" w:fill="E5E5E5"/>
          </w:tcPr>
          <w:p>
            <w:pPr>
              <w:spacing w:after="0" w:line="20" w:lineRule="exact"/>
              <w:rPr>
                <w:sz w:val="1"/>
                <w:szCs w:val="1"/>
                <w:color w:val="auto"/>
              </w:rPr>
            </w:pPr>
          </w:p>
        </w:tc>
        <w:tc>
          <w:tcPr>
            <w:tcW w:w="120" w:type="dxa"/>
            <w:vAlign w:val="bottom"/>
            <w:shd w:val="clear" w:color="auto" w:fill="E5E5E5"/>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260" w:type="dxa"/>
            <w:vAlign w:val="bottom"/>
            <w:tcBorders>
              <w:right w:val="single" w:sz="8" w:color="E5E5E5"/>
            </w:tcBorders>
            <w:shd w:val="clear" w:color="auto" w:fill="E5E5E5"/>
          </w:tcPr>
          <w:p>
            <w:pPr>
              <w:spacing w:after="0" w:line="20" w:lineRule="exact"/>
              <w:rPr>
                <w:sz w:val="1"/>
                <w:szCs w:val="1"/>
                <w:color w:val="auto"/>
              </w:rPr>
            </w:pPr>
          </w:p>
        </w:tc>
        <w:tc>
          <w:tcPr>
            <w:tcW w:w="180" w:type="dxa"/>
            <w:vAlign w:val="bottom"/>
            <w:shd w:val="clear" w:color="auto" w:fill="E5E5E5"/>
          </w:tcPr>
          <w:p>
            <w:pPr>
              <w:spacing w:after="0" w:line="20" w:lineRule="exact"/>
              <w:rPr>
                <w:sz w:val="1"/>
                <w:szCs w:val="1"/>
                <w:color w:val="auto"/>
              </w:rPr>
            </w:pPr>
          </w:p>
        </w:tc>
        <w:tc>
          <w:tcPr>
            <w:tcW w:w="700" w:type="dxa"/>
            <w:vAlign w:val="bottom"/>
            <w:shd w:val="clear" w:color="auto" w:fill="E5E5E5"/>
          </w:tcPr>
          <w:p>
            <w:pPr>
              <w:spacing w:after="0" w:line="20" w:lineRule="exact"/>
              <w:rPr>
                <w:sz w:val="1"/>
                <w:szCs w:val="1"/>
                <w:color w:val="auto"/>
              </w:rPr>
            </w:pPr>
          </w:p>
        </w:tc>
        <w:tc>
          <w:tcPr>
            <w:tcW w:w="180" w:type="dxa"/>
            <w:vAlign w:val="bottom"/>
            <w:shd w:val="clear" w:color="auto" w:fill="E5E5E5"/>
          </w:tcPr>
          <w:p>
            <w:pPr>
              <w:spacing w:after="0" w:line="20" w:lineRule="exact"/>
              <w:rPr>
                <w:sz w:val="1"/>
                <w:szCs w:val="1"/>
                <w:color w:val="auto"/>
              </w:rPr>
            </w:pPr>
          </w:p>
        </w:tc>
        <w:tc>
          <w:tcPr>
            <w:tcW w:w="160" w:type="dxa"/>
            <w:vAlign w:val="bottom"/>
            <w:shd w:val="clear" w:color="auto" w:fill="E5E5E5"/>
          </w:tcPr>
          <w:p>
            <w:pPr>
              <w:spacing w:after="0" w:line="20" w:lineRule="exact"/>
              <w:rPr>
                <w:sz w:val="1"/>
                <w:szCs w:val="1"/>
                <w:color w:val="auto"/>
              </w:rPr>
            </w:pPr>
          </w:p>
        </w:tc>
        <w:tc>
          <w:tcPr>
            <w:tcW w:w="140" w:type="dxa"/>
            <w:vAlign w:val="bottom"/>
            <w:shd w:val="clear" w:color="auto" w:fill="E5E5E5"/>
          </w:tcPr>
          <w:p>
            <w:pPr>
              <w:spacing w:after="0" w:line="20" w:lineRule="exact"/>
              <w:rPr>
                <w:sz w:val="1"/>
                <w:szCs w:val="1"/>
                <w:color w:val="auto"/>
              </w:rPr>
            </w:pPr>
          </w:p>
        </w:tc>
        <w:tc>
          <w:tcPr>
            <w:tcW w:w="240" w:type="dxa"/>
            <w:vAlign w:val="bottom"/>
            <w:shd w:val="clear" w:color="auto" w:fill="E5E5E5"/>
          </w:tcPr>
          <w:p>
            <w:pPr>
              <w:spacing w:after="0" w:line="20" w:lineRule="exact"/>
              <w:rPr>
                <w:sz w:val="1"/>
                <w:szCs w:val="1"/>
                <w:color w:val="auto"/>
              </w:rPr>
            </w:pPr>
          </w:p>
        </w:tc>
        <w:tc>
          <w:tcPr>
            <w:tcW w:w="180" w:type="dxa"/>
            <w:vAlign w:val="bottom"/>
            <w:shd w:val="clear" w:color="auto" w:fill="E5E5E5"/>
          </w:tcPr>
          <w:p>
            <w:pPr>
              <w:spacing w:after="0" w:line="20" w:lineRule="exact"/>
              <w:rPr>
                <w:sz w:val="1"/>
                <w:szCs w:val="1"/>
                <w:color w:val="auto"/>
              </w:rPr>
            </w:pPr>
          </w:p>
        </w:tc>
        <w:tc>
          <w:tcPr>
            <w:tcW w:w="300" w:type="dxa"/>
            <w:vAlign w:val="bottom"/>
            <w:shd w:val="clear" w:color="auto" w:fill="E5E5E5"/>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200" w:type="dxa"/>
            <w:vAlign w:val="bottom"/>
            <w:shd w:val="clear" w:color="auto" w:fill="E5E5E5"/>
          </w:tcPr>
          <w:p>
            <w:pPr>
              <w:spacing w:after="0" w:line="20" w:lineRule="exact"/>
              <w:rPr>
                <w:sz w:val="1"/>
                <w:szCs w:val="1"/>
                <w:color w:val="auto"/>
              </w:rPr>
            </w:pPr>
          </w:p>
        </w:tc>
        <w:tc>
          <w:tcPr>
            <w:tcW w:w="40" w:type="dxa"/>
            <w:vAlign w:val="bottom"/>
            <w:shd w:val="clear" w:color="auto" w:fill="E5E5E5"/>
          </w:tcPr>
          <w:p>
            <w:pPr>
              <w:spacing w:after="0" w:line="20" w:lineRule="exact"/>
              <w:rPr>
                <w:sz w:val="1"/>
                <w:szCs w:val="1"/>
                <w:color w:val="auto"/>
              </w:rPr>
            </w:pPr>
          </w:p>
        </w:tc>
        <w:tc>
          <w:tcPr>
            <w:tcW w:w="200" w:type="dxa"/>
            <w:vAlign w:val="bottom"/>
            <w:shd w:val="clear" w:color="auto" w:fill="E5E5E5"/>
          </w:tcPr>
          <w:p>
            <w:pPr>
              <w:spacing w:after="0" w:line="20" w:lineRule="exact"/>
              <w:rPr>
                <w:sz w:val="1"/>
                <w:szCs w:val="1"/>
                <w:color w:val="auto"/>
              </w:rPr>
            </w:pPr>
          </w:p>
        </w:tc>
        <w:tc>
          <w:tcPr>
            <w:tcW w:w="8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4660" w:type="dxa"/>
            <w:vAlign w:val="bottom"/>
            <w:gridSpan w:val="22"/>
          </w:tcPr>
          <w:p>
            <w:pPr>
              <w:spacing w:after="0"/>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PROXY STATEMENT</w:t>
              </w:r>
            </w:hyperlink>
          </w:p>
        </w:tc>
        <w:tc>
          <w:tcPr>
            <w:tcW w:w="520" w:type="dxa"/>
            <w:vAlign w:val="bottom"/>
            <w:gridSpan w:val="4"/>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Borders>
              <w:bottom w:val="single" w:sz="8" w:color="007549"/>
            </w:tcBorders>
          </w:tcPr>
          <w:p>
            <w:pPr>
              <w:spacing w:after="0" w:line="20" w:lineRule="exact"/>
              <w:rPr>
                <w:sz w:val="1"/>
                <w:szCs w:val="1"/>
                <w:color w:val="auto"/>
              </w:rPr>
            </w:pPr>
          </w:p>
        </w:tc>
        <w:tc>
          <w:tcPr>
            <w:tcW w:w="100" w:type="dxa"/>
            <w:vAlign w:val="bottom"/>
            <w:tcBorders>
              <w:top w:val="single" w:sz="8" w:color="0000EE"/>
              <w:bottom w:val="single" w:sz="8" w:color="007549"/>
            </w:tcBorders>
          </w:tcPr>
          <w:p>
            <w:pPr>
              <w:spacing w:after="0" w:line="20" w:lineRule="exact"/>
              <w:rPr>
                <w:sz w:val="1"/>
                <w:szCs w:val="1"/>
                <w:color w:val="auto"/>
              </w:rPr>
            </w:pPr>
          </w:p>
        </w:tc>
        <w:tc>
          <w:tcPr>
            <w:tcW w:w="860" w:type="dxa"/>
            <w:vAlign w:val="bottom"/>
            <w:tcBorders>
              <w:top w:val="single" w:sz="8" w:color="0000EE"/>
              <w:bottom w:val="single" w:sz="8" w:color="007549"/>
            </w:tcBorders>
          </w:tcPr>
          <w:p>
            <w:pPr>
              <w:spacing w:after="0" w:line="20" w:lineRule="exact"/>
              <w:rPr>
                <w:sz w:val="1"/>
                <w:szCs w:val="1"/>
                <w:color w:val="auto"/>
              </w:rPr>
            </w:pPr>
          </w:p>
        </w:tc>
        <w:tc>
          <w:tcPr>
            <w:tcW w:w="100" w:type="dxa"/>
            <w:vAlign w:val="bottom"/>
            <w:tcBorders>
              <w:top w:val="single" w:sz="8" w:color="0000EE"/>
              <w:bottom w:val="single" w:sz="8" w:color="007549"/>
            </w:tcBorders>
          </w:tcPr>
          <w:p>
            <w:pPr>
              <w:spacing w:after="0" w:line="20" w:lineRule="exact"/>
              <w:rPr>
                <w:sz w:val="1"/>
                <w:szCs w:val="1"/>
                <w:color w:val="auto"/>
              </w:rPr>
            </w:pPr>
          </w:p>
        </w:tc>
        <w:tc>
          <w:tcPr>
            <w:tcW w:w="160" w:type="dxa"/>
            <w:vAlign w:val="bottom"/>
            <w:tcBorders>
              <w:top w:val="single" w:sz="8" w:color="0000EE"/>
              <w:bottom w:val="single" w:sz="8" w:color="007549"/>
            </w:tcBorders>
          </w:tcPr>
          <w:p>
            <w:pPr>
              <w:spacing w:after="0" w:line="20" w:lineRule="exact"/>
              <w:rPr>
                <w:sz w:val="1"/>
                <w:szCs w:val="1"/>
                <w:color w:val="auto"/>
              </w:rPr>
            </w:pPr>
          </w:p>
        </w:tc>
        <w:tc>
          <w:tcPr>
            <w:tcW w:w="100" w:type="dxa"/>
            <w:vAlign w:val="bottom"/>
            <w:tcBorders>
              <w:top w:val="single" w:sz="8" w:color="0000EE"/>
              <w:bottom w:val="single" w:sz="8" w:color="007549"/>
            </w:tcBorders>
          </w:tcPr>
          <w:p>
            <w:pPr>
              <w:spacing w:after="0" w:line="20" w:lineRule="exact"/>
              <w:rPr>
                <w:sz w:val="1"/>
                <w:szCs w:val="1"/>
                <w:color w:val="auto"/>
              </w:rPr>
            </w:pPr>
          </w:p>
        </w:tc>
        <w:tc>
          <w:tcPr>
            <w:tcW w:w="100" w:type="dxa"/>
            <w:vAlign w:val="bottom"/>
            <w:tcBorders>
              <w:top w:val="single" w:sz="8" w:color="0000EE"/>
              <w:bottom w:val="single" w:sz="8" w:color="007549"/>
            </w:tcBorders>
          </w:tcPr>
          <w:p>
            <w:pPr>
              <w:spacing w:after="0" w:line="20" w:lineRule="exact"/>
              <w:rPr>
                <w:sz w:val="1"/>
                <w:szCs w:val="1"/>
                <w:color w:val="auto"/>
              </w:rPr>
            </w:pPr>
          </w:p>
        </w:tc>
        <w:tc>
          <w:tcPr>
            <w:tcW w:w="60" w:type="dxa"/>
            <w:vAlign w:val="bottom"/>
            <w:tcBorders>
              <w:top w:val="single" w:sz="8" w:color="0000EE"/>
              <w:bottom w:val="single" w:sz="8" w:color="007549"/>
            </w:tcBorders>
          </w:tcPr>
          <w:p>
            <w:pPr>
              <w:spacing w:after="0" w:line="20" w:lineRule="exact"/>
              <w:rPr>
                <w:sz w:val="1"/>
                <w:szCs w:val="1"/>
                <w:color w:val="auto"/>
              </w:rPr>
            </w:pPr>
          </w:p>
        </w:tc>
        <w:tc>
          <w:tcPr>
            <w:tcW w:w="60" w:type="dxa"/>
            <w:vAlign w:val="bottom"/>
            <w:tcBorders>
              <w:top w:val="single" w:sz="8" w:color="0000EE"/>
              <w:bottom w:val="single" w:sz="8" w:color="007549"/>
            </w:tcBorders>
          </w:tcPr>
          <w:p>
            <w:pPr>
              <w:spacing w:after="0" w:line="20" w:lineRule="exact"/>
              <w:rPr>
                <w:sz w:val="1"/>
                <w:szCs w:val="1"/>
                <w:color w:val="auto"/>
              </w:rPr>
            </w:pPr>
          </w:p>
        </w:tc>
        <w:tc>
          <w:tcPr>
            <w:tcW w:w="80" w:type="dxa"/>
            <w:vAlign w:val="bottom"/>
            <w:tcBorders>
              <w:top w:val="single" w:sz="8" w:color="0000EE"/>
              <w:bottom w:val="single" w:sz="8" w:color="007549"/>
            </w:tcBorders>
          </w:tcPr>
          <w:p>
            <w:pPr>
              <w:spacing w:after="0" w:line="20" w:lineRule="exact"/>
              <w:rPr>
                <w:sz w:val="1"/>
                <w:szCs w:val="1"/>
                <w:color w:val="auto"/>
              </w:rPr>
            </w:pPr>
          </w:p>
        </w:tc>
        <w:tc>
          <w:tcPr>
            <w:tcW w:w="140" w:type="dxa"/>
            <w:vAlign w:val="bottom"/>
            <w:tcBorders>
              <w:top w:val="single" w:sz="8" w:color="0000EE"/>
              <w:bottom w:val="single" w:sz="8" w:color="007549"/>
            </w:tcBorders>
          </w:tcPr>
          <w:p>
            <w:pPr>
              <w:spacing w:after="0" w:line="20" w:lineRule="exact"/>
              <w:rPr>
                <w:sz w:val="1"/>
                <w:szCs w:val="1"/>
                <w:color w:val="auto"/>
              </w:rPr>
            </w:pPr>
          </w:p>
        </w:tc>
        <w:tc>
          <w:tcPr>
            <w:tcW w:w="120" w:type="dxa"/>
            <w:vAlign w:val="bottom"/>
            <w:tcBorders>
              <w:bottom w:val="single" w:sz="8" w:color="007549"/>
            </w:tcBorders>
          </w:tcPr>
          <w:p>
            <w:pPr>
              <w:spacing w:after="0" w:line="20" w:lineRule="exact"/>
              <w:rPr>
                <w:sz w:val="1"/>
                <w:szCs w:val="1"/>
                <w:color w:val="auto"/>
              </w:rPr>
            </w:pPr>
          </w:p>
        </w:tc>
        <w:tc>
          <w:tcPr>
            <w:tcW w:w="220" w:type="dxa"/>
            <w:vAlign w:val="bottom"/>
            <w:tcBorders>
              <w:bottom w:val="single" w:sz="8" w:color="007549"/>
            </w:tcBorders>
          </w:tcPr>
          <w:p>
            <w:pPr>
              <w:spacing w:after="0" w:line="20" w:lineRule="exact"/>
              <w:rPr>
                <w:sz w:val="1"/>
                <w:szCs w:val="1"/>
                <w:color w:val="auto"/>
              </w:rPr>
            </w:pPr>
          </w:p>
        </w:tc>
        <w:tc>
          <w:tcPr>
            <w:tcW w:w="260" w:type="dxa"/>
            <w:vAlign w:val="bottom"/>
            <w:tcBorders>
              <w:bottom w:val="single" w:sz="8" w:color="007549"/>
            </w:tcBorders>
          </w:tcPr>
          <w:p>
            <w:pPr>
              <w:spacing w:after="0" w:line="20" w:lineRule="exact"/>
              <w:rPr>
                <w:sz w:val="1"/>
                <w:szCs w:val="1"/>
                <w:color w:val="auto"/>
              </w:rPr>
            </w:pPr>
          </w:p>
        </w:tc>
        <w:tc>
          <w:tcPr>
            <w:tcW w:w="180" w:type="dxa"/>
            <w:vAlign w:val="bottom"/>
            <w:tcBorders>
              <w:bottom w:val="single" w:sz="8" w:color="007549"/>
            </w:tcBorders>
          </w:tcPr>
          <w:p>
            <w:pPr>
              <w:spacing w:after="0" w:line="20" w:lineRule="exact"/>
              <w:rPr>
                <w:sz w:val="1"/>
                <w:szCs w:val="1"/>
                <w:color w:val="auto"/>
              </w:rPr>
            </w:pPr>
          </w:p>
        </w:tc>
        <w:tc>
          <w:tcPr>
            <w:tcW w:w="700" w:type="dxa"/>
            <w:vAlign w:val="bottom"/>
            <w:tcBorders>
              <w:bottom w:val="single" w:sz="8" w:color="007549"/>
            </w:tcBorders>
          </w:tcPr>
          <w:p>
            <w:pPr>
              <w:spacing w:after="0" w:line="20" w:lineRule="exact"/>
              <w:rPr>
                <w:sz w:val="1"/>
                <w:szCs w:val="1"/>
                <w:color w:val="auto"/>
              </w:rPr>
            </w:pPr>
          </w:p>
        </w:tc>
        <w:tc>
          <w:tcPr>
            <w:tcW w:w="180" w:type="dxa"/>
            <w:vAlign w:val="bottom"/>
            <w:tcBorders>
              <w:bottom w:val="single" w:sz="8" w:color="007549"/>
            </w:tcBorders>
          </w:tcPr>
          <w:p>
            <w:pPr>
              <w:spacing w:after="0" w:line="20" w:lineRule="exact"/>
              <w:rPr>
                <w:sz w:val="1"/>
                <w:szCs w:val="1"/>
                <w:color w:val="auto"/>
              </w:rPr>
            </w:pPr>
          </w:p>
        </w:tc>
        <w:tc>
          <w:tcPr>
            <w:tcW w:w="160" w:type="dxa"/>
            <w:vAlign w:val="bottom"/>
            <w:tcBorders>
              <w:bottom w:val="single" w:sz="8" w:color="007549"/>
            </w:tcBorders>
          </w:tcPr>
          <w:p>
            <w:pPr>
              <w:spacing w:after="0" w:line="20" w:lineRule="exact"/>
              <w:rPr>
                <w:sz w:val="1"/>
                <w:szCs w:val="1"/>
                <w:color w:val="auto"/>
              </w:rPr>
            </w:pPr>
          </w:p>
        </w:tc>
        <w:tc>
          <w:tcPr>
            <w:tcW w:w="140" w:type="dxa"/>
            <w:vAlign w:val="bottom"/>
            <w:tcBorders>
              <w:bottom w:val="single" w:sz="8" w:color="007549"/>
            </w:tcBorders>
          </w:tcPr>
          <w:p>
            <w:pPr>
              <w:spacing w:after="0" w:line="20" w:lineRule="exact"/>
              <w:rPr>
                <w:sz w:val="1"/>
                <w:szCs w:val="1"/>
                <w:color w:val="auto"/>
              </w:rPr>
            </w:pPr>
          </w:p>
        </w:tc>
        <w:tc>
          <w:tcPr>
            <w:tcW w:w="240" w:type="dxa"/>
            <w:vAlign w:val="bottom"/>
            <w:tcBorders>
              <w:bottom w:val="single" w:sz="8" w:color="007549"/>
            </w:tcBorders>
          </w:tcPr>
          <w:p>
            <w:pPr>
              <w:spacing w:after="0" w:line="20" w:lineRule="exact"/>
              <w:rPr>
                <w:sz w:val="1"/>
                <w:szCs w:val="1"/>
                <w:color w:val="auto"/>
              </w:rPr>
            </w:pPr>
          </w:p>
        </w:tc>
        <w:tc>
          <w:tcPr>
            <w:tcW w:w="180" w:type="dxa"/>
            <w:vAlign w:val="bottom"/>
            <w:tcBorders>
              <w:bottom w:val="single" w:sz="8" w:color="007549"/>
            </w:tcBorders>
          </w:tcPr>
          <w:p>
            <w:pPr>
              <w:spacing w:after="0" w:line="20" w:lineRule="exact"/>
              <w:rPr>
                <w:sz w:val="1"/>
                <w:szCs w:val="1"/>
                <w:color w:val="auto"/>
              </w:rPr>
            </w:pPr>
          </w:p>
        </w:tc>
        <w:tc>
          <w:tcPr>
            <w:tcW w:w="300" w:type="dxa"/>
            <w:vAlign w:val="bottom"/>
            <w:tcBorders>
              <w:bottom w:val="single" w:sz="8" w:color="007549"/>
            </w:tcBorders>
          </w:tcPr>
          <w:p>
            <w:pPr>
              <w:spacing w:after="0" w:line="20" w:lineRule="exact"/>
              <w:rPr>
                <w:sz w:val="1"/>
                <w:szCs w:val="1"/>
                <w:color w:val="auto"/>
              </w:rPr>
            </w:pPr>
          </w:p>
        </w:tc>
        <w:tc>
          <w:tcPr>
            <w:tcW w:w="220" w:type="dxa"/>
            <w:vAlign w:val="bottom"/>
            <w:tcBorders>
              <w:bottom w:val="single" w:sz="8" w:color="007549"/>
            </w:tcBorders>
          </w:tcPr>
          <w:p>
            <w:pPr>
              <w:spacing w:after="0" w:line="20" w:lineRule="exact"/>
              <w:rPr>
                <w:sz w:val="1"/>
                <w:szCs w:val="1"/>
                <w:color w:val="auto"/>
              </w:rPr>
            </w:pPr>
          </w:p>
        </w:tc>
        <w:tc>
          <w:tcPr>
            <w:tcW w:w="200" w:type="dxa"/>
            <w:vAlign w:val="bottom"/>
            <w:tcBorders>
              <w:bottom w:val="single" w:sz="8" w:color="007549"/>
            </w:tcBorders>
          </w:tcPr>
          <w:p>
            <w:pPr>
              <w:spacing w:after="0" w:line="20" w:lineRule="exact"/>
              <w:rPr>
                <w:sz w:val="1"/>
                <w:szCs w:val="1"/>
                <w:color w:val="auto"/>
              </w:rPr>
            </w:pPr>
          </w:p>
        </w:tc>
        <w:tc>
          <w:tcPr>
            <w:tcW w:w="40" w:type="dxa"/>
            <w:vAlign w:val="bottom"/>
            <w:tcBorders>
              <w:bottom w:val="single" w:sz="8" w:color="007549"/>
            </w:tcBorders>
          </w:tcPr>
          <w:p>
            <w:pPr>
              <w:spacing w:after="0" w:line="20" w:lineRule="exact"/>
              <w:rPr>
                <w:sz w:val="1"/>
                <w:szCs w:val="1"/>
                <w:color w:val="auto"/>
              </w:rPr>
            </w:pPr>
          </w:p>
        </w:tc>
        <w:tc>
          <w:tcPr>
            <w:tcW w:w="200" w:type="dxa"/>
            <w:vAlign w:val="bottom"/>
            <w:tcBorders>
              <w:bottom w:val="single" w:sz="8" w:color="007549"/>
            </w:tcBorders>
          </w:tcPr>
          <w:p>
            <w:pPr>
              <w:spacing w:after="0" w:line="20" w:lineRule="exact"/>
              <w:rPr>
                <w:sz w:val="1"/>
                <w:szCs w:val="1"/>
                <w:color w:val="auto"/>
              </w:rPr>
            </w:pPr>
          </w:p>
        </w:tc>
        <w:tc>
          <w:tcPr>
            <w:tcW w:w="80" w:type="dxa"/>
            <w:vAlign w:val="bottom"/>
            <w:tcBorders>
              <w:bottom w:val="single" w:sz="8" w:color="0075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tcPr>
          <w:p>
            <w:pPr>
              <w:spacing w:after="0"/>
              <w:rPr>
                <w:sz w:val="21"/>
                <w:szCs w:val="21"/>
                <w:color w:val="auto"/>
              </w:rPr>
            </w:pPr>
          </w:p>
        </w:tc>
        <w:tc>
          <w:tcPr>
            <w:tcW w:w="4660" w:type="dxa"/>
            <w:vAlign w:val="bottom"/>
            <w:gridSpan w:val="22"/>
          </w:tcPr>
          <w:p>
            <w:pPr>
              <w:spacing w:after="0"/>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PROPOSAL 1:   ELECTION OF DIRECTORS</w:t>
              </w:r>
            </w:hyperlink>
          </w:p>
        </w:tc>
        <w:tc>
          <w:tcPr>
            <w:tcW w:w="520" w:type="dxa"/>
            <w:vAlign w:val="bottom"/>
            <w:gridSpan w:val="4"/>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Borders>
              <w:bottom w:val="single" w:sz="8" w:color="007549"/>
            </w:tcBorders>
          </w:tcPr>
          <w:p>
            <w:pPr>
              <w:spacing w:after="0" w:line="20" w:lineRule="exact"/>
              <w:rPr>
                <w:sz w:val="1"/>
                <w:szCs w:val="1"/>
                <w:color w:val="auto"/>
              </w:rPr>
            </w:pPr>
          </w:p>
        </w:tc>
        <w:tc>
          <w:tcPr>
            <w:tcW w:w="100" w:type="dxa"/>
            <w:vAlign w:val="bottom"/>
            <w:tcBorders>
              <w:top w:val="single" w:sz="8" w:color="0000EE"/>
              <w:bottom w:val="single" w:sz="8" w:color="007549"/>
            </w:tcBorders>
          </w:tcPr>
          <w:p>
            <w:pPr>
              <w:spacing w:after="0" w:line="20" w:lineRule="exact"/>
              <w:rPr>
                <w:sz w:val="1"/>
                <w:szCs w:val="1"/>
                <w:color w:val="auto"/>
              </w:rPr>
            </w:pPr>
          </w:p>
        </w:tc>
        <w:tc>
          <w:tcPr>
            <w:tcW w:w="860" w:type="dxa"/>
            <w:vAlign w:val="bottom"/>
            <w:tcBorders>
              <w:top w:val="single" w:sz="8" w:color="0000EE"/>
              <w:bottom w:val="single" w:sz="8" w:color="007549"/>
            </w:tcBorders>
          </w:tcPr>
          <w:p>
            <w:pPr>
              <w:spacing w:after="0" w:line="20" w:lineRule="exact"/>
              <w:rPr>
                <w:sz w:val="1"/>
                <w:szCs w:val="1"/>
                <w:color w:val="auto"/>
              </w:rPr>
            </w:pPr>
          </w:p>
        </w:tc>
        <w:tc>
          <w:tcPr>
            <w:tcW w:w="100" w:type="dxa"/>
            <w:vAlign w:val="bottom"/>
            <w:tcBorders>
              <w:top w:val="single" w:sz="8" w:color="0000EE"/>
              <w:bottom w:val="single" w:sz="8" w:color="007549"/>
            </w:tcBorders>
          </w:tcPr>
          <w:p>
            <w:pPr>
              <w:spacing w:after="0" w:line="20" w:lineRule="exact"/>
              <w:rPr>
                <w:sz w:val="1"/>
                <w:szCs w:val="1"/>
                <w:color w:val="auto"/>
              </w:rPr>
            </w:pPr>
          </w:p>
        </w:tc>
        <w:tc>
          <w:tcPr>
            <w:tcW w:w="160" w:type="dxa"/>
            <w:vAlign w:val="bottom"/>
            <w:tcBorders>
              <w:top w:val="single" w:sz="8" w:color="0000EE"/>
              <w:bottom w:val="single" w:sz="8" w:color="007549"/>
            </w:tcBorders>
          </w:tcPr>
          <w:p>
            <w:pPr>
              <w:spacing w:after="0" w:line="20" w:lineRule="exact"/>
              <w:rPr>
                <w:sz w:val="1"/>
                <w:szCs w:val="1"/>
                <w:color w:val="auto"/>
              </w:rPr>
            </w:pPr>
          </w:p>
        </w:tc>
        <w:tc>
          <w:tcPr>
            <w:tcW w:w="100" w:type="dxa"/>
            <w:vAlign w:val="bottom"/>
            <w:tcBorders>
              <w:top w:val="single" w:sz="8" w:color="0000EE"/>
              <w:bottom w:val="single" w:sz="8" w:color="007549"/>
            </w:tcBorders>
          </w:tcPr>
          <w:p>
            <w:pPr>
              <w:spacing w:after="0" w:line="20" w:lineRule="exact"/>
              <w:rPr>
                <w:sz w:val="1"/>
                <w:szCs w:val="1"/>
                <w:color w:val="auto"/>
              </w:rPr>
            </w:pPr>
          </w:p>
        </w:tc>
        <w:tc>
          <w:tcPr>
            <w:tcW w:w="100" w:type="dxa"/>
            <w:vAlign w:val="bottom"/>
            <w:tcBorders>
              <w:top w:val="single" w:sz="8" w:color="0000EE"/>
              <w:bottom w:val="single" w:sz="8" w:color="007549"/>
            </w:tcBorders>
          </w:tcPr>
          <w:p>
            <w:pPr>
              <w:spacing w:after="0" w:line="20" w:lineRule="exact"/>
              <w:rPr>
                <w:sz w:val="1"/>
                <w:szCs w:val="1"/>
                <w:color w:val="auto"/>
              </w:rPr>
            </w:pPr>
          </w:p>
        </w:tc>
        <w:tc>
          <w:tcPr>
            <w:tcW w:w="60" w:type="dxa"/>
            <w:vAlign w:val="bottom"/>
            <w:tcBorders>
              <w:top w:val="single" w:sz="8" w:color="0000EE"/>
              <w:bottom w:val="single" w:sz="8" w:color="007549"/>
            </w:tcBorders>
          </w:tcPr>
          <w:p>
            <w:pPr>
              <w:spacing w:after="0" w:line="20" w:lineRule="exact"/>
              <w:rPr>
                <w:sz w:val="1"/>
                <w:szCs w:val="1"/>
                <w:color w:val="auto"/>
              </w:rPr>
            </w:pPr>
          </w:p>
        </w:tc>
        <w:tc>
          <w:tcPr>
            <w:tcW w:w="60" w:type="dxa"/>
            <w:vAlign w:val="bottom"/>
            <w:tcBorders>
              <w:top w:val="single" w:sz="8" w:color="0000EE"/>
              <w:bottom w:val="single" w:sz="8" w:color="007549"/>
            </w:tcBorders>
          </w:tcPr>
          <w:p>
            <w:pPr>
              <w:spacing w:after="0" w:line="20" w:lineRule="exact"/>
              <w:rPr>
                <w:sz w:val="1"/>
                <w:szCs w:val="1"/>
                <w:color w:val="auto"/>
              </w:rPr>
            </w:pPr>
          </w:p>
        </w:tc>
        <w:tc>
          <w:tcPr>
            <w:tcW w:w="80" w:type="dxa"/>
            <w:vAlign w:val="bottom"/>
            <w:tcBorders>
              <w:top w:val="single" w:sz="8" w:color="0000EE"/>
              <w:bottom w:val="single" w:sz="8" w:color="007549"/>
            </w:tcBorders>
          </w:tcPr>
          <w:p>
            <w:pPr>
              <w:spacing w:after="0" w:line="20" w:lineRule="exact"/>
              <w:rPr>
                <w:sz w:val="1"/>
                <w:szCs w:val="1"/>
                <w:color w:val="auto"/>
              </w:rPr>
            </w:pPr>
          </w:p>
        </w:tc>
        <w:tc>
          <w:tcPr>
            <w:tcW w:w="140" w:type="dxa"/>
            <w:vAlign w:val="bottom"/>
            <w:tcBorders>
              <w:top w:val="single" w:sz="8" w:color="0000EE"/>
              <w:bottom w:val="single" w:sz="8" w:color="007549"/>
            </w:tcBorders>
          </w:tcPr>
          <w:p>
            <w:pPr>
              <w:spacing w:after="0" w:line="20" w:lineRule="exact"/>
              <w:rPr>
                <w:sz w:val="1"/>
                <w:szCs w:val="1"/>
                <w:color w:val="auto"/>
              </w:rPr>
            </w:pPr>
          </w:p>
        </w:tc>
        <w:tc>
          <w:tcPr>
            <w:tcW w:w="120" w:type="dxa"/>
            <w:vAlign w:val="bottom"/>
            <w:tcBorders>
              <w:top w:val="single" w:sz="8" w:color="0000EE"/>
              <w:bottom w:val="single" w:sz="8" w:color="007549"/>
            </w:tcBorders>
          </w:tcPr>
          <w:p>
            <w:pPr>
              <w:spacing w:after="0" w:line="20" w:lineRule="exact"/>
              <w:rPr>
                <w:sz w:val="1"/>
                <w:szCs w:val="1"/>
                <w:color w:val="auto"/>
              </w:rPr>
            </w:pPr>
          </w:p>
        </w:tc>
        <w:tc>
          <w:tcPr>
            <w:tcW w:w="220" w:type="dxa"/>
            <w:vAlign w:val="bottom"/>
            <w:tcBorders>
              <w:top w:val="single" w:sz="8" w:color="0000EE"/>
              <w:bottom w:val="single" w:sz="8" w:color="007549"/>
            </w:tcBorders>
          </w:tcPr>
          <w:p>
            <w:pPr>
              <w:spacing w:after="0" w:line="20" w:lineRule="exact"/>
              <w:rPr>
                <w:sz w:val="1"/>
                <w:szCs w:val="1"/>
                <w:color w:val="auto"/>
              </w:rPr>
            </w:pPr>
          </w:p>
        </w:tc>
        <w:tc>
          <w:tcPr>
            <w:tcW w:w="260" w:type="dxa"/>
            <w:vAlign w:val="bottom"/>
            <w:tcBorders>
              <w:top w:val="single" w:sz="8" w:color="0000EE"/>
              <w:bottom w:val="single" w:sz="8" w:color="007549"/>
            </w:tcBorders>
          </w:tcPr>
          <w:p>
            <w:pPr>
              <w:spacing w:after="0" w:line="20" w:lineRule="exact"/>
              <w:rPr>
                <w:sz w:val="1"/>
                <w:szCs w:val="1"/>
                <w:color w:val="auto"/>
              </w:rPr>
            </w:pPr>
          </w:p>
        </w:tc>
        <w:tc>
          <w:tcPr>
            <w:tcW w:w="180" w:type="dxa"/>
            <w:vAlign w:val="bottom"/>
            <w:tcBorders>
              <w:top w:val="single" w:sz="8" w:color="0000EE"/>
              <w:bottom w:val="single" w:sz="8" w:color="007549"/>
            </w:tcBorders>
          </w:tcPr>
          <w:p>
            <w:pPr>
              <w:spacing w:after="0" w:line="20" w:lineRule="exact"/>
              <w:rPr>
                <w:sz w:val="1"/>
                <w:szCs w:val="1"/>
                <w:color w:val="auto"/>
              </w:rPr>
            </w:pPr>
          </w:p>
        </w:tc>
        <w:tc>
          <w:tcPr>
            <w:tcW w:w="700" w:type="dxa"/>
            <w:vAlign w:val="bottom"/>
            <w:tcBorders>
              <w:top w:val="single" w:sz="8" w:color="0000EE"/>
              <w:bottom w:val="single" w:sz="8" w:color="007549"/>
            </w:tcBorders>
          </w:tcPr>
          <w:p>
            <w:pPr>
              <w:spacing w:after="0" w:line="20" w:lineRule="exact"/>
              <w:rPr>
                <w:sz w:val="1"/>
                <w:szCs w:val="1"/>
                <w:color w:val="auto"/>
              </w:rPr>
            </w:pPr>
          </w:p>
        </w:tc>
        <w:tc>
          <w:tcPr>
            <w:tcW w:w="180" w:type="dxa"/>
            <w:vAlign w:val="bottom"/>
            <w:tcBorders>
              <w:top w:val="single" w:sz="8" w:color="0000EE"/>
              <w:bottom w:val="single" w:sz="8" w:color="007549"/>
            </w:tcBorders>
          </w:tcPr>
          <w:p>
            <w:pPr>
              <w:spacing w:after="0" w:line="20" w:lineRule="exact"/>
              <w:rPr>
                <w:sz w:val="1"/>
                <w:szCs w:val="1"/>
                <w:color w:val="auto"/>
              </w:rPr>
            </w:pPr>
          </w:p>
        </w:tc>
        <w:tc>
          <w:tcPr>
            <w:tcW w:w="160" w:type="dxa"/>
            <w:vAlign w:val="bottom"/>
            <w:tcBorders>
              <w:top w:val="single" w:sz="8" w:color="0000EE"/>
              <w:bottom w:val="single" w:sz="8" w:color="007549"/>
            </w:tcBorders>
          </w:tcPr>
          <w:p>
            <w:pPr>
              <w:spacing w:after="0" w:line="20" w:lineRule="exact"/>
              <w:rPr>
                <w:sz w:val="1"/>
                <w:szCs w:val="1"/>
                <w:color w:val="auto"/>
              </w:rPr>
            </w:pPr>
          </w:p>
        </w:tc>
        <w:tc>
          <w:tcPr>
            <w:tcW w:w="140" w:type="dxa"/>
            <w:vAlign w:val="bottom"/>
            <w:tcBorders>
              <w:top w:val="single" w:sz="8" w:color="0000EE"/>
              <w:bottom w:val="single" w:sz="8" w:color="007549"/>
            </w:tcBorders>
          </w:tcPr>
          <w:p>
            <w:pPr>
              <w:spacing w:after="0" w:line="20" w:lineRule="exact"/>
              <w:rPr>
                <w:sz w:val="1"/>
                <w:szCs w:val="1"/>
                <w:color w:val="auto"/>
              </w:rPr>
            </w:pPr>
          </w:p>
        </w:tc>
        <w:tc>
          <w:tcPr>
            <w:tcW w:w="240" w:type="dxa"/>
            <w:vAlign w:val="bottom"/>
            <w:tcBorders>
              <w:bottom w:val="single" w:sz="8" w:color="007549"/>
            </w:tcBorders>
          </w:tcPr>
          <w:p>
            <w:pPr>
              <w:spacing w:after="0" w:line="20" w:lineRule="exact"/>
              <w:rPr>
                <w:sz w:val="1"/>
                <w:szCs w:val="1"/>
                <w:color w:val="auto"/>
              </w:rPr>
            </w:pPr>
          </w:p>
        </w:tc>
        <w:tc>
          <w:tcPr>
            <w:tcW w:w="180" w:type="dxa"/>
            <w:vAlign w:val="bottom"/>
            <w:tcBorders>
              <w:bottom w:val="single" w:sz="8" w:color="007549"/>
            </w:tcBorders>
          </w:tcPr>
          <w:p>
            <w:pPr>
              <w:spacing w:after="0" w:line="20" w:lineRule="exact"/>
              <w:rPr>
                <w:sz w:val="1"/>
                <w:szCs w:val="1"/>
                <w:color w:val="auto"/>
              </w:rPr>
            </w:pPr>
          </w:p>
        </w:tc>
        <w:tc>
          <w:tcPr>
            <w:tcW w:w="300" w:type="dxa"/>
            <w:vAlign w:val="bottom"/>
            <w:tcBorders>
              <w:bottom w:val="single" w:sz="8" w:color="007549"/>
            </w:tcBorders>
          </w:tcPr>
          <w:p>
            <w:pPr>
              <w:spacing w:after="0" w:line="20" w:lineRule="exact"/>
              <w:rPr>
                <w:sz w:val="1"/>
                <w:szCs w:val="1"/>
                <w:color w:val="auto"/>
              </w:rPr>
            </w:pPr>
          </w:p>
        </w:tc>
        <w:tc>
          <w:tcPr>
            <w:tcW w:w="220" w:type="dxa"/>
            <w:vAlign w:val="bottom"/>
            <w:tcBorders>
              <w:bottom w:val="single" w:sz="8" w:color="007549"/>
            </w:tcBorders>
          </w:tcPr>
          <w:p>
            <w:pPr>
              <w:spacing w:after="0" w:line="20" w:lineRule="exact"/>
              <w:rPr>
                <w:sz w:val="1"/>
                <w:szCs w:val="1"/>
                <w:color w:val="auto"/>
              </w:rPr>
            </w:pPr>
          </w:p>
        </w:tc>
        <w:tc>
          <w:tcPr>
            <w:tcW w:w="200" w:type="dxa"/>
            <w:vAlign w:val="bottom"/>
            <w:tcBorders>
              <w:bottom w:val="single" w:sz="8" w:color="007549"/>
            </w:tcBorders>
          </w:tcPr>
          <w:p>
            <w:pPr>
              <w:spacing w:after="0" w:line="20" w:lineRule="exact"/>
              <w:rPr>
                <w:sz w:val="1"/>
                <w:szCs w:val="1"/>
                <w:color w:val="auto"/>
              </w:rPr>
            </w:pPr>
          </w:p>
        </w:tc>
        <w:tc>
          <w:tcPr>
            <w:tcW w:w="40" w:type="dxa"/>
            <w:vAlign w:val="bottom"/>
            <w:tcBorders>
              <w:bottom w:val="single" w:sz="8" w:color="007549"/>
            </w:tcBorders>
          </w:tcPr>
          <w:p>
            <w:pPr>
              <w:spacing w:after="0" w:line="20" w:lineRule="exact"/>
              <w:rPr>
                <w:sz w:val="1"/>
                <w:szCs w:val="1"/>
                <w:color w:val="auto"/>
              </w:rPr>
            </w:pPr>
          </w:p>
        </w:tc>
        <w:tc>
          <w:tcPr>
            <w:tcW w:w="200" w:type="dxa"/>
            <w:vAlign w:val="bottom"/>
            <w:tcBorders>
              <w:bottom w:val="single" w:sz="8" w:color="007549"/>
            </w:tcBorders>
          </w:tcPr>
          <w:p>
            <w:pPr>
              <w:spacing w:after="0" w:line="20" w:lineRule="exact"/>
              <w:rPr>
                <w:sz w:val="1"/>
                <w:szCs w:val="1"/>
                <w:color w:val="auto"/>
              </w:rPr>
            </w:pPr>
          </w:p>
        </w:tc>
        <w:tc>
          <w:tcPr>
            <w:tcW w:w="80" w:type="dxa"/>
            <w:vAlign w:val="bottom"/>
            <w:tcBorders>
              <w:bottom w:val="single" w:sz="8" w:color="0075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shd w:val="clear" w:color="auto" w:fill="E5E5E5"/>
          </w:tcPr>
          <w:p>
            <w:pPr>
              <w:spacing w:after="0"/>
              <w:rPr>
                <w:sz w:val="10"/>
                <w:szCs w:val="10"/>
                <w:color w:val="auto"/>
              </w:rPr>
            </w:pPr>
          </w:p>
        </w:tc>
        <w:tc>
          <w:tcPr>
            <w:tcW w:w="100" w:type="dxa"/>
            <w:vAlign w:val="bottom"/>
            <w:tcBorders>
              <w:right w:val="single" w:sz="8" w:color="E5E5E5"/>
            </w:tcBorders>
            <w:shd w:val="clear" w:color="auto" w:fill="E5E5E5"/>
          </w:tcPr>
          <w:p>
            <w:pPr>
              <w:spacing w:after="0"/>
              <w:rPr>
                <w:sz w:val="10"/>
                <w:szCs w:val="10"/>
                <w:color w:val="auto"/>
              </w:rPr>
            </w:pPr>
          </w:p>
        </w:tc>
        <w:tc>
          <w:tcPr>
            <w:tcW w:w="4560" w:type="dxa"/>
            <w:vAlign w:val="bottom"/>
            <w:gridSpan w:val="21"/>
            <w:shd w:val="clear" w:color="auto" w:fill="E5E5E5"/>
          </w:tcPr>
          <w:p>
            <w:pPr>
              <w:spacing w:after="0" w:line="127" w:lineRule="exact"/>
              <w:rPr>
                <w:rFonts w:ascii="Arial" w:cs="Arial" w:eastAsia="Arial" w:hAnsi="Arial"/>
                <w:sz w:val="14"/>
                <w:szCs w:val="14"/>
                <w:color w:val="0000EE"/>
              </w:rPr>
            </w:pPr>
            <w:hyperlink w:anchor="page14">
              <w:r>
                <w:rPr>
                  <w:rFonts w:ascii="Arial" w:cs="Arial" w:eastAsia="Arial" w:hAnsi="Arial"/>
                  <w:sz w:val="14"/>
                  <w:szCs w:val="14"/>
                  <w:color w:val="0000EE"/>
                </w:rPr>
                <w:t>Majority Voting Standard</w:t>
              </w:r>
            </w:hyperlink>
          </w:p>
        </w:tc>
        <w:tc>
          <w:tcPr>
            <w:tcW w:w="520" w:type="dxa"/>
            <w:vAlign w:val="bottom"/>
            <w:gridSpan w:val="4"/>
            <w:shd w:val="clear" w:color="auto" w:fill="E5E5E5"/>
          </w:tcPr>
          <w:p>
            <w:pPr>
              <w:jc w:val="right"/>
              <w:ind w:right="80"/>
              <w:spacing w:after="0" w:line="127"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20" w:type="dxa"/>
            <w:vAlign w:val="bottom"/>
            <w:shd w:val="clear" w:color="auto" w:fill="E5E5E5"/>
          </w:tcPr>
          <w:p>
            <w:pPr>
              <w:spacing w:after="0" w:line="20" w:lineRule="exact"/>
              <w:rPr>
                <w:sz w:val="1"/>
                <w:szCs w:val="1"/>
                <w:color w:val="auto"/>
              </w:rPr>
            </w:pPr>
          </w:p>
        </w:tc>
        <w:tc>
          <w:tcPr>
            <w:tcW w:w="100" w:type="dxa"/>
            <w:vAlign w:val="bottom"/>
            <w:tcBorders>
              <w:right w:val="single" w:sz="8" w:color="E5E5E5"/>
            </w:tcBorders>
            <w:shd w:val="clear" w:color="auto" w:fill="E5E5E5"/>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E5E5E5"/>
            </w:tcBorders>
            <w:shd w:val="clear" w:color="auto" w:fill="0000EE"/>
          </w:tcPr>
          <w:p>
            <w:pPr>
              <w:spacing w:after="0" w:line="20" w:lineRule="exact"/>
              <w:rPr>
                <w:sz w:val="1"/>
                <w:szCs w:val="1"/>
                <w:color w:val="auto"/>
              </w:rPr>
            </w:pPr>
          </w:p>
        </w:tc>
        <w:tc>
          <w:tcPr>
            <w:tcW w:w="120" w:type="dxa"/>
            <w:vAlign w:val="bottom"/>
            <w:shd w:val="clear" w:color="auto" w:fill="E5E5E5"/>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260" w:type="dxa"/>
            <w:vAlign w:val="bottom"/>
            <w:tcBorders>
              <w:right w:val="single" w:sz="8" w:color="E5E5E5"/>
            </w:tcBorders>
            <w:shd w:val="clear" w:color="auto" w:fill="E5E5E5"/>
          </w:tcPr>
          <w:p>
            <w:pPr>
              <w:spacing w:after="0" w:line="20" w:lineRule="exact"/>
              <w:rPr>
                <w:sz w:val="1"/>
                <w:szCs w:val="1"/>
                <w:color w:val="auto"/>
              </w:rPr>
            </w:pPr>
          </w:p>
        </w:tc>
        <w:tc>
          <w:tcPr>
            <w:tcW w:w="180" w:type="dxa"/>
            <w:vAlign w:val="bottom"/>
            <w:shd w:val="clear" w:color="auto" w:fill="E5E5E5"/>
          </w:tcPr>
          <w:p>
            <w:pPr>
              <w:spacing w:after="0" w:line="20" w:lineRule="exact"/>
              <w:rPr>
                <w:sz w:val="1"/>
                <w:szCs w:val="1"/>
                <w:color w:val="auto"/>
              </w:rPr>
            </w:pPr>
          </w:p>
        </w:tc>
        <w:tc>
          <w:tcPr>
            <w:tcW w:w="700" w:type="dxa"/>
            <w:vAlign w:val="bottom"/>
            <w:shd w:val="clear" w:color="auto" w:fill="E5E5E5"/>
          </w:tcPr>
          <w:p>
            <w:pPr>
              <w:spacing w:after="0" w:line="20" w:lineRule="exact"/>
              <w:rPr>
                <w:sz w:val="1"/>
                <w:szCs w:val="1"/>
                <w:color w:val="auto"/>
              </w:rPr>
            </w:pPr>
          </w:p>
        </w:tc>
        <w:tc>
          <w:tcPr>
            <w:tcW w:w="180" w:type="dxa"/>
            <w:vAlign w:val="bottom"/>
            <w:shd w:val="clear" w:color="auto" w:fill="E5E5E5"/>
          </w:tcPr>
          <w:p>
            <w:pPr>
              <w:spacing w:after="0" w:line="20" w:lineRule="exact"/>
              <w:rPr>
                <w:sz w:val="1"/>
                <w:szCs w:val="1"/>
                <w:color w:val="auto"/>
              </w:rPr>
            </w:pPr>
          </w:p>
        </w:tc>
        <w:tc>
          <w:tcPr>
            <w:tcW w:w="160" w:type="dxa"/>
            <w:vAlign w:val="bottom"/>
            <w:shd w:val="clear" w:color="auto" w:fill="E5E5E5"/>
          </w:tcPr>
          <w:p>
            <w:pPr>
              <w:spacing w:after="0" w:line="20" w:lineRule="exact"/>
              <w:rPr>
                <w:sz w:val="1"/>
                <w:szCs w:val="1"/>
                <w:color w:val="auto"/>
              </w:rPr>
            </w:pPr>
          </w:p>
        </w:tc>
        <w:tc>
          <w:tcPr>
            <w:tcW w:w="140" w:type="dxa"/>
            <w:vAlign w:val="bottom"/>
            <w:shd w:val="clear" w:color="auto" w:fill="E5E5E5"/>
          </w:tcPr>
          <w:p>
            <w:pPr>
              <w:spacing w:after="0" w:line="20" w:lineRule="exact"/>
              <w:rPr>
                <w:sz w:val="1"/>
                <w:szCs w:val="1"/>
                <w:color w:val="auto"/>
              </w:rPr>
            </w:pPr>
          </w:p>
        </w:tc>
        <w:tc>
          <w:tcPr>
            <w:tcW w:w="240" w:type="dxa"/>
            <w:vAlign w:val="bottom"/>
            <w:shd w:val="clear" w:color="auto" w:fill="E5E5E5"/>
          </w:tcPr>
          <w:p>
            <w:pPr>
              <w:spacing w:after="0" w:line="20" w:lineRule="exact"/>
              <w:rPr>
                <w:sz w:val="1"/>
                <w:szCs w:val="1"/>
                <w:color w:val="auto"/>
              </w:rPr>
            </w:pPr>
          </w:p>
        </w:tc>
        <w:tc>
          <w:tcPr>
            <w:tcW w:w="180" w:type="dxa"/>
            <w:vAlign w:val="bottom"/>
            <w:shd w:val="clear" w:color="auto" w:fill="E5E5E5"/>
          </w:tcPr>
          <w:p>
            <w:pPr>
              <w:spacing w:after="0" w:line="20" w:lineRule="exact"/>
              <w:rPr>
                <w:sz w:val="1"/>
                <w:szCs w:val="1"/>
                <w:color w:val="auto"/>
              </w:rPr>
            </w:pPr>
          </w:p>
        </w:tc>
        <w:tc>
          <w:tcPr>
            <w:tcW w:w="300" w:type="dxa"/>
            <w:vAlign w:val="bottom"/>
            <w:shd w:val="clear" w:color="auto" w:fill="E5E5E5"/>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200" w:type="dxa"/>
            <w:vAlign w:val="bottom"/>
            <w:shd w:val="clear" w:color="auto" w:fill="E5E5E5"/>
          </w:tcPr>
          <w:p>
            <w:pPr>
              <w:spacing w:after="0" w:line="20" w:lineRule="exact"/>
              <w:rPr>
                <w:sz w:val="1"/>
                <w:szCs w:val="1"/>
                <w:color w:val="auto"/>
              </w:rPr>
            </w:pPr>
          </w:p>
        </w:tc>
        <w:tc>
          <w:tcPr>
            <w:tcW w:w="320" w:type="dxa"/>
            <w:vAlign w:val="bottom"/>
            <w:gridSpan w:val="3"/>
            <w:vMerge w:val="restart"/>
            <w:shd w:val="clear" w:color="auto" w:fill="E5E5E5"/>
          </w:tcPr>
          <w:p>
            <w:pPr>
              <w:jc w:val="right"/>
              <w:ind w:right="80"/>
              <w:spacing w:after="0" w:line="160" w:lineRule="exact"/>
              <w:rPr>
                <w:sz w:val="20"/>
                <w:szCs w:val="20"/>
                <w:color w:val="auto"/>
              </w:rPr>
            </w:pPr>
            <w:r>
              <w:rPr>
                <w:rFonts w:ascii="Arial" w:cs="Arial" w:eastAsia="Arial" w:hAnsi="Arial"/>
                <w:sz w:val="15"/>
                <w:szCs w:val="15"/>
                <w:color w:val="auto"/>
              </w:rPr>
              <w:t>2</w:t>
            </w:r>
          </w:p>
        </w:tc>
        <w:tc>
          <w:tcPr>
            <w:tcW w:w="0" w:type="dxa"/>
            <w:vAlign w:val="bottom"/>
          </w:tcPr>
          <w:p>
            <w:pPr>
              <w:spacing w:after="0" w:line="20" w:lineRule="exact"/>
              <w:rPr>
                <w:sz w:val="1"/>
                <w:szCs w:val="1"/>
                <w:color w:val="auto"/>
              </w:rPr>
            </w:pPr>
          </w:p>
        </w:tc>
      </w:tr>
      <w:tr>
        <w:trPr>
          <w:trHeight w:val="140"/>
        </w:trPr>
        <w:tc>
          <w:tcPr>
            <w:tcW w:w="20" w:type="dxa"/>
            <w:vAlign w:val="bottom"/>
            <w:shd w:val="clear" w:color="auto" w:fill="E5E5E5"/>
          </w:tcPr>
          <w:p>
            <w:pPr>
              <w:spacing w:after="0"/>
              <w:rPr>
                <w:sz w:val="12"/>
                <w:szCs w:val="12"/>
                <w:color w:val="auto"/>
              </w:rPr>
            </w:pPr>
          </w:p>
        </w:tc>
        <w:tc>
          <w:tcPr>
            <w:tcW w:w="100" w:type="dxa"/>
            <w:vAlign w:val="bottom"/>
            <w:tcBorders>
              <w:right w:val="single" w:sz="8" w:color="E5E5E5"/>
            </w:tcBorders>
            <w:shd w:val="clear" w:color="auto" w:fill="E5E5E5"/>
          </w:tcPr>
          <w:p>
            <w:pPr>
              <w:spacing w:after="0"/>
              <w:rPr>
                <w:sz w:val="12"/>
                <w:szCs w:val="12"/>
                <w:color w:val="auto"/>
              </w:rPr>
            </w:pPr>
          </w:p>
        </w:tc>
        <w:tc>
          <w:tcPr>
            <w:tcW w:w="4560" w:type="dxa"/>
            <w:vAlign w:val="bottom"/>
            <w:gridSpan w:val="21"/>
            <w:shd w:val="clear" w:color="auto" w:fill="E5E5E5"/>
          </w:tcPr>
          <w:p>
            <w:pPr>
              <w:spacing w:after="0" w:line="140" w:lineRule="exact"/>
              <w:rPr>
                <w:rFonts w:ascii="Arial" w:cs="Arial" w:eastAsia="Arial" w:hAnsi="Arial"/>
                <w:sz w:val="15"/>
                <w:szCs w:val="15"/>
                <w:color w:val="0000EE"/>
              </w:rPr>
            </w:pPr>
            <w:hyperlink w:anchor="page14">
              <w:r>
                <w:rPr>
                  <w:rFonts w:ascii="Arial" w:cs="Arial" w:eastAsia="Arial" w:hAnsi="Arial"/>
                  <w:sz w:val="15"/>
                  <w:szCs w:val="15"/>
                  <w:color w:val="0000EE"/>
                </w:rPr>
                <w:t>Nominees for Director</w:t>
              </w:r>
            </w:hyperlink>
          </w:p>
        </w:tc>
        <w:tc>
          <w:tcPr>
            <w:tcW w:w="200" w:type="dxa"/>
            <w:vAlign w:val="bottom"/>
            <w:shd w:val="clear" w:color="auto" w:fill="E5E5E5"/>
          </w:tcPr>
          <w:p>
            <w:pPr>
              <w:spacing w:after="0"/>
              <w:rPr>
                <w:sz w:val="12"/>
                <w:szCs w:val="12"/>
                <w:color w:val="auto"/>
              </w:rPr>
            </w:pPr>
          </w:p>
        </w:tc>
        <w:tc>
          <w:tcPr>
            <w:tcW w:w="320" w:type="dxa"/>
            <w:vAlign w:val="bottom"/>
            <w:gridSpan w:val="3"/>
            <w:vMerge w:val="continue"/>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Borders>
              <w:top w:val="single" w:sz="8" w:color="E5E5E5"/>
            </w:tcBorders>
            <w:shd w:val="clear" w:color="auto" w:fill="E5E5E5"/>
          </w:tcPr>
          <w:p>
            <w:pPr>
              <w:spacing w:after="0"/>
              <w:rPr>
                <w:sz w:val="12"/>
                <w:szCs w:val="12"/>
                <w:color w:val="auto"/>
              </w:rPr>
            </w:pPr>
          </w:p>
        </w:tc>
        <w:tc>
          <w:tcPr>
            <w:tcW w:w="100" w:type="dxa"/>
            <w:vAlign w:val="bottom"/>
            <w:tcBorders>
              <w:top w:val="single" w:sz="8" w:color="E5E5E5"/>
              <w:right w:val="single" w:sz="8" w:color="E5E5E5"/>
            </w:tcBorders>
            <w:shd w:val="clear" w:color="auto" w:fill="E5E5E5"/>
          </w:tcPr>
          <w:p>
            <w:pPr>
              <w:spacing w:after="0"/>
              <w:rPr>
                <w:sz w:val="12"/>
                <w:szCs w:val="12"/>
                <w:color w:val="auto"/>
              </w:rPr>
            </w:pPr>
          </w:p>
        </w:tc>
        <w:tc>
          <w:tcPr>
            <w:tcW w:w="1440" w:type="dxa"/>
            <w:vAlign w:val="bottom"/>
            <w:tcBorders>
              <w:top w:val="single" w:sz="8" w:color="0000EE"/>
            </w:tcBorders>
            <w:gridSpan w:val="7"/>
            <w:shd w:val="clear" w:color="auto" w:fill="E5E5E5"/>
          </w:tcPr>
          <w:p>
            <w:pPr>
              <w:spacing w:after="0" w:line="140" w:lineRule="exact"/>
              <w:rPr>
                <w:rFonts w:ascii="Arial" w:cs="Arial" w:eastAsia="Arial" w:hAnsi="Arial"/>
                <w:sz w:val="15"/>
                <w:szCs w:val="15"/>
                <w:color w:val="0000EE"/>
              </w:rPr>
            </w:pPr>
            <w:hyperlink w:anchor="page18">
              <w:r>
                <w:rPr>
                  <w:rFonts w:ascii="Arial" w:cs="Arial" w:eastAsia="Arial" w:hAnsi="Arial"/>
                  <w:sz w:val="15"/>
                  <w:szCs w:val="15"/>
                  <w:color w:val="0000EE"/>
                </w:rPr>
                <w:t>Director Nominations</w:t>
              </w:r>
            </w:hyperlink>
          </w:p>
        </w:tc>
        <w:tc>
          <w:tcPr>
            <w:tcW w:w="80" w:type="dxa"/>
            <w:vAlign w:val="bottom"/>
            <w:tcBorders>
              <w:top w:val="single" w:sz="8" w:color="E5E5E5"/>
              <w:right w:val="single" w:sz="8" w:color="E5E5E5"/>
            </w:tcBorders>
            <w:shd w:val="clear" w:color="auto" w:fill="E5E5E5"/>
          </w:tcPr>
          <w:p>
            <w:pPr>
              <w:spacing w:after="0"/>
              <w:rPr>
                <w:sz w:val="12"/>
                <w:szCs w:val="12"/>
                <w:color w:val="auto"/>
              </w:rPr>
            </w:pPr>
          </w:p>
        </w:tc>
        <w:tc>
          <w:tcPr>
            <w:tcW w:w="140" w:type="dxa"/>
            <w:vAlign w:val="bottom"/>
            <w:tcBorders>
              <w:top w:val="single" w:sz="8" w:color="E5E5E5"/>
              <w:right w:val="single" w:sz="8" w:color="E5E5E5"/>
            </w:tcBorders>
            <w:shd w:val="clear" w:color="auto" w:fill="E5E5E5"/>
          </w:tcPr>
          <w:p>
            <w:pPr>
              <w:spacing w:after="0"/>
              <w:rPr>
                <w:sz w:val="12"/>
                <w:szCs w:val="12"/>
                <w:color w:val="auto"/>
              </w:rPr>
            </w:pPr>
          </w:p>
        </w:tc>
        <w:tc>
          <w:tcPr>
            <w:tcW w:w="120" w:type="dxa"/>
            <w:vAlign w:val="bottom"/>
            <w:tcBorders>
              <w:top w:val="single" w:sz="8" w:color="E5E5E5"/>
            </w:tcBorders>
            <w:shd w:val="clear" w:color="auto" w:fill="E5E5E5"/>
          </w:tcPr>
          <w:p>
            <w:pPr>
              <w:spacing w:after="0"/>
              <w:rPr>
                <w:sz w:val="12"/>
                <w:szCs w:val="12"/>
                <w:color w:val="auto"/>
              </w:rPr>
            </w:pPr>
          </w:p>
        </w:tc>
        <w:tc>
          <w:tcPr>
            <w:tcW w:w="220" w:type="dxa"/>
            <w:vAlign w:val="bottom"/>
            <w:tcBorders>
              <w:top w:val="single" w:sz="8" w:color="E5E5E5"/>
            </w:tcBorders>
            <w:shd w:val="clear" w:color="auto" w:fill="E5E5E5"/>
          </w:tcPr>
          <w:p>
            <w:pPr>
              <w:spacing w:after="0"/>
              <w:rPr>
                <w:sz w:val="12"/>
                <w:szCs w:val="12"/>
                <w:color w:val="auto"/>
              </w:rPr>
            </w:pPr>
          </w:p>
        </w:tc>
        <w:tc>
          <w:tcPr>
            <w:tcW w:w="260" w:type="dxa"/>
            <w:vAlign w:val="bottom"/>
            <w:tcBorders>
              <w:top w:val="single" w:sz="8" w:color="E5E5E5"/>
              <w:right w:val="single" w:sz="8" w:color="E5E5E5"/>
            </w:tcBorders>
            <w:shd w:val="clear" w:color="auto" w:fill="E5E5E5"/>
          </w:tcPr>
          <w:p>
            <w:pPr>
              <w:spacing w:after="0"/>
              <w:rPr>
                <w:sz w:val="12"/>
                <w:szCs w:val="12"/>
                <w:color w:val="auto"/>
              </w:rPr>
            </w:pPr>
          </w:p>
        </w:tc>
        <w:tc>
          <w:tcPr>
            <w:tcW w:w="180" w:type="dxa"/>
            <w:vAlign w:val="bottom"/>
            <w:tcBorders>
              <w:top w:val="single" w:sz="8" w:color="E5E5E5"/>
            </w:tcBorders>
            <w:shd w:val="clear" w:color="auto" w:fill="E5E5E5"/>
          </w:tcPr>
          <w:p>
            <w:pPr>
              <w:spacing w:after="0"/>
              <w:rPr>
                <w:sz w:val="12"/>
                <w:szCs w:val="12"/>
                <w:color w:val="auto"/>
              </w:rPr>
            </w:pPr>
          </w:p>
        </w:tc>
        <w:tc>
          <w:tcPr>
            <w:tcW w:w="700" w:type="dxa"/>
            <w:vAlign w:val="bottom"/>
            <w:tcBorders>
              <w:top w:val="single" w:sz="8" w:color="E5E5E5"/>
            </w:tcBorders>
            <w:shd w:val="clear" w:color="auto" w:fill="E5E5E5"/>
          </w:tcPr>
          <w:p>
            <w:pPr>
              <w:spacing w:after="0"/>
              <w:rPr>
                <w:sz w:val="12"/>
                <w:szCs w:val="12"/>
                <w:color w:val="auto"/>
              </w:rPr>
            </w:pPr>
          </w:p>
        </w:tc>
        <w:tc>
          <w:tcPr>
            <w:tcW w:w="180" w:type="dxa"/>
            <w:vAlign w:val="bottom"/>
            <w:tcBorders>
              <w:top w:val="single" w:sz="8" w:color="E5E5E5"/>
            </w:tcBorders>
            <w:shd w:val="clear" w:color="auto" w:fill="E5E5E5"/>
          </w:tcPr>
          <w:p>
            <w:pPr>
              <w:spacing w:after="0"/>
              <w:rPr>
                <w:sz w:val="12"/>
                <w:szCs w:val="12"/>
                <w:color w:val="auto"/>
              </w:rPr>
            </w:pPr>
          </w:p>
        </w:tc>
        <w:tc>
          <w:tcPr>
            <w:tcW w:w="160" w:type="dxa"/>
            <w:vAlign w:val="bottom"/>
            <w:tcBorders>
              <w:top w:val="single" w:sz="8" w:color="E5E5E5"/>
            </w:tcBorders>
            <w:shd w:val="clear" w:color="auto" w:fill="E5E5E5"/>
          </w:tcPr>
          <w:p>
            <w:pPr>
              <w:spacing w:after="0"/>
              <w:rPr>
                <w:sz w:val="12"/>
                <w:szCs w:val="12"/>
                <w:color w:val="auto"/>
              </w:rPr>
            </w:pPr>
          </w:p>
        </w:tc>
        <w:tc>
          <w:tcPr>
            <w:tcW w:w="380" w:type="dxa"/>
            <w:vAlign w:val="bottom"/>
            <w:tcBorders>
              <w:top w:val="single" w:sz="8" w:color="E5E5E5"/>
            </w:tcBorders>
            <w:gridSpan w:val="2"/>
            <w:shd w:val="clear" w:color="auto" w:fill="E5E5E5"/>
          </w:tcPr>
          <w:p>
            <w:pPr>
              <w:spacing w:after="0"/>
              <w:rPr>
                <w:sz w:val="12"/>
                <w:szCs w:val="12"/>
                <w:color w:val="auto"/>
              </w:rPr>
            </w:pPr>
          </w:p>
        </w:tc>
        <w:tc>
          <w:tcPr>
            <w:tcW w:w="180" w:type="dxa"/>
            <w:vAlign w:val="bottom"/>
            <w:tcBorders>
              <w:top w:val="single" w:sz="8" w:color="E5E5E5"/>
            </w:tcBorders>
            <w:shd w:val="clear" w:color="auto" w:fill="E5E5E5"/>
          </w:tcPr>
          <w:p>
            <w:pPr>
              <w:spacing w:after="0"/>
              <w:rPr>
                <w:sz w:val="12"/>
                <w:szCs w:val="12"/>
                <w:color w:val="auto"/>
              </w:rPr>
            </w:pPr>
          </w:p>
        </w:tc>
        <w:tc>
          <w:tcPr>
            <w:tcW w:w="520" w:type="dxa"/>
            <w:vAlign w:val="bottom"/>
            <w:tcBorders>
              <w:top w:val="single" w:sz="8" w:color="E5E5E5"/>
            </w:tcBorders>
            <w:gridSpan w:val="2"/>
            <w:shd w:val="clear" w:color="auto" w:fill="E5E5E5"/>
          </w:tcPr>
          <w:p>
            <w:pPr>
              <w:spacing w:after="0"/>
              <w:rPr>
                <w:sz w:val="12"/>
                <w:szCs w:val="12"/>
                <w:color w:val="auto"/>
              </w:rPr>
            </w:pPr>
          </w:p>
        </w:tc>
        <w:tc>
          <w:tcPr>
            <w:tcW w:w="200" w:type="dxa"/>
            <w:vAlign w:val="bottom"/>
            <w:tcBorders>
              <w:top w:val="single" w:sz="8" w:color="E5E5E5"/>
            </w:tcBorders>
            <w:shd w:val="clear" w:color="auto" w:fill="E5E5E5"/>
          </w:tcPr>
          <w:p>
            <w:pPr>
              <w:spacing w:after="0"/>
              <w:rPr>
                <w:sz w:val="12"/>
                <w:szCs w:val="12"/>
                <w:color w:val="auto"/>
              </w:rPr>
            </w:pPr>
          </w:p>
        </w:tc>
        <w:tc>
          <w:tcPr>
            <w:tcW w:w="40" w:type="dxa"/>
            <w:vAlign w:val="bottom"/>
            <w:tcBorders>
              <w:top w:val="single" w:sz="8" w:color="E5E5E5"/>
            </w:tcBorders>
            <w:shd w:val="clear" w:color="auto" w:fill="E5E5E5"/>
          </w:tcPr>
          <w:p>
            <w:pPr>
              <w:spacing w:after="0"/>
              <w:rPr>
                <w:sz w:val="12"/>
                <w:szCs w:val="12"/>
                <w:color w:val="auto"/>
              </w:rPr>
            </w:pPr>
          </w:p>
        </w:tc>
        <w:tc>
          <w:tcPr>
            <w:tcW w:w="280" w:type="dxa"/>
            <w:vAlign w:val="bottom"/>
            <w:tcBorders>
              <w:top w:val="single" w:sz="8" w:color="E5E5E5"/>
            </w:tcBorders>
            <w:gridSpan w:val="2"/>
            <w:shd w:val="clear" w:color="auto" w:fill="E5E5E5"/>
          </w:tcPr>
          <w:p>
            <w:pPr>
              <w:jc w:val="right"/>
              <w:ind w:right="80"/>
              <w:spacing w:after="0" w:line="140" w:lineRule="exact"/>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40"/>
        </w:trPr>
        <w:tc>
          <w:tcPr>
            <w:tcW w:w="20" w:type="dxa"/>
            <w:vAlign w:val="bottom"/>
            <w:tcBorders>
              <w:top w:val="single" w:sz="8" w:color="E5E5E5"/>
            </w:tcBorders>
            <w:shd w:val="clear" w:color="auto" w:fill="E5E5E5"/>
          </w:tcPr>
          <w:p>
            <w:pPr>
              <w:spacing w:after="0"/>
              <w:rPr>
                <w:sz w:val="12"/>
                <w:szCs w:val="12"/>
                <w:color w:val="auto"/>
              </w:rPr>
            </w:pPr>
          </w:p>
        </w:tc>
        <w:tc>
          <w:tcPr>
            <w:tcW w:w="100" w:type="dxa"/>
            <w:vAlign w:val="bottom"/>
            <w:tcBorders>
              <w:top w:val="single" w:sz="8" w:color="E5E5E5"/>
              <w:right w:val="single" w:sz="8" w:color="E5E5E5"/>
            </w:tcBorders>
            <w:shd w:val="clear" w:color="auto" w:fill="E5E5E5"/>
          </w:tcPr>
          <w:p>
            <w:pPr>
              <w:spacing w:after="0"/>
              <w:rPr>
                <w:sz w:val="12"/>
                <w:szCs w:val="12"/>
                <w:color w:val="auto"/>
              </w:rPr>
            </w:pPr>
          </w:p>
        </w:tc>
        <w:tc>
          <w:tcPr>
            <w:tcW w:w="1380" w:type="dxa"/>
            <w:vAlign w:val="bottom"/>
            <w:tcBorders>
              <w:top w:val="single" w:sz="8" w:color="0000EE"/>
            </w:tcBorders>
            <w:gridSpan w:val="6"/>
            <w:shd w:val="clear" w:color="auto" w:fill="E5E5E5"/>
          </w:tcPr>
          <w:p>
            <w:pPr>
              <w:spacing w:after="0" w:line="140" w:lineRule="exact"/>
              <w:rPr>
                <w:rFonts w:ascii="Arial" w:cs="Arial" w:eastAsia="Arial" w:hAnsi="Arial"/>
                <w:sz w:val="15"/>
                <w:szCs w:val="15"/>
                <w:color w:val="0000EE"/>
              </w:rPr>
            </w:pPr>
            <w:hyperlink w:anchor="page19">
              <w:r>
                <w:rPr>
                  <w:rFonts w:ascii="Arial" w:cs="Arial" w:eastAsia="Arial" w:hAnsi="Arial"/>
                  <w:sz w:val="15"/>
                  <w:szCs w:val="15"/>
                  <w:color w:val="0000EE"/>
                </w:rPr>
                <w:t>Board Evaluation</w:t>
              </w:r>
            </w:hyperlink>
          </w:p>
        </w:tc>
        <w:tc>
          <w:tcPr>
            <w:tcW w:w="140" w:type="dxa"/>
            <w:vAlign w:val="bottom"/>
            <w:tcBorders>
              <w:top w:val="single" w:sz="8" w:color="E5E5E5"/>
              <w:right w:val="single" w:sz="8" w:color="E5E5E5"/>
            </w:tcBorders>
            <w:gridSpan w:val="2"/>
            <w:shd w:val="clear" w:color="auto" w:fill="E5E5E5"/>
          </w:tcPr>
          <w:p>
            <w:pPr>
              <w:spacing w:after="0"/>
              <w:rPr>
                <w:sz w:val="12"/>
                <w:szCs w:val="12"/>
                <w:color w:val="auto"/>
              </w:rPr>
            </w:pPr>
          </w:p>
        </w:tc>
        <w:tc>
          <w:tcPr>
            <w:tcW w:w="140" w:type="dxa"/>
            <w:vAlign w:val="bottom"/>
            <w:tcBorders>
              <w:top w:val="single" w:sz="8" w:color="E5E5E5"/>
              <w:right w:val="single" w:sz="8" w:color="E5E5E5"/>
            </w:tcBorders>
            <w:shd w:val="clear" w:color="auto" w:fill="E5E5E5"/>
          </w:tcPr>
          <w:p>
            <w:pPr>
              <w:spacing w:after="0"/>
              <w:rPr>
                <w:sz w:val="12"/>
                <w:szCs w:val="12"/>
                <w:color w:val="auto"/>
              </w:rPr>
            </w:pPr>
          </w:p>
        </w:tc>
        <w:tc>
          <w:tcPr>
            <w:tcW w:w="120" w:type="dxa"/>
            <w:vAlign w:val="bottom"/>
            <w:tcBorders>
              <w:top w:val="single" w:sz="8" w:color="E5E5E5"/>
            </w:tcBorders>
            <w:shd w:val="clear" w:color="auto" w:fill="E5E5E5"/>
          </w:tcPr>
          <w:p>
            <w:pPr>
              <w:spacing w:after="0"/>
              <w:rPr>
                <w:sz w:val="12"/>
                <w:szCs w:val="12"/>
                <w:color w:val="auto"/>
              </w:rPr>
            </w:pPr>
          </w:p>
        </w:tc>
        <w:tc>
          <w:tcPr>
            <w:tcW w:w="220" w:type="dxa"/>
            <w:vAlign w:val="bottom"/>
            <w:tcBorders>
              <w:top w:val="single" w:sz="8" w:color="E5E5E5"/>
            </w:tcBorders>
            <w:shd w:val="clear" w:color="auto" w:fill="E5E5E5"/>
          </w:tcPr>
          <w:p>
            <w:pPr>
              <w:spacing w:after="0"/>
              <w:rPr>
                <w:sz w:val="12"/>
                <w:szCs w:val="12"/>
                <w:color w:val="auto"/>
              </w:rPr>
            </w:pPr>
          </w:p>
        </w:tc>
        <w:tc>
          <w:tcPr>
            <w:tcW w:w="260" w:type="dxa"/>
            <w:vAlign w:val="bottom"/>
            <w:tcBorders>
              <w:top w:val="single" w:sz="8" w:color="E5E5E5"/>
              <w:right w:val="single" w:sz="8" w:color="E5E5E5"/>
            </w:tcBorders>
            <w:shd w:val="clear" w:color="auto" w:fill="E5E5E5"/>
          </w:tcPr>
          <w:p>
            <w:pPr>
              <w:spacing w:after="0"/>
              <w:rPr>
                <w:sz w:val="12"/>
                <w:szCs w:val="12"/>
                <w:color w:val="auto"/>
              </w:rPr>
            </w:pPr>
          </w:p>
        </w:tc>
        <w:tc>
          <w:tcPr>
            <w:tcW w:w="180" w:type="dxa"/>
            <w:vAlign w:val="bottom"/>
            <w:tcBorders>
              <w:top w:val="single" w:sz="8" w:color="E5E5E5"/>
            </w:tcBorders>
            <w:shd w:val="clear" w:color="auto" w:fill="E5E5E5"/>
          </w:tcPr>
          <w:p>
            <w:pPr>
              <w:spacing w:after="0"/>
              <w:rPr>
                <w:sz w:val="12"/>
                <w:szCs w:val="12"/>
                <w:color w:val="auto"/>
              </w:rPr>
            </w:pPr>
          </w:p>
        </w:tc>
        <w:tc>
          <w:tcPr>
            <w:tcW w:w="700" w:type="dxa"/>
            <w:vAlign w:val="bottom"/>
            <w:tcBorders>
              <w:top w:val="single" w:sz="8" w:color="E5E5E5"/>
            </w:tcBorders>
            <w:shd w:val="clear" w:color="auto" w:fill="E5E5E5"/>
          </w:tcPr>
          <w:p>
            <w:pPr>
              <w:spacing w:after="0"/>
              <w:rPr>
                <w:sz w:val="12"/>
                <w:szCs w:val="12"/>
                <w:color w:val="auto"/>
              </w:rPr>
            </w:pPr>
          </w:p>
        </w:tc>
        <w:tc>
          <w:tcPr>
            <w:tcW w:w="180" w:type="dxa"/>
            <w:vAlign w:val="bottom"/>
            <w:tcBorders>
              <w:top w:val="single" w:sz="8" w:color="E5E5E5"/>
            </w:tcBorders>
            <w:shd w:val="clear" w:color="auto" w:fill="E5E5E5"/>
          </w:tcPr>
          <w:p>
            <w:pPr>
              <w:spacing w:after="0"/>
              <w:rPr>
                <w:sz w:val="12"/>
                <w:szCs w:val="12"/>
                <w:color w:val="auto"/>
              </w:rPr>
            </w:pPr>
          </w:p>
        </w:tc>
        <w:tc>
          <w:tcPr>
            <w:tcW w:w="160" w:type="dxa"/>
            <w:vAlign w:val="bottom"/>
            <w:tcBorders>
              <w:top w:val="single" w:sz="8" w:color="E5E5E5"/>
            </w:tcBorders>
            <w:shd w:val="clear" w:color="auto" w:fill="E5E5E5"/>
          </w:tcPr>
          <w:p>
            <w:pPr>
              <w:spacing w:after="0"/>
              <w:rPr>
                <w:sz w:val="12"/>
                <w:szCs w:val="12"/>
                <w:color w:val="auto"/>
              </w:rPr>
            </w:pPr>
          </w:p>
        </w:tc>
        <w:tc>
          <w:tcPr>
            <w:tcW w:w="380" w:type="dxa"/>
            <w:vAlign w:val="bottom"/>
            <w:tcBorders>
              <w:top w:val="single" w:sz="8" w:color="E5E5E5"/>
            </w:tcBorders>
            <w:gridSpan w:val="2"/>
            <w:shd w:val="clear" w:color="auto" w:fill="E5E5E5"/>
          </w:tcPr>
          <w:p>
            <w:pPr>
              <w:spacing w:after="0"/>
              <w:rPr>
                <w:sz w:val="12"/>
                <w:szCs w:val="12"/>
                <w:color w:val="auto"/>
              </w:rPr>
            </w:pPr>
          </w:p>
        </w:tc>
        <w:tc>
          <w:tcPr>
            <w:tcW w:w="180" w:type="dxa"/>
            <w:vAlign w:val="bottom"/>
            <w:tcBorders>
              <w:top w:val="single" w:sz="8" w:color="E5E5E5"/>
            </w:tcBorders>
            <w:shd w:val="clear" w:color="auto" w:fill="E5E5E5"/>
          </w:tcPr>
          <w:p>
            <w:pPr>
              <w:spacing w:after="0"/>
              <w:rPr>
                <w:sz w:val="12"/>
                <w:szCs w:val="12"/>
                <w:color w:val="auto"/>
              </w:rPr>
            </w:pPr>
          </w:p>
        </w:tc>
        <w:tc>
          <w:tcPr>
            <w:tcW w:w="520" w:type="dxa"/>
            <w:vAlign w:val="bottom"/>
            <w:tcBorders>
              <w:top w:val="single" w:sz="8" w:color="E5E5E5"/>
            </w:tcBorders>
            <w:gridSpan w:val="2"/>
            <w:shd w:val="clear" w:color="auto" w:fill="E5E5E5"/>
          </w:tcPr>
          <w:p>
            <w:pPr>
              <w:spacing w:after="0"/>
              <w:rPr>
                <w:sz w:val="12"/>
                <w:szCs w:val="12"/>
                <w:color w:val="auto"/>
              </w:rPr>
            </w:pPr>
          </w:p>
        </w:tc>
        <w:tc>
          <w:tcPr>
            <w:tcW w:w="200" w:type="dxa"/>
            <w:vAlign w:val="bottom"/>
            <w:tcBorders>
              <w:top w:val="single" w:sz="8" w:color="E5E5E5"/>
            </w:tcBorders>
            <w:shd w:val="clear" w:color="auto" w:fill="E5E5E5"/>
          </w:tcPr>
          <w:p>
            <w:pPr>
              <w:spacing w:after="0"/>
              <w:rPr>
                <w:sz w:val="12"/>
                <w:szCs w:val="12"/>
                <w:color w:val="auto"/>
              </w:rPr>
            </w:pPr>
          </w:p>
        </w:tc>
        <w:tc>
          <w:tcPr>
            <w:tcW w:w="40" w:type="dxa"/>
            <w:vAlign w:val="bottom"/>
            <w:tcBorders>
              <w:top w:val="single" w:sz="8" w:color="E5E5E5"/>
            </w:tcBorders>
            <w:shd w:val="clear" w:color="auto" w:fill="E5E5E5"/>
          </w:tcPr>
          <w:p>
            <w:pPr>
              <w:spacing w:after="0"/>
              <w:rPr>
                <w:sz w:val="12"/>
                <w:szCs w:val="12"/>
                <w:color w:val="auto"/>
              </w:rPr>
            </w:pPr>
          </w:p>
        </w:tc>
        <w:tc>
          <w:tcPr>
            <w:tcW w:w="200" w:type="dxa"/>
            <w:vAlign w:val="bottom"/>
            <w:tcBorders>
              <w:top w:val="single" w:sz="8" w:color="E5E5E5"/>
            </w:tcBorders>
            <w:shd w:val="clear" w:color="auto" w:fill="E5E5E5"/>
          </w:tcPr>
          <w:p>
            <w:pPr>
              <w:jc w:val="right"/>
              <w:spacing w:after="0" w:line="140" w:lineRule="exact"/>
              <w:rPr>
                <w:sz w:val="20"/>
                <w:szCs w:val="20"/>
                <w:color w:val="auto"/>
              </w:rPr>
            </w:pPr>
            <w:r>
              <w:rPr>
                <w:rFonts w:ascii="Arial" w:cs="Arial" w:eastAsia="Arial" w:hAnsi="Arial"/>
                <w:sz w:val="15"/>
                <w:szCs w:val="15"/>
                <w:color w:val="auto"/>
              </w:rPr>
              <w:t>7</w:t>
            </w:r>
          </w:p>
        </w:tc>
        <w:tc>
          <w:tcPr>
            <w:tcW w:w="80" w:type="dxa"/>
            <w:vAlign w:val="bottom"/>
            <w:tcBorders>
              <w:top w:val="single" w:sz="8" w:color="E5E5E5"/>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Borders>
              <w:top w:val="single" w:sz="8" w:color="E5E5E5"/>
            </w:tcBorders>
            <w:shd w:val="clear" w:color="auto" w:fill="E5E5E5"/>
          </w:tcPr>
          <w:p>
            <w:pPr>
              <w:spacing w:after="0"/>
              <w:rPr>
                <w:sz w:val="12"/>
                <w:szCs w:val="12"/>
                <w:color w:val="auto"/>
              </w:rPr>
            </w:pPr>
          </w:p>
        </w:tc>
        <w:tc>
          <w:tcPr>
            <w:tcW w:w="100" w:type="dxa"/>
            <w:vAlign w:val="bottom"/>
            <w:tcBorders>
              <w:top w:val="single" w:sz="8" w:color="E5E5E5"/>
              <w:right w:val="single" w:sz="8" w:color="E5E5E5"/>
            </w:tcBorders>
            <w:shd w:val="clear" w:color="auto" w:fill="E5E5E5"/>
          </w:tcPr>
          <w:p>
            <w:pPr>
              <w:spacing w:after="0"/>
              <w:rPr>
                <w:sz w:val="12"/>
                <w:szCs w:val="12"/>
                <w:color w:val="auto"/>
              </w:rPr>
            </w:pPr>
          </w:p>
        </w:tc>
        <w:tc>
          <w:tcPr>
            <w:tcW w:w="1120" w:type="dxa"/>
            <w:vAlign w:val="bottom"/>
            <w:tcBorders>
              <w:top w:val="single" w:sz="8" w:color="0000EE"/>
            </w:tcBorders>
            <w:gridSpan w:val="3"/>
            <w:shd w:val="clear" w:color="auto" w:fill="E5E5E5"/>
          </w:tcPr>
          <w:p>
            <w:pPr>
              <w:spacing w:after="0" w:line="140" w:lineRule="exact"/>
              <w:rPr>
                <w:rFonts w:ascii="Arial" w:cs="Arial" w:eastAsia="Arial" w:hAnsi="Arial"/>
                <w:sz w:val="15"/>
                <w:szCs w:val="15"/>
                <w:color w:val="0000EE"/>
                <w:w w:val="92"/>
              </w:rPr>
            </w:pPr>
            <w:hyperlink w:anchor="page20">
              <w:r>
                <w:rPr>
                  <w:rFonts w:ascii="Arial" w:cs="Arial" w:eastAsia="Arial" w:hAnsi="Arial"/>
                  <w:sz w:val="15"/>
                  <w:szCs w:val="15"/>
                  <w:color w:val="0000EE"/>
                  <w:w w:val="92"/>
                </w:rPr>
                <w:t>Board Leadership</w:t>
              </w:r>
            </w:hyperlink>
          </w:p>
        </w:tc>
        <w:tc>
          <w:tcPr>
            <w:tcW w:w="3440" w:type="dxa"/>
            <w:vAlign w:val="bottom"/>
            <w:tcBorders>
              <w:top w:val="single" w:sz="8" w:color="E5E5E5"/>
            </w:tcBorders>
            <w:gridSpan w:val="18"/>
            <w:shd w:val="clear" w:color="auto" w:fill="E5E5E5"/>
          </w:tcPr>
          <w:p>
            <w:pPr>
              <w:ind w:left="80"/>
              <w:spacing w:after="0" w:line="140" w:lineRule="exact"/>
              <w:rPr>
                <w:rFonts w:ascii="Arial" w:cs="Arial" w:eastAsia="Arial" w:hAnsi="Arial"/>
                <w:sz w:val="15"/>
                <w:szCs w:val="15"/>
                <w:color w:val="0000EE"/>
              </w:rPr>
            </w:pPr>
            <w:hyperlink w:anchor="page20">
              <w:r>
                <w:rPr>
                  <w:rFonts w:ascii="Arial" w:cs="Arial" w:eastAsia="Arial" w:hAnsi="Arial"/>
                  <w:sz w:val="15"/>
                  <w:szCs w:val="15"/>
                  <w:color w:val="0000EE"/>
                </w:rPr>
                <w:t>Structure / Independent Chairman</w:t>
              </w:r>
            </w:hyperlink>
          </w:p>
        </w:tc>
        <w:tc>
          <w:tcPr>
            <w:tcW w:w="200" w:type="dxa"/>
            <w:vAlign w:val="bottom"/>
            <w:tcBorders>
              <w:top w:val="single" w:sz="8" w:color="E5E5E5"/>
            </w:tcBorders>
            <w:shd w:val="clear" w:color="auto" w:fill="E5E5E5"/>
          </w:tcPr>
          <w:p>
            <w:pPr>
              <w:spacing w:after="0"/>
              <w:rPr>
                <w:sz w:val="12"/>
                <w:szCs w:val="12"/>
                <w:color w:val="auto"/>
              </w:rPr>
            </w:pPr>
          </w:p>
        </w:tc>
        <w:tc>
          <w:tcPr>
            <w:tcW w:w="40" w:type="dxa"/>
            <w:vAlign w:val="bottom"/>
            <w:tcBorders>
              <w:top w:val="single" w:sz="8" w:color="E5E5E5"/>
            </w:tcBorders>
            <w:shd w:val="clear" w:color="auto" w:fill="E5E5E5"/>
          </w:tcPr>
          <w:p>
            <w:pPr>
              <w:spacing w:after="0"/>
              <w:rPr>
                <w:sz w:val="12"/>
                <w:szCs w:val="12"/>
                <w:color w:val="auto"/>
              </w:rPr>
            </w:pPr>
          </w:p>
        </w:tc>
        <w:tc>
          <w:tcPr>
            <w:tcW w:w="200" w:type="dxa"/>
            <w:vAlign w:val="bottom"/>
            <w:tcBorders>
              <w:top w:val="single" w:sz="8" w:color="E5E5E5"/>
            </w:tcBorders>
            <w:shd w:val="clear" w:color="auto" w:fill="E5E5E5"/>
          </w:tcPr>
          <w:p>
            <w:pPr>
              <w:jc w:val="right"/>
              <w:spacing w:after="0" w:line="140" w:lineRule="exact"/>
              <w:rPr>
                <w:sz w:val="20"/>
                <w:szCs w:val="20"/>
                <w:color w:val="auto"/>
              </w:rPr>
            </w:pPr>
            <w:r>
              <w:rPr>
                <w:rFonts w:ascii="Arial" w:cs="Arial" w:eastAsia="Arial" w:hAnsi="Arial"/>
                <w:sz w:val="15"/>
                <w:szCs w:val="15"/>
                <w:color w:val="auto"/>
              </w:rPr>
              <w:t>8</w:t>
            </w:r>
          </w:p>
        </w:tc>
        <w:tc>
          <w:tcPr>
            <w:tcW w:w="80" w:type="dxa"/>
            <w:vAlign w:val="bottom"/>
            <w:tcBorders>
              <w:top w:val="single" w:sz="8" w:color="E5E5E5"/>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Borders>
              <w:top w:val="single" w:sz="8" w:color="E5E5E5"/>
            </w:tcBorders>
            <w:shd w:val="clear" w:color="auto" w:fill="E5E5E5"/>
          </w:tcPr>
          <w:p>
            <w:pPr>
              <w:spacing w:after="0"/>
              <w:rPr>
                <w:sz w:val="12"/>
                <w:szCs w:val="12"/>
                <w:color w:val="auto"/>
              </w:rPr>
            </w:pPr>
          </w:p>
        </w:tc>
        <w:tc>
          <w:tcPr>
            <w:tcW w:w="100" w:type="dxa"/>
            <w:vAlign w:val="bottom"/>
            <w:tcBorders>
              <w:top w:val="single" w:sz="8" w:color="E5E5E5"/>
              <w:right w:val="single" w:sz="8" w:color="E5E5E5"/>
            </w:tcBorders>
            <w:shd w:val="clear" w:color="auto" w:fill="E5E5E5"/>
          </w:tcPr>
          <w:p>
            <w:pPr>
              <w:spacing w:after="0"/>
              <w:rPr>
                <w:sz w:val="12"/>
                <w:szCs w:val="12"/>
                <w:color w:val="auto"/>
              </w:rPr>
            </w:pPr>
          </w:p>
        </w:tc>
        <w:tc>
          <w:tcPr>
            <w:tcW w:w="3480" w:type="dxa"/>
            <w:vAlign w:val="bottom"/>
            <w:tcBorders>
              <w:top w:val="single" w:sz="8" w:color="0000EE"/>
            </w:tcBorders>
            <w:gridSpan w:val="16"/>
            <w:shd w:val="clear" w:color="auto" w:fill="E5E5E5"/>
          </w:tcPr>
          <w:p>
            <w:pPr>
              <w:spacing w:after="0" w:line="140" w:lineRule="exact"/>
              <w:rPr>
                <w:rFonts w:ascii="Arial" w:cs="Arial" w:eastAsia="Arial" w:hAnsi="Arial"/>
                <w:sz w:val="15"/>
                <w:szCs w:val="15"/>
                <w:color w:val="0000EE"/>
              </w:rPr>
            </w:pPr>
            <w:hyperlink w:anchor="page20">
              <w:r>
                <w:rPr>
                  <w:rFonts w:ascii="Arial" w:cs="Arial" w:eastAsia="Arial" w:hAnsi="Arial"/>
                  <w:sz w:val="15"/>
                  <w:szCs w:val="15"/>
                  <w:color w:val="0000EE"/>
                </w:rPr>
                <w:t>Director and Nominee Independence</w:t>
              </w:r>
            </w:hyperlink>
          </w:p>
        </w:tc>
        <w:tc>
          <w:tcPr>
            <w:tcW w:w="380" w:type="dxa"/>
            <w:vAlign w:val="bottom"/>
            <w:tcBorders>
              <w:top w:val="single" w:sz="8" w:color="E5E5E5"/>
            </w:tcBorders>
            <w:gridSpan w:val="2"/>
            <w:shd w:val="clear" w:color="auto" w:fill="E5E5E5"/>
          </w:tcPr>
          <w:p>
            <w:pPr>
              <w:spacing w:after="0"/>
              <w:rPr>
                <w:sz w:val="12"/>
                <w:szCs w:val="12"/>
                <w:color w:val="auto"/>
              </w:rPr>
            </w:pPr>
          </w:p>
        </w:tc>
        <w:tc>
          <w:tcPr>
            <w:tcW w:w="180" w:type="dxa"/>
            <w:vAlign w:val="bottom"/>
            <w:tcBorders>
              <w:top w:val="single" w:sz="8" w:color="E5E5E5"/>
            </w:tcBorders>
            <w:shd w:val="clear" w:color="auto" w:fill="E5E5E5"/>
          </w:tcPr>
          <w:p>
            <w:pPr>
              <w:spacing w:after="0"/>
              <w:rPr>
                <w:sz w:val="12"/>
                <w:szCs w:val="12"/>
                <w:color w:val="auto"/>
              </w:rPr>
            </w:pPr>
          </w:p>
        </w:tc>
        <w:tc>
          <w:tcPr>
            <w:tcW w:w="520" w:type="dxa"/>
            <w:vAlign w:val="bottom"/>
            <w:tcBorders>
              <w:top w:val="single" w:sz="8" w:color="E5E5E5"/>
            </w:tcBorders>
            <w:gridSpan w:val="2"/>
            <w:shd w:val="clear" w:color="auto" w:fill="E5E5E5"/>
          </w:tcPr>
          <w:p>
            <w:pPr>
              <w:spacing w:after="0"/>
              <w:rPr>
                <w:sz w:val="12"/>
                <w:szCs w:val="12"/>
                <w:color w:val="auto"/>
              </w:rPr>
            </w:pPr>
          </w:p>
        </w:tc>
        <w:tc>
          <w:tcPr>
            <w:tcW w:w="200" w:type="dxa"/>
            <w:vAlign w:val="bottom"/>
            <w:tcBorders>
              <w:top w:val="single" w:sz="8" w:color="E5E5E5"/>
            </w:tcBorders>
            <w:shd w:val="clear" w:color="auto" w:fill="E5E5E5"/>
          </w:tcPr>
          <w:p>
            <w:pPr>
              <w:spacing w:after="0"/>
              <w:rPr>
                <w:sz w:val="12"/>
                <w:szCs w:val="12"/>
                <w:color w:val="auto"/>
              </w:rPr>
            </w:pPr>
          </w:p>
        </w:tc>
        <w:tc>
          <w:tcPr>
            <w:tcW w:w="40" w:type="dxa"/>
            <w:vAlign w:val="bottom"/>
            <w:tcBorders>
              <w:top w:val="single" w:sz="8" w:color="E5E5E5"/>
            </w:tcBorders>
            <w:shd w:val="clear" w:color="auto" w:fill="E5E5E5"/>
          </w:tcPr>
          <w:p>
            <w:pPr>
              <w:spacing w:after="0"/>
              <w:rPr>
                <w:sz w:val="12"/>
                <w:szCs w:val="12"/>
                <w:color w:val="auto"/>
              </w:rPr>
            </w:pPr>
          </w:p>
        </w:tc>
        <w:tc>
          <w:tcPr>
            <w:tcW w:w="200" w:type="dxa"/>
            <w:vAlign w:val="bottom"/>
            <w:tcBorders>
              <w:top w:val="single" w:sz="8" w:color="E5E5E5"/>
            </w:tcBorders>
            <w:shd w:val="clear" w:color="auto" w:fill="E5E5E5"/>
          </w:tcPr>
          <w:p>
            <w:pPr>
              <w:jc w:val="right"/>
              <w:spacing w:after="0" w:line="140" w:lineRule="exact"/>
              <w:rPr>
                <w:sz w:val="20"/>
                <w:szCs w:val="20"/>
                <w:color w:val="auto"/>
              </w:rPr>
            </w:pPr>
            <w:r>
              <w:rPr>
                <w:rFonts w:ascii="Arial" w:cs="Arial" w:eastAsia="Arial" w:hAnsi="Arial"/>
                <w:sz w:val="15"/>
                <w:szCs w:val="15"/>
                <w:color w:val="auto"/>
              </w:rPr>
              <w:t>8</w:t>
            </w:r>
          </w:p>
        </w:tc>
        <w:tc>
          <w:tcPr>
            <w:tcW w:w="80" w:type="dxa"/>
            <w:vAlign w:val="bottom"/>
            <w:tcBorders>
              <w:top w:val="single" w:sz="8" w:color="E5E5E5"/>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Borders>
              <w:top w:val="single" w:sz="8" w:color="E5E5E5"/>
            </w:tcBorders>
            <w:shd w:val="clear" w:color="auto" w:fill="E5E5E5"/>
          </w:tcPr>
          <w:p>
            <w:pPr>
              <w:spacing w:after="0"/>
              <w:rPr>
                <w:sz w:val="12"/>
                <w:szCs w:val="12"/>
                <w:color w:val="auto"/>
              </w:rPr>
            </w:pPr>
          </w:p>
        </w:tc>
        <w:tc>
          <w:tcPr>
            <w:tcW w:w="100" w:type="dxa"/>
            <w:vAlign w:val="bottom"/>
            <w:tcBorders>
              <w:top w:val="single" w:sz="8" w:color="E5E5E5"/>
              <w:right w:val="single" w:sz="8" w:color="E5E5E5"/>
            </w:tcBorders>
            <w:shd w:val="clear" w:color="auto" w:fill="E5E5E5"/>
          </w:tcPr>
          <w:p>
            <w:pPr>
              <w:spacing w:after="0"/>
              <w:rPr>
                <w:sz w:val="12"/>
                <w:szCs w:val="12"/>
                <w:color w:val="auto"/>
              </w:rPr>
            </w:pPr>
          </w:p>
        </w:tc>
        <w:tc>
          <w:tcPr>
            <w:tcW w:w="2440" w:type="dxa"/>
            <w:vAlign w:val="bottom"/>
            <w:tcBorders>
              <w:top w:val="single" w:sz="8" w:color="0000EE"/>
            </w:tcBorders>
            <w:gridSpan w:val="13"/>
            <w:shd w:val="clear" w:color="auto" w:fill="E5E5E5"/>
          </w:tcPr>
          <w:p>
            <w:pPr>
              <w:spacing w:after="0" w:line="140" w:lineRule="exact"/>
              <w:rPr>
                <w:rFonts w:ascii="Arial" w:cs="Arial" w:eastAsia="Arial" w:hAnsi="Arial"/>
                <w:sz w:val="15"/>
                <w:szCs w:val="15"/>
                <w:color w:val="0000EE"/>
              </w:rPr>
            </w:pPr>
            <w:hyperlink w:anchor="page20">
              <w:r>
                <w:rPr>
                  <w:rFonts w:ascii="Arial" w:cs="Arial" w:eastAsia="Arial" w:hAnsi="Arial"/>
                  <w:sz w:val="15"/>
                  <w:szCs w:val="15"/>
                  <w:color w:val="0000EE"/>
                </w:rPr>
                <w:t>Meeting Attendance</w:t>
              </w:r>
            </w:hyperlink>
          </w:p>
        </w:tc>
        <w:tc>
          <w:tcPr>
            <w:tcW w:w="700" w:type="dxa"/>
            <w:vAlign w:val="bottom"/>
            <w:tcBorders>
              <w:top w:val="single" w:sz="8" w:color="E5E5E5"/>
            </w:tcBorders>
            <w:shd w:val="clear" w:color="auto" w:fill="E5E5E5"/>
          </w:tcPr>
          <w:p>
            <w:pPr>
              <w:spacing w:after="0"/>
              <w:rPr>
                <w:sz w:val="12"/>
                <w:szCs w:val="12"/>
                <w:color w:val="auto"/>
              </w:rPr>
            </w:pPr>
          </w:p>
        </w:tc>
        <w:tc>
          <w:tcPr>
            <w:tcW w:w="180" w:type="dxa"/>
            <w:vAlign w:val="bottom"/>
            <w:tcBorders>
              <w:top w:val="single" w:sz="8" w:color="E5E5E5"/>
            </w:tcBorders>
            <w:shd w:val="clear" w:color="auto" w:fill="E5E5E5"/>
          </w:tcPr>
          <w:p>
            <w:pPr>
              <w:spacing w:after="0"/>
              <w:rPr>
                <w:sz w:val="12"/>
                <w:szCs w:val="12"/>
                <w:color w:val="auto"/>
              </w:rPr>
            </w:pPr>
          </w:p>
        </w:tc>
        <w:tc>
          <w:tcPr>
            <w:tcW w:w="540" w:type="dxa"/>
            <w:vAlign w:val="bottom"/>
            <w:tcBorders>
              <w:top w:val="single" w:sz="8" w:color="E5E5E5"/>
            </w:tcBorders>
            <w:gridSpan w:val="3"/>
            <w:shd w:val="clear" w:color="auto" w:fill="E5E5E5"/>
          </w:tcPr>
          <w:p>
            <w:pPr>
              <w:spacing w:after="0"/>
              <w:rPr>
                <w:sz w:val="12"/>
                <w:szCs w:val="12"/>
                <w:color w:val="auto"/>
              </w:rPr>
            </w:pPr>
          </w:p>
        </w:tc>
        <w:tc>
          <w:tcPr>
            <w:tcW w:w="180" w:type="dxa"/>
            <w:vAlign w:val="bottom"/>
            <w:tcBorders>
              <w:top w:val="single" w:sz="8" w:color="E5E5E5"/>
            </w:tcBorders>
            <w:shd w:val="clear" w:color="auto" w:fill="E5E5E5"/>
          </w:tcPr>
          <w:p>
            <w:pPr>
              <w:spacing w:after="0"/>
              <w:rPr>
                <w:sz w:val="12"/>
                <w:szCs w:val="12"/>
                <w:color w:val="auto"/>
              </w:rPr>
            </w:pPr>
          </w:p>
        </w:tc>
        <w:tc>
          <w:tcPr>
            <w:tcW w:w="520" w:type="dxa"/>
            <w:vAlign w:val="bottom"/>
            <w:tcBorders>
              <w:top w:val="single" w:sz="8" w:color="E5E5E5"/>
            </w:tcBorders>
            <w:gridSpan w:val="2"/>
            <w:shd w:val="clear" w:color="auto" w:fill="E5E5E5"/>
          </w:tcPr>
          <w:p>
            <w:pPr>
              <w:spacing w:after="0"/>
              <w:rPr>
                <w:sz w:val="12"/>
                <w:szCs w:val="12"/>
                <w:color w:val="auto"/>
              </w:rPr>
            </w:pPr>
          </w:p>
        </w:tc>
        <w:tc>
          <w:tcPr>
            <w:tcW w:w="200" w:type="dxa"/>
            <w:vAlign w:val="bottom"/>
            <w:tcBorders>
              <w:top w:val="single" w:sz="8" w:color="E5E5E5"/>
            </w:tcBorders>
            <w:shd w:val="clear" w:color="auto" w:fill="E5E5E5"/>
          </w:tcPr>
          <w:p>
            <w:pPr>
              <w:spacing w:after="0"/>
              <w:rPr>
                <w:sz w:val="12"/>
                <w:szCs w:val="12"/>
                <w:color w:val="auto"/>
              </w:rPr>
            </w:pPr>
          </w:p>
        </w:tc>
        <w:tc>
          <w:tcPr>
            <w:tcW w:w="40" w:type="dxa"/>
            <w:vAlign w:val="bottom"/>
            <w:tcBorders>
              <w:top w:val="single" w:sz="8" w:color="E5E5E5"/>
            </w:tcBorders>
            <w:shd w:val="clear" w:color="auto" w:fill="E5E5E5"/>
          </w:tcPr>
          <w:p>
            <w:pPr>
              <w:spacing w:after="0"/>
              <w:rPr>
                <w:sz w:val="12"/>
                <w:szCs w:val="12"/>
                <w:color w:val="auto"/>
              </w:rPr>
            </w:pPr>
          </w:p>
        </w:tc>
        <w:tc>
          <w:tcPr>
            <w:tcW w:w="200" w:type="dxa"/>
            <w:vAlign w:val="bottom"/>
            <w:tcBorders>
              <w:top w:val="single" w:sz="8" w:color="E5E5E5"/>
            </w:tcBorders>
            <w:shd w:val="clear" w:color="auto" w:fill="E5E5E5"/>
          </w:tcPr>
          <w:p>
            <w:pPr>
              <w:jc w:val="right"/>
              <w:spacing w:after="0" w:line="140" w:lineRule="exact"/>
              <w:rPr>
                <w:sz w:val="20"/>
                <w:szCs w:val="20"/>
                <w:color w:val="auto"/>
              </w:rPr>
            </w:pPr>
            <w:r>
              <w:rPr>
                <w:rFonts w:ascii="Arial" w:cs="Arial" w:eastAsia="Arial" w:hAnsi="Arial"/>
                <w:sz w:val="15"/>
                <w:szCs w:val="15"/>
                <w:color w:val="auto"/>
              </w:rPr>
              <w:t>8</w:t>
            </w:r>
          </w:p>
        </w:tc>
        <w:tc>
          <w:tcPr>
            <w:tcW w:w="80" w:type="dxa"/>
            <w:vAlign w:val="bottom"/>
            <w:tcBorders>
              <w:top w:val="single" w:sz="8" w:color="E5E5E5"/>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Borders>
              <w:top w:val="single" w:sz="8" w:color="E5E5E5"/>
            </w:tcBorders>
            <w:shd w:val="clear" w:color="auto" w:fill="E5E5E5"/>
          </w:tcPr>
          <w:p>
            <w:pPr>
              <w:spacing w:after="0"/>
              <w:rPr>
                <w:sz w:val="12"/>
                <w:szCs w:val="12"/>
                <w:color w:val="auto"/>
              </w:rPr>
            </w:pPr>
          </w:p>
        </w:tc>
        <w:tc>
          <w:tcPr>
            <w:tcW w:w="100" w:type="dxa"/>
            <w:vAlign w:val="bottom"/>
            <w:tcBorders>
              <w:top w:val="single" w:sz="8" w:color="E5E5E5"/>
              <w:right w:val="single" w:sz="8" w:color="E5E5E5"/>
            </w:tcBorders>
            <w:shd w:val="clear" w:color="auto" w:fill="E5E5E5"/>
          </w:tcPr>
          <w:p>
            <w:pPr>
              <w:spacing w:after="0"/>
              <w:rPr>
                <w:sz w:val="12"/>
                <w:szCs w:val="12"/>
                <w:color w:val="auto"/>
              </w:rPr>
            </w:pPr>
          </w:p>
        </w:tc>
        <w:tc>
          <w:tcPr>
            <w:tcW w:w="1320" w:type="dxa"/>
            <w:vAlign w:val="bottom"/>
            <w:tcBorders>
              <w:top w:val="single" w:sz="8" w:color="0000EE"/>
            </w:tcBorders>
            <w:gridSpan w:val="5"/>
            <w:shd w:val="clear" w:color="auto" w:fill="E5E5E5"/>
          </w:tcPr>
          <w:p>
            <w:pPr>
              <w:spacing w:after="0" w:line="140" w:lineRule="exact"/>
              <w:rPr>
                <w:rFonts w:ascii="Arial" w:cs="Arial" w:eastAsia="Arial" w:hAnsi="Arial"/>
                <w:sz w:val="15"/>
                <w:szCs w:val="15"/>
                <w:color w:val="0000EE"/>
                <w:w w:val="85"/>
              </w:rPr>
            </w:pPr>
            <w:hyperlink w:anchor="page21">
              <w:r>
                <w:rPr>
                  <w:rFonts w:ascii="Arial" w:cs="Arial" w:eastAsia="Arial" w:hAnsi="Arial"/>
                  <w:sz w:val="15"/>
                  <w:szCs w:val="15"/>
                  <w:color w:val="0000EE"/>
                  <w:w w:val="85"/>
                </w:rPr>
                <w:t>Corporate Governance</w:t>
              </w:r>
            </w:hyperlink>
          </w:p>
        </w:tc>
        <w:tc>
          <w:tcPr>
            <w:tcW w:w="200" w:type="dxa"/>
            <w:vAlign w:val="bottom"/>
            <w:tcBorders>
              <w:top w:val="single" w:sz="8" w:color="E5E5E5"/>
              <w:right w:val="single" w:sz="8" w:color="E5E5E5"/>
            </w:tcBorders>
            <w:gridSpan w:val="3"/>
            <w:shd w:val="clear" w:color="auto" w:fill="E5E5E5"/>
          </w:tcPr>
          <w:p>
            <w:pPr>
              <w:spacing w:after="0"/>
              <w:rPr>
                <w:sz w:val="12"/>
                <w:szCs w:val="12"/>
                <w:color w:val="auto"/>
              </w:rPr>
            </w:pPr>
          </w:p>
        </w:tc>
        <w:tc>
          <w:tcPr>
            <w:tcW w:w="3040" w:type="dxa"/>
            <w:vAlign w:val="bottom"/>
            <w:tcBorders>
              <w:top w:val="single" w:sz="8" w:color="E5E5E5"/>
            </w:tcBorders>
            <w:gridSpan w:val="13"/>
            <w:shd w:val="clear" w:color="auto" w:fill="E5E5E5"/>
          </w:tcPr>
          <w:p>
            <w:pPr>
              <w:ind w:left="20"/>
              <w:spacing w:after="0" w:line="140" w:lineRule="exact"/>
              <w:rPr>
                <w:rFonts w:ascii="Arial" w:cs="Arial" w:eastAsia="Arial" w:hAnsi="Arial"/>
                <w:sz w:val="15"/>
                <w:szCs w:val="15"/>
                <w:color w:val="0000EE"/>
              </w:rPr>
            </w:pPr>
            <w:hyperlink w:anchor="page21">
              <w:r>
                <w:rPr>
                  <w:rFonts w:ascii="Arial" w:cs="Arial" w:eastAsia="Arial" w:hAnsi="Arial"/>
                  <w:sz w:val="15"/>
                  <w:szCs w:val="15"/>
                  <w:color w:val="0000EE"/>
                </w:rPr>
                <w:t>Guidelines</w:t>
              </w:r>
            </w:hyperlink>
          </w:p>
        </w:tc>
        <w:tc>
          <w:tcPr>
            <w:tcW w:w="200" w:type="dxa"/>
            <w:vAlign w:val="bottom"/>
            <w:tcBorders>
              <w:top w:val="single" w:sz="8" w:color="E5E5E5"/>
            </w:tcBorders>
            <w:shd w:val="clear" w:color="auto" w:fill="E5E5E5"/>
          </w:tcPr>
          <w:p>
            <w:pPr>
              <w:spacing w:after="0"/>
              <w:rPr>
                <w:sz w:val="12"/>
                <w:szCs w:val="12"/>
                <w:color w:val="auto"/>
              </w:rPr>
            </w:pPr>
          </w:p>
        </w:tc>
        <w:tc>
          <w:tcPr>
            <w:tcW w:w="40" w:type="dxa"/>
            <w:vAlign w:val="bottom"/>
            <w:tcBorders>
              <w:top w:val="single" w:sz="8" w:color="E5E5E5"/>
            </w:tcBorders>
            <w:shd w:val="clear" w:color="auto" w:fill="E5E5E5"/>
          </w:tcPr>
          <w:p>
            <w:pPr>
              <w:spacing w:after="0"/>
              <w:rPr>
                <w:sz w:val="12"/>
                <w:szCs w:val="12"/>
                <w:color w:val="auto"/>
              </w:rPr>
            </w:pPr>
          </w:p>
        </w:tc>
        <w:tc>
          <w:tcPr>
            <w:tcW w:w="200" w:type="dxa"/>
            <w:vAlign w:val="bottom"/>
            <w:tcBorders>
              <w:top w:val="single" w:sz="8" w:color="E5E5E5"/>
            </w:tcBorders>
            <w:shd w:val="clear" w:color="auto" w:fill="E5E5E5"/>
          </w:tcPr>
          <w:p>
            <w:pPr>
              <w:jc w:val="right"/>
              <w:spacing w:after="0" w:line="140" w:lineRule="exact"/>
              <w:rPr>
                <w:sz w:val="20"/>
                <w:szCs w:val="20"/>
                <w:color w:val="auto"/>
              </w:rPr>
            </w:pPr>
            <w:r>
              <w:rPr>
                <w:rFonts w:ascii="Arial" w:cs="Arial" w:eastAsia="Arial" w:hAnsi="Arial"/>
                <w:sz w:val="15"/>
                <w:szCs w:val="15"/>
                <w:color w:val="auto"/>
              </w:rPr>
              <w:t>9</w:t>
            </w:r>
          </w:p>
        </w:tc>
        <w:tc>
          <w:tcPr>
            <w:tcW w:w="80" w:type="dxa"/>
            <w:vAlign w:val="bottom"/>
            <w:tcBorders>
              <w:top w:val="single" w:sz="8" w:color="E5E5E5"/>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Borders>
              <w:top w:val="single" w:sz="8" w:color="E5E5E5"/>
            </w:tcBorders>
            <w:shd w:val="clear" w:color="auto" w:fill="E5E5E5"/>
          </w:tcPr>
          <w:p>
            <w:pPr>
              <w:spacing w:after="0"/>
              <w:rPr>
                <w:sz w:val="12"/>
                <w:szCs w:val="12"/>
                <w:color w:val="auto"/>
              </w:rPr>
            </w:pPr>
          </w:p>
        </w:tc>
        <w:tc>
          <w:tcPr>
            <w:tcW w:w="100" w:type="dxa"/>
            <w:vAlign w:val="bottom"/>
            <w:tcBorders>
              <w:top w:val="single" w:sz="8" w:color="E5E5E5"/>
              <w:right w:val="single" w:sz="8" w:color="E5E5E5"/>
            </w:tcBorders>
            <w:shd w:val="clear" w:color="auto" w:fill="E5E5E5"/>
          </w:tcPr>
          <w:p>
            <w:pPr>
              <w:spacing w:after="0"/>
              <w:rPr>
                <w:sz w:val="12"/>
                <w:szCs w:val="12"/>
                <w:color w:val="auto"/>
              </w:rPr>
            </w:pPr>
          </w:p>
        </w:tc>
        <w:tc>
          <w:tcPr>
            <w:tcW w:w="2260" w:type="dxa"/>
            <w:vAlign w:val="bottom"/>
            <w:tcBorders>
              <w:top w:val="single" w:sz="8" w:color="0000EE"/>
              <w:right w:val="single" w:sz="8" w:color="E5E5E5"/>
            </w:tcBorders>
            <w:gridSpan w:val="12"/>
            <w:shd w:val="clear" w:color="auto" w:fill="E5E5E5"/>
          </w:tcPr>
          <w:p>
            <w:pPr>
              <w:spacing w:after="0" w:line="140" w:lineRule="exact"/>
              <w:rPr>
                <w:rFonts w:ascii="Arial" w:cs="Arial" w:eastAsia="Arial" w:hAnsi="Arial"/>
                <w:sz w:val="15"/>
                <w:szCs w:val="15"/>
                <w:color w:val="0000EE"/>
              </w:rPr>
            </w:pPr>
            <w:hyperlink w:anchor="page21">
              <w:r>
                <w:rPr>
                  <w:rFonts w:ascii="Arial" w:cs="Arial" w:eastAsia="Arial" w:hAnsi="Arial"/>
                  <w:sz w:val="15"/>
                  <w:szCs w:val="15"/>
                  <w:color w:val="0000EE"/>
                </w:rPr>
                <w:t>Stockholder and Interested Party</w:t>
              </w:r>
            </w:hyperlink>
          </w:p>
        </w:tc>
        <w:tc>
          <w:tcPr>
            <w:tcW w:w="2300" w:type="dxa"/>
            <w:vAlign w:val="bottom"/>
            <w:tcBorders>
              <w:top w:val="single" w:sz="8" w:color="E5E5E5"/>
            </w:tcBorders>
            <w:gridSpan w:val="9"/>
            <w:shd w:val="clear" w:color="auto" w:fill="E5E5E5"/>
          </w:tcPr>
          <w:p>
            <w:pPr>
              <w:spacing w:after="0" w:line="140" w:lineRule="exact"/>
              <w:rPr>
                <w:rFonts w:ascii="Arial" w:cs="Arial" w:eastAsia="Arial" w:hAnsi="Arial"/>
                <w:sz w:val="15"/>
                <w:szCs w:val="15"/>
                <w:color w:val="0000EE"/>
              </w:rPr>
            </w:pPr>
            <w:hyperlink w:anchor="page21">
              <w:r>
                <w:rPr>
                  <w:rFonts w:ascii="Arial" w:cs="Arial" w:eastAsia="Arial" w:hAnsi="Arial"/>
                  <w:sz w:val="15"/>
                  <w:szCs w:val="15"/>
                  <w:color w:val="0000EE"/>
                </w:rPr>
                <w:t>Communications</w:t>
              </w:r>
            </w:hyperlink>
          </w:p>
        </w:tc>
        <w:tc>
          <w:tcPr>
            <w:tcW w:w="200" w:type="dxa"/>
            <w:vAlign w:val="bottom"/>
            <w:tcBorders>
              <w:top w:val="single" w:sz="8" w:color="E5E5E5"/>
            </w:tcBorders>
            <w:shd w:val="clear" w:color="auto" w:fill="E5E5E5"/>
          </w:tcPr>
          <w:p>
            <w:pPr>
              <w:spacing w:after="0"/>
              <w:rPr>
                <w:sz w:val="12"/>
                <w:szCs w:val="12"/>
                <w:color w:val="auto"/>
              </w:rPr>
            </w:pPr>
          </w:p>
        </w:tc>
        <w:tc>
          <w:tcPr>
            <w:tcW w:w="40" w:type="dxa"/>
            <w:vAlign w:val="bottom"/>
            <w:tcBorders>
              <w:top w:val="single" w:sz="8" w:color="E5E5E5"/>
            </w:tcBorders>
            <w:shd w:val="clear" w:color="auto" w:fill="E5E5E5"/>
          </w:tcPr>
          <w:p>
            <w:pPr>
              <w:spacing w:after="0"/>
              <w:rPr>
                <w:sz w:val="12"/>
                <w:szCs w:val="12"/>
                <w:color w:val="auto"/>
              </w:rPr>
            </w:pPr>
          </w:p>
        </w:tc>
        <w:tc>
          <w:tcPr>
            <w:tcW w:w="200" w:type="dxa"/>
            <w:vAlign w:val="bottom"/>
            <w:tcBorders>
              <w:top w:val="single" w:sz="8" w:color="E5E5E5"/>
            </w:tcBorders>
            <w:shd w:val="clear" w:color="auto" w:fill="E5E5E5"/>
          </w:tcPr>
          <w:p>
            <w:pPr>
              <w:jc w:val="right"/>
              <w:spacing w:after="0" w:line="140" w:lineRule="exact"/>
              <w:rPr>
                <w:sz w:val="20"/>
                <w:szCs w:val="20"/>
                <w:color w:val="auto"/>
              </w:rPr>
            </w:pPr>
            <w:r>
              <w:rPr>
                <w:rFonts w:ascii="Arial" w:cs="Arial" w:eastAsia="Arial" w:hAnsi="Arial"/>
                <w:sz w:val="15"/>
                <w:szCs w:val="15"/>
                <w:color w:val="auto"/>
              </w:rPr>
              <w:t>9</w:t>
            </w:r>
          </w:p>
        </w:tc>
        <w:tc>
          <w:tcPr>
            <w:tcW w:w="80" w:type="dxa"/>
            <w:vAlign w:val="bottom"/>
            <w:tcBorders>
              <w:top w:val="single" w:sz="8" w:color="E5E5E5"/>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Borders>
              <w:top w:val="single" w:sz="8" w:color="E5E5E5"/>
            </w:tcBorders>
            <w:shd w:val="clear" w:color="auto" w:fill="E5E5E5"/>
          </w:tcPr>
          <w:p>
            <w:pPr>
              <w:spacing w:after="0"/>
              <w:rPr>
                <w:sz w:val="12"/>
                <w:szCs w:val="12"/>
                <w:color w:val="auto"/>
              </w:rPr>
            </w:pPr>
          </w:p>
        </w:tc>
        <w:tc>
          <w:tcPr>
            <w:tcW w:w="100" w:type="dxa"/>
            <w:vAlign w:val="bottom"/>
            <w:tcBorders>
              <w:top w:val="single" w:sz="8" w:color="E5E5E5"/>
              <w:right w:val="single" w:sz="8" w:color="E5E5E5"/>
            </w:tcBorders>
            <w:shd w:val="clear" w:color="auto" w:fill="E5E5E5"/>
          </w:tcPr>
          <w:p>
            <w:pPr>
              <w:spacing w:after="0"/>
              <w:rPr>
                <w:sz w:val="12"/>
                <w:szCs w:val="12"/>
                <w:color w:val="auto"/>
              </w:rPr>
            </w:pPr>
          </w:p>
        </w:tc>
        <w:tc>
          <w:tcPr>
            <w:tcW w:w="3320" w:type="dxa"/>
            <w:vAlign w:val="bottom"/>
            <w:tcBorders>
              <w:top w:val="single" w:sz="8" w:color="0000EE"/>
            </w:tcBorders>
            <w:gridSpan w:val="15"/>
            <w:shd w:val="clear" w:color="auto" w:fill="E5E5E5"/>
          </w:tcPr>
          <w:p>
            <w:pPr>
              <w:spacing w:after="0" w:line="140" w:lineRule="exact"/>
              <w:rPr>
                <w:rFonts w:ascii="Arial" w:cs="Arial" w:eastAsia="Arial" w:hAnsi="Arial"/>
                <w:sz w:val="15"/>
                <w:szCs w:val="15"/>
                <w:color w:val="0000EE"/>
              </w:rPr>
            </w:pPr>
            <w:hyperlink w:anchor="page21">
              <w:r>
                <w:rPr>
                  <w:rFonts w:ascii="Arial" w:cs="Arial" w:eastAsia="Arial" w:hAnsi="Arial"/>
                  <w:sz w:val="15"/>
                  <w:szCs w:val="15"/>
                  <w:color w:val="0000EE"/>
                </w:rPr>
                <w:t>Related Party Transactions</w:t>
              </w:r>
            </w:hyperlink>
          </w:p>
        </w:tc>
        <w:tc>
          <w:tcPr>
            <w:tcW w:w="540" w:type="dxa"/>
            <w:vAlign w:val="bottom"/>
            <w:tcBorders>
              <w:top w:val="single" w:sz="8" w:color="E5E5E5"/>
            </w:tcBorders>
            <w:gridSpan w:val="3"/>
            <w:shd w:val="clear" w:color="auto" w:fill="E5E5E5"/>
          </w:tcPr>
          <w:p>
            <w:pPr>
              <w:spacing w:after="0"/>
              <w:rPr>
                <w:sz w:val="12"/>
                <w:szCs w:val="12"/>
                <w:color w:val="auto"/>
              </w:rPr>
            </w:pPr>
          </w:p>
        </w:tc>
        <w:tc>
          <w:tcPr>
            <w:tcW w:w="180" w:type="dxa"/>
            <w:vAlign w:val="bottom"/>
            <w:tcBorders>
              <w:top w:val="single" w:sz="8" w:color="E5E5E5"/>
            </w:tcBorders>
            <w:shd w:val="clear" w:color="auto" w:fill="E5E5E5"/>
          </w:tcPr>
          <w:p>
            <w:pPr>
              <w:spacing w:after="0"/>
              <w:rPr>
                <w:sz w:val="12"/>
                <w:szCs w:val="12"/>
                <w:color w:val="auto"/>
              </w:rPr>
            </w:pPr>
          </w:p>
        </w:tc>
        <w:tc>
          <w:tcPr>
            <w:tcW w:w="520" w:type="dxa"/>
            <w:vAlign w:val="bottom"/>
            <w:tcBorders>
              <w:top w:val="single" w:sz="8" w:color="E5E5E5"/>
            </w:tcBorders>
            <w:gridSpan w:val="2"/>
            <w:shd w:val="clear" w:color="auto" w:fill="E5E5E5"/>
          </w:tcPr>
          <w:p>
            <w:pPr>
              <w:spacing w:after="0"/>
              <w:rPr>
                <w:sz w:val="12"/>
                <w:szCs w:val="12"/>
                <w:color w:val="auto"/>
              </w:rPr>
            </w:pPr>
          </w:p>
        </w:tc>
        <w:tc>
          <w:tcPr>
            <w:tcW w:w="200" w:type="dxa"/>
            <w:vAlign w:val="bottom"/>
            <w:tcBorders>
              <w:top w:val="single" w:sz="8" w:color="E5E5E5"/>
            </w:tcBorders>
            <w:shd w:val="clear" w:color="auto" w:fill="E5E5E5"/>
          </w:tcPr>
          <w:p>
            <w:pPr>
              <w:spacing w:after="0"/>
              <w:rPr>
                <w:sz w:val="12"/>
                <w:szCs w:val="12"/>
                <w:color w:val="auto"/>
              </w:rPr>
            </w:pPr>
          </w:p>
        </w:tc>
        <w:tc>
          <w:tcPr>
            <w:tcW w:w="40" w:type="dxa"/>
            <w:vAlign w:val="bottom"/>
            <w:tcBorders>
              <w:top w:val="single" w:sz="8" w:color="E5E5E5"/>
            </w:tcBorders>
            <w:shd w:val="clear" w:color="auto" w:fill="E5E5E5"/>
          </w:tcPr>
          <w:p>
            <w:pPr>
              <w:spacing w:after="0"/>
              <w:rPr>
                <w:sz w:val="12"/>
                <w:szCs w:val="12"/>
                <w:color w:val="auto"/>
              </w:rPr>
            </w:pPr>
          </w:p>
        </w:tc>
        <w:tc>
          <w:tcPr>
            <w:tcW w:w="200" w:type="dxa"/>
            <w:vAlign w:val="bottom"/>
            <w:tcBorders>
              <w:top w:val="single" w:sz="8" w:color="E5E5E5"/>
            </w:tcBorders>
            <w:shd w:val="clear" w:color="auto" w:fill="E5E5E5"/>
          </w:tcPr>
          <w:p>
            <w:pPr>
              <w:jc w:val="right"/>
              <w:spacing w:after="0" w:line="140" w:lineRule="exact"/>
              <w:rPr>
                <w:sz w:val="20"/>
                <w:szCs w:val="20"/>
                <w:color w:val="auto"/>
              </w:rPr>
            </w:pPr>
            <w:r>
              <w:rPr>
                <w:rFonts w:ascii="Arial" w:cs="Arial" w:eastAsia="Arial" w:hAnsi="Arial"/>
                <w:sz w:val="15"/>
                <w:szCs w:val="15"/>
                <w:color w:val="auto"/>
              </w:rPr>
              <w:t>9</w:t>
            </w:r>
          </w:p>
        </w:tc>
        <w:tc>
          <w:tcPr>
            <w:tcW w:w="80" w:type="dxa"/>
            <w:vAlign w:val="bottom"/>
            <w:tcBorders>
              <w:top w:val="single" w:sz="8" w:color="E5E5E5"/>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Borders>
              <w:top w:val="single" w:sz="8" w:color="E5E5E5"/>
              <w:bottom w:val="single" w:sz="8" w:color="E5E5E5"/>
            </w:tcBorders>
            <w:shd w:val="clear" w:color="auto" w:fill="E5E5E5"/>
          </w:tcPr>
          <w:p>
            <w:pPr>
              <w:spacing w:after="0"/>
              <w:rPr>
                <w:sz w:val="12"/>
                <w:szCs w:val="12"/>
                <w:color w:val="auto"/>
              </w:rPr>
            </w:pPr>
          </w:p>
        </w:tc>
        <w:tc>
          <w:tcPr>
            <w:tcW w:w="100" w:type="dxa"/>
            <w:vAlign w:val="bottom"/>
            <w:tcBorders>
              <w:top w:val="single" w:sz="8" w:color="E5E5E5"/>
              <w:bottom w:val="single" w:sz="8" w:color="E5E5E5"/>
              <w:right w:val="single" w:sz="8" w:color="E5E5E5"/>
            </w:tcBorders>
            <w:shd w:val="clear" w:color="auto" w:fill="E5E5E5"/>
          </w:tcPr>
          <w:p>
            <w:pPr>
              <w:spacing w:after="0"/>
              <w:rPr>
                <w:sz w:val="12"/>
                <w:szCs w:val="12"/>
                <w:color w:val="auto"/>
              </w:rPr>
            </w:pPr>
          </w:p>
        </w:tc>
        <w:tc>
          <w:tcPr>
            <w:tcW w:w="1660" w:type="dxa"/>
            <w:vAlign w:val="bottom"/>
            <w:tcBorders>
              <w:top w:val="single" w:sz="8" w:color="0000EE"/>
              <w:bottom w:val="single" w:sz="8" w:color="0000EE"/>
              <w:right w:val="single" w:sz="8" w:color="E5E5E5"/>
            </w:tcBorders>
            <w:gridSpan w:val="9"/>
            <w:shd w:val="clear" w:color="auto" w:fill="E5E5E5"/>
          </w:tcPr>
          <w:p>
            <w:pPr>
              <w:spacing w:after="0" w:line="140" w:lineRule="exact"/>
              <w:rPr>
                <w:rFonts w:ascii="Arial" w:cs="Arial" w:eastAsia="Arial" w:hAnsi="Arial"/>
                <w:sz w:val="15"/>
                <w:szCs w:val="15"/>
                <w:color w:val="0000EE"/>
                <w:w w:val="97"/>
              </w:rPr>
            </w:pPr>
            <w:hyperlink w:anchor="page22">
              <w:r>
                <w:rPr>
                  <w:rFonts w:ascii="Arial" w:cs="Arial" w:eastAsia="Arial" w:hAnsi="Arial"/>
                  <w:sz w:val="15"/>
                  <w:szCs w:val="15"/>
                  <w:color w:val="0000EE"/>
                  <w:w w:val="97"/>
                </w:rPr>
                <w:t>Committees of the Board</w:t>
              </w:r>
            </w:hyperlink>
          </w:p>
        </w:tc>
        <w:tc>
          <w:tcPr>
            <w:tcW w:w="120" w:type="dxa"/>
            <w:vAlign w:val="bottom"/>
            <w:tcBorders>
              <w:top w:val="single" w:sz="8" w:color="0000EE"/>
              <w:bottom w:val="single" w:sz="8" w:color="E5E5E5"/>
            </w:tcBorders>
            <w:shd w:val="clear" w:color="auto" w:fill="E5E5E5"/>
          </w:tcPr>
          <w:p>
            <w:pPr>
              <w:spacing w:after="0"/>
              <w:rPr>
                <w:sz w:val="12"/>
                <w:szCs w:val="12"/>
                <w:color w:val="auto"/>
              </w:rPr>
            </w:pPr>
          </w:p>
        </w:tc>
        <w:tc>
          <w:tcPr>
            <w:tcW w:w="220" w:type="dxa"/>
            <w:vAlign w:val="bottom"/>
            <w:tcBorders>
              <w:top w:val="single" w:sz="8" w:color="E5E5E5"/>
              <w:bottom w:val="single" w:sz="8" w:color="E5E5E5"/>
            </w:tcBorders>
            <w:shd w:val="clear" w:color="auto" w:fill="E5E5E5"/>
          </w:tcPr>
          <w:p>
            <w:pPr>
              <w:spacing w:after="0"/>
              <w:rPr>
                <w:sz w:val="12"/>
                <w:szCs w:val="12"/>
                <w:color w:val="auto"/>
              </w:rPr>
            </w:pPr>
          </w:p>
        </w:tc>
        <w:tc>
          <w:tcPr>
            <w:tcW w:w="1140" w:type="dxa"/>
            <w:vAlign w:val="bottom"/>
            <w:tcBorders>
              <w:top w:val="single" w:sz="8" w:color="E5E5E5"/>
              <w:bottom w:val="single" w:sz="8" w:color="E5E5E5"/>
            </w:tcBorders>
            <w:gridSpan w:val="3"/>
            <w:shd w:val="clear" w:color="auto" w:fill="E5E5E5"/>
          </w:tcPr>
          <w:p>
            <w:pPr>
              <w:spacing w:after="0"/>
              <w:rPr>
                <w:sz w:val="12"/>
                <w:szCs w:val="12"/>
                <w:color w:val="auto"/>
              </w:rPr>
            </w:pPr>
          </w:p>
        </w:tc>
        <w:tc>
          <w:tcPr>
            <w:tcW w:w="720" w:type="dxa"/>
            <w:vAlign w:val="bottom"/>
            <w:tcBorders>
              <w:top w:val="single" w:sz="8" w:color="E5E5E5"/>
              <w:bottom w:val="single" w:sz="8" w:color="E5E5E5"/>
            </w:tcBorders>
            <w:gridSpan w:val="4"/>
            <w:shd w:val="clear" w:color="auto" w:fill="E5E5E5"/>
          </w:tcPr>
          <w:p>
            <w:pPr>
              <w:spacing w:after="0"/>
              <w:rPr>
                <w:sz w:val="12"/>
                <w:szCs w:val="12"/>
                <w:color w:val="auto"/>
              </w:rPr>
            </w:pPr>
          </w:p>
        </w:tc>
        <w:tc>
          <w:tcPr>
            <w:tcW w:w="180" w:type="dxa"/>
            <w:vAlign w:val="bottom"/>
            <w:tcBorders>
              <w:top w:val="single" w:sz="8" w:color="E5E5E5"/>
              <w:bottom w:val="single" w:sz="8" w:color="E5E5E5"/>
            </w:tcBorders>
            <w:shd w:val="clear" w:color="auto" w:fill="E5E5E5"/>
          </w:tcPr>
          <w:p>
            <w:pPr>
              <w:spacing w:after="0"/>
              <w:rPr>
                <w:sz w:val="12"/>
                <w:szCs w:val="12"/>
                <w:color w:val="auto"/>
              </w:rPr>
            </w:pPr>
          </w:p>
        </w:tc>
        <w:tc>
          <w:tcPr>
            <w:tcW w:w="520" w:type="dxa"/>
            <w:vAlign w:val="bottom"/>
            <w:tcBorders>
              <w:top w:val="single" w:sz="8" w:color="E5E5E5"/>
              <w:bottom w:val="single" w:sz="8" w:color="E5E5E5"/>
            </w:tcBorders>
            <w:gridSpan w:val="2"/>
            <w:shd w:val="clear" w:color="auto" w:fill="E5E5E5"/>
          </w:tcPr>
          <w:p>
            <w:pPr>
              <w:spacing w:after="0"/>
              <w:rPr>
                <w:sz w:val="12"/>
                <w:szCs w:val="12"/>
                <w:color w:val="auto"/>
              </w:rPr>
            </w:pPr>
          </w:p>
        </w:tc>
        <w:tc>
          <w:tcPr>
            <w:tcW w:w="200" w:type="dxa"/>
            <w:vAlign w:val="bottom"/>
            <w:tcBorders>
              <w:top w:val="single" w:sz="8" w:color="E5E5E5"/>
              <w:bottom w:val="single" w:sz="8" w:color="E5E5E5"/>
            </w:tcBorders>
            <w:shd w:val="clear" w:color="auto" w:fill="E5E5E5"/>
          </w:tcPr>
          <w:p>
            <w:pPr>
              <w:spacing w:after="0"/>
              <w:rPr>
                <w:sz w:val="12"/>
                <w:szCs w:val="12"/>
                <w:color w:val="auto"/>
              </w:rPr>
            </w:pPr>
          </w:p>
        </w:tc>
        <w:tc>
          <w:tcPr>
            <w:tcW w:w="40" w:type="dxa"/>
            <w:vAlign w:val="bottom"/>
            <w:tcBorders>
              <w:top w:val="single" w:sz="8" w:color="E5E5E5"/>
              <w:bottom w:val="single" w:sz="8" w:color="E5E5E5"/>
            </w:tcBorders>
            <w:shd w:val="clear" w:color="auto" w:fill="E5E5E5"/>
          </w:tcPr>
          <w:p>
            <w:pPr>
              <w:spacing w:after="0"/>
              <w:rPr>
                <w:sz w:val="12"/>
                <w:szCs w:val="12"/>
                <w:color w:val="auto"/>
              </w:rPr>
            </w:pPr>
          </w:p>
        </w:tc>
        <w:tc>
          <w:tcPr>
            <w:tcW w:w="200" w:type="dxa"/>
            <w:vAlign w:val="bottom"/>
            <w:tcBorders>
              <w:top w:val="single" w:sz="8" w:color="E5E5E5"/>
              <w:bottom w:val="single" w:sz="8" w:color="E5E5E5"/>
            </w:tcBorders>
            <w:shd w:val="clear" w:color="auto" w:fill="E5E5E5"/>
          </w:tcPr>
          <w:p>
            <w:pPr>
              <w:jc w:val="right"/>
              <w:spacing w:after="0" w:line="140" w:lineRule="exact"/>
              <w:rPr>
                <w:sz w:val="20"/>
                <w:szCs w:val="20"/>
                <w:color w:val="auto"/>
              </w:rPr>
            </w:pPr>
            <w:r>
              <w:rPr>
                <w:rFonts w:ascii="Arial" w:cs="Arial" w:eastAsia="Arial" w:hAnsi="Arial"/>
                <w:sz w:val="15"/>
                <w:szCs w:val="15"/>
                <w:color w:val="auto"/>
              </w:rPr>
              <w:t>10</w:t>
            </w:r>
          </w:p>
        </w:tc>
        <w:tc>
          <w:tcPr>
            <w:tcW w:w="80" w:type="dxa"/>
            <w:vAlign w:val="bottom"/>
            <w:tcBorders>
              <w:top w:val="single" w:sz="8" w:color="E5E5E5"/>
              <w:bottom w:val="single" w:sz="8" w:color="E5E5E5"/>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shd w:val="clear" w:color="auto" w:fill="E5E5E5"/>
          </w:tcPr>
          <w:p>
            <w:pPr>
              <w:spacing w:after="0"/>
              <w:rPr>
                <w:sz w:val="12"/>
                <w:szCs w:val="12"/>
                <w:color w:val="auto"/>
              </w:rPr>
            </w:pPr>
          </w:p>
        </w:tc>
        <w:tc>
          <w:tcPr>
            <w:tcW w:w="100" w:type="dxa"/>
            <w:vAlign w:val="bottom"/>
            <w:tcBorders>
              <w:right w:val="single" w:sz="8" w:color="E5E5E5"/>
            </w:tcBorders>
            <w:shd w:val="clear" w:color="auto" w:fill="E5E5E5"/>
          </w:tcPr>
          <w:p>
            <w:pPr>
              <w:spacing w:after="0"/>
              <w:rPr>
                <w:sz w:val="12"/>
                <w:szCs w:val="12"/>
                <w:color w:val="auto"/>
              </w:rPr>
            </w:pPr>
          </w:p>
        </w:tc>
        <w:tc>
          <w:tcPr>
            <w:tcW w:w="4560" w:type="dxa"/>
            <w:vAlign w:val="bottom"/>
            <w:gridSpan w:val="21"/>
            <w:shd w:val="clear" w:color="auto" w:fill="E5E5E5"/>
          </w:tcPr>
          <w:p>
            <w:pPr>
              <w:spacing w:after="0" w:line="140" w:lineRule="exact"/>
              <w:rPr>
                <w:rFonts w:ascii="Arial" w:cs="Arial" w:eastAsia="Arial" w:hAnsi="Arial"/>
                <w:sz w:val="15"/>
                <w:szCs w:val="15"/>
                <w:color w:val="0000EE"/>
              </w:rPr>
            </w:pPr>
            <w:hyperlink w:anchor="page24">
              <w:r>
                <w:rPr>
                  <w:rFonts w:ascii="Arial" w:cs="Arial" w:eastAsia="Arial" w:hAnsi="Arial"/>
                  <w:sz w:val="15"/>
                  <w:szCs w:val="15"/>
                  <w:color w:val="0000EE"/>
                </w:rPr>
                <w:t>Report of the Audit Committee</w:t>
              </w:r>
            </w:hyperlink>
          </w:p>
        </w:tc>
        <w:tc>
          <w:tcPr>
            <w:tcW w:w="20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200" w:type="dxa"/>
            <w:vAlign w:val="bottom"/>
            <w:shd w:val="clear" w:color="auto" w:fill="E5E5E5"/>
          </w:tcPr>
          <w:p>
            <w:pPr>
              <w:jc w:val="right"/>
              <w:spacing w:after="0" w:line="140" w:lineRule="exact"/>
              <w:rPr>
                <w:sz w:val="20"/>
                <w:szCs w:val="20"/>
                <w:color w:val="auto"/>
              </w:rPr>
            </w:pPr>
            <w:r>
              <w:rPr>
                <w:rFonts w:ascii="Arial" w:cs="Arial" w:eastAsia="Arial" w:hAnsi="Arial"/>
                <w:sz w:val="15"/>
                <w:szCs w:val="15"/>
                <w:color w:val="auto"/>
              </w:rPr>
              <w:t>12</w:t>
            </w:r>
          </w:p>
        </w:tc>
        <w:tc>
          <w:tcPr>
            <w:tcW w:w="8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Borders>
              <w:top w:val="single" w:sz="8" w:color="E5E5E5"/>
            </w:tcBorders>
            <w:shd w:val="clear" w:color="auto" w:fill="E5E5E5"/>
          </w:tcPr>
          <w:p>
            <w:pPr>
              <w:spacing w:after="0"/>
              <w:rPr>
                <w:sz w:val="12"/>
                <w:szCs w:val="12"/>
                <w:color w:val="auto"/>
              </w:rPr>
            </w:pPr>
          </w:p>
        </w:tc>
        <w:tc>
          <w:tcPr>
            <w:tcW w:w="100" w:type="dxa"/>
            <w:vAlign w:val="bottom"/>
            <w:tcBorders>
              <w:top w:val="single" w:sz="8" w:color="E5E5E5"/>
              <w:right w:val="single" w:sz="8" w:color="E5E5E5"/>
            </w:tcBorders>
            <w:shd w:val="clear" w:color="auto" w:fill="E5E5E5"/>
          </w:tcPr>
          <w:p>
            <w:pPr>
              <w:spacing w:after="0"/>
              <w:rPr>
                <w:sz w:val="12"/>
                <w:szCs w:val="12"/>
                <w:color w:val="auto"/>
              </w:rPr>
            </w:pPr>
          </w:p>
        </w:tc>
        <w:tc>
          <w:tcPr>
            <w:tcW w:w="2000" w:type="dxa"/>
            <w:vAlign w:val="bottom"/>
            <w:tcBorders>
              <w:top w:val="single" w:sz="8" w:color="0000EE"/>
            </w:tcBorders>
            <w:gridSpan w:val="11"/>
            <w:shd w:val="clear" w:color="auto" w:fill="E5E5E5"/>
          </w:tcPr>
          <w:p>
            <w:pPr>
              <w:spacing w:after="0" w:line="140" w:lineRule="exact"/>
              <w:rPr>
                <w:rFonts w:ascii="Arial" w:cs="Arial" w:eastAsia="Arial" w:hAnsi="Arial"/>
                <w:sz w:val="15"/>
                <w:szCs w:val="15"/>
                <w:color w:val="0000EE"/>
              </w:rPr>
            </w:pPr>
            <w:hyperlink w:anchor="page26">
              <w:r>
                <w:rPr>
                  <w:rFonts w:ascii="Arial" w:cs="Arial" w:eastAsia="Arial" w:hAnsi="Arial"/>
                  <w:sz w:val="15"/>
                  <w:szCs w:val="15"/>
                  <w:color w:val="0000EE"/>
                </w:rPr>
                <w:t>Stockholder Engagement</w:t>
              </w:r>
            </w:hyperlink>
          </w:p>
        </w:tc>
        <w:tc>
          <w:tcPr>
            <w:tcW w:w="1140" w:type="dxa"/>
            <w:vAlign w:val="bottom"/>
            <w:tcBorders>
              <w:top w:val="single" w:sz="8" w:color="E5E5E5"/>
            </w:tcBorders>
            <w:gridSpan w:val="3"/>
            <w:shd w:val="clear" w:color="auto" w:fill="E5E5E5"/>
          </w:tcPr>
          <w:p>
            <w:pPr>
              <w:spacing w:after="0"/>
              <w:rPr>
                <w:sz w:val="12"/>
                <w:szCs w:val="12"/>
                <w:color w:val="auto"/>
              </w:rPr>
            </w:pPr>
          </w:p>
        </w:tc>
        <w:tc>
          <w:tcPr>
            <w:tcW w:w="720" w:type="dxa"/>
            <w:vAlign w:val="bottom"/>
            <w:tcBorders>
              <w:top w:val="single" w:sz="8" w:color="E5E5E5"/>
            </w:tcBorders>
            <w:gridSpan w:val="4"/>
            <w:shd w:val="clear" w:color="auto" w:fill="E5E5E5"/>
          </w:tcPr>
          <w:p>
            <w:pPr>
              <w:spacing w:after="0"/>
              <w:rPr>
                <w:sz w:val="12"/>
                <w:szCs w:val="12"/>
                <w:color w:val="auto"/>
              </w:rPr>
            </w:pPr>
          </w:p>
        </w:tc>
        <w:tc>
          <w:tcPr>
            <w:tcW w:w="180" w:type="dxa"/>
            <w:vAlign w:val="bottom"/>
            <w:tcBorders>
              <w:top w:val="single" w:sz="8" w:color="E5E5E5"/>
            </w:tcBorders>
            <w:shd w:val="clear" w:color="auto" w:fill="E5E5E5"/>
          </w:tcPr>
          <w:p>
            <w:pPr>
              <w:spacing w:after="0"/>
              <w:rPr>
                <w:sz w:val="12"/>
                <w:szCs w:val="12"/>
                <w:color w:val="auto"/>
              </w:rPr>
            </w:pPr>
          </w:p>
        </w:tc>
        <w:tc>
          <w:tcPr>
            <w:tcW w:w="520" w:type="dxa"/>
            <w:vAlign w:val="bottom"/>
            <w:tcBorders>
              <w:top w:val="single" w:sz="8" w:color="E5E5E5"/>
            </w:tcBorders>
            <w:gridSpan w:val="2"/>
            <w:shd w:val="clear" w:color="auto" w:fill="E5E5E5"/>
          </w:tcPr>
          <w:p>
            <w:pPr>
              <w:spacing w:after="0"/>
              <w:rPr>
                <w:sz w:val="12"/>
                <w:szCs w:val="12"/>
                <w:color w:val="auto"/>
              </w:rPr>
            </w:pPr>
          </w:p>
        </w:tc>
        <w:tc>
          <w:tcPr>
            <w:tcW w:w="200" w:type="dxa"/>
            <w:vAlign w:val="bottom"/>
            <w:tcBorders>
              <w:top w:val="single" w:sz="8" w:color="E5E5E5"/>
            </w:tcBorders>
            <w:shd w:val="clear" w:color="auto" w:fill="E5E5E5"/>
          </w:tcPr>
          <w:p>
            <w:pPr>
              <w:spacing w:after="0"/>
              <w:rPr>
                <w:sz w:val="12"/>
                <w:szCs w:val="12"/>
                <w:color w:val="auto"/>
              </w:rPr>
            </w:pPr>
          </w:p>
        </w:tc>
        <w:tc>
          <w:tcPr>
            <w:tcW w:w="40" w:type="dxa"/>
            <w:vAlign w:val="bottom"/>
            <w:tcBorders>
              <w:top w:val="single" w:sz="8" w:color="E5E5E5"/>
            </w:tcBorders>
            <w:shd w:val="clear" w:color="auto" w:fill="E5E5E5"/>
          </w:tcPr>
          <w:p>
            <w:pPr>
              <w:spacing w:after="0"/>
              <w:rPr>
                <w:sz w:val="12"/>
                <w:szCs w:val="12"/>
                <w:color w:val="auto"/>
              </w:rPr>
            </w:pPr>
          </w:p>
        </w:tc>
        <w:tc>
          <w:tcPr>
            <w:tcW w:w="200" w:type="dxa"/>
            <w:vAlign w:val="bottom"/>
            <w:tcBorders>
              <w:top w:val="single" w:sz="8" w:color="E5E5E5"/>
            </w:tcBorders>
            <w:shd w:val="clear" w:color="auto" w:fill="E5E5E5"/>
          </w:tcPr>
          <w:p>
            <w:pPr>
              <w:jc w:val="right"/>
              <w:spacing w:after="0" w:line="140" w:lineRule="exact"/>
              <w:rPr>
                <w:sz w:val="20"/>
                <w:szCs w:val="20"/>
                <w:color w:val="auto"/>
              </w:rPr>
            </w:pPr>
            <w:r>
              <w:rPr>
                <w:rFonts w:ascii="Arial" w:cs="Arial" w:eastAsia="Arial" w:hAnsi="Arial"/>
                <w:sz w:val="15"/>
                <w:szCs w:val="15"/>
                <w:color w:val="auto"/>
              </w:rPr>
              <w:t>14</w:t>
            </w:r>
          </w:p>
        </w:tc>
        <w:tc>
          <w:tcPr>
            <w:tcW w:w="80" w:type="dxa"/>
            <w:vAlign w:val="bottom"/>
            <w:tcBorders>
              <w:top w:val="single" w:sz="8" w:color="E5E5E5"/>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Borders>
              <w:top w:val="single" w:sz="8" w:color="E5E5E5"/>
            </w:tcBorders>
            <w:shd w:val="clear" w:color="auto" w:fill="E5E5E5"/>
          </w:tcPr>
          <w:p>
            <w:pPr>
              <w:spacing w:after="0"/>
              <w:rPr>
                <w:sz w:val="12"/>
                <w:szCs w:val="12"/>
                <w:color w:val="auto"/>
              </w:rPr>
            </w:pPr>
          </w:p>
        </w:tc>
        <w:tc>
          <w:tcPr>
            <w:tcW w:w="100" w:type="dxa"/>
            <w:vAlign w:val="bottom"/>
            <w:tcBorders>
              <w:top w:val="single" w:sz="8" w:color="E5E5E5"/>
              <w:right w:val="single" w:sz="8" w:color="E5E5E5"/>
            </w:tcBorders>
            <w:shd w:val="clear" w:color="auto" w:fill="E5E5E5"/>
          </w:tcPr>
          <w:p>
            <w:pPr>
              <w:spacing w:after="0"/>
              <w:rPr>
                <w:sz w:val="12"/>
                <w:szCs w:val="12"/>
                <w:color w:val="auto"/>
              </w:rPr>
            </w:pPr>
          </w:p>
        </w:tc>
        <w:tc>
          <w:tcPr>
            <w:tcW w:w="1660" w:type="dxa"/>
            <w:vAlign w:val="bottom"/>
            <w:tcBorders>
              <w:top w:val="single" w:sz="8" w:color="0000EE"/>
              <w:right w:val="single" w:sz="8" w:color="E5E5E5"/>
            </w:tcBorders>
            <w:gridSpan w:val="9"/>
            <w:shd w:val="clear" w:color="auto" w:fill="E5E5E5"/>
          </w:tcPr>
          <w:p>
            <w:pPr>
              <w:spacing w:after="0" w:line="140" w:lineRule="exact"/>
              <w:rPr>
                <w:rFonts w:ascii="Arial" w:cs="Arial" w:eastAsia="Arial" w:hAnsi="Arial"/>
                <w:sz w:val="15"/>
                <w:szCs w:val="15"/>
                <w:color w:val="0000EE"/>
              </w:rPr>
            </w:pPr>
            <w:hyperlink w:anchor="page26">
              <w:r>
                <w:rPr>
                  <w:rFonts w:ascii="Arial" w:cs="Arial" w:eastAsia="Arial" w:hAnsi="Arial"/>
                  <w:sz w:val="15"/>
                  <w:szCs w:val="15"/>
                  <w:color w:val="0000EE"/>
                </w:rPr>
                <w:t>Risk Oversight</w:t>
              </w:r>
            </w:hyperlink>
          </w:p>
        </w:tc>
        <w:tc>
          <w:tcPr>
            <w:tcW w:w="1480" w:type="dxa"/>
            <w:vAlign w:val="bottom"/>
            <w:tcBorders>
              <w:top w:val="single" w:sz="8" w:color="E5E5E5"/>
            </w:tcBorders>
            <w:gridSpan w:val="5"/>
            <w:shd w:val="clear" w:color="auto" w:fill="E5E5E5"/>
          </w:tcPr>
          <w:p>
            <w:pPr>
              <w:spacing w:after="0"/>
              <w:rPr>
                <w:sz w:val="12"/>
                <w:szCs w:val="12"/>
                <w:color w:val="auto"/>
              </w:rPr>
            </w:pPr>
          </w:p>
        </w:tc>
        <w:tc>
          <w:tcPr>
            <w:tcW w:w="720" w:type="dxa"/>
            <w:vAlign w:val="bottom"/>
            <w:tcBorders>
              <w:top w:val="single" w:sz="8" w:color="E5E5E5"/>
            </w:tcBorders>
            <w:gridSpan w:val="4"/>
            <w:shd w:val="clear" w:color="auto" w:fill="E5E5E5"/>
          </w:tcPr>
          <w:p>
            <w:pPr>
              <w:spacing w:after="0"/>
              <w:rPr>
                <w:sz w:val="12"/>
                <w:szCs w:val="12"/>
                <w:color w:val="auto"/>
              </w:rPr>
            </w:pPr>
          </w:p>
        </w:tc>
        <w:tc>
          <w:tcPr>
            <w:tcW w:w="180" w:type="dxa"/>
            <w:vAlign w:val="bottom"/>
            <w:tcBorders>
              <w:top w:val="single" w:sz="8" w:color="E5E5E5"/>
            </w:tcBorders>
            <w:shd w:val="clear" w:color="auto" w:fill="E5E5E5"/>
          </w:tcPr>
          <w:p>
            <w:pPr>
              <w:spacing w:after="0"/>
              <w:rPr>
                <w:sz w:val="12"/>
                <w:szCs w:val="12"/>
                <w:color w:val="auto"/>
              </w:rPr>
            </w:pPr>
          </w:p>
        </w:tc>
        <w:tc>
          <w:tcPr>
            <w:tcW w:w="520" w:type="dxa"/>
            <w:vAlign w:val="bottom"/>
            <w:tcBorders>
              <w:top w:val="single" w:sz="8" w:color="E5E5E5"/>
            </w:tcBorders>
            <w:gridSpan w:val="2"/>
            <w:shd w:val="clear" w:color="auto" w:fill="E5E5E5"/>
          </w:tcPr>
          <w:p>
            <w:pPr>
              <w:spacing w:after="0"/>
              <w:rPr>
                <w:sz w:val="12"/>
                <w:szCs w:val="12"/>
                <w:color w:val="auto"/>
              </w:rPr>
            </w:pPr>
          </w:p>
        </w:tc>
        <w:tc>
          <w:tcPr>
            <w:tcW w:w="200" w:type="dxa"/>
            <w:vAlign w:val="bottom"/>
            <w:tcBorders>
              <w:top w:val="single" w:sz="8" w:color="E5E5E5"/>
            </w:tcBorders>
            <w:shd w:val="clear" w:color="auto" w:fill="E5E5E5"/>
          </w:tcPr>
          <w:p>
            <w:pPr>
              <w:spacing w:after="0"/>
              <w:rPr>
                <w:sz w:val="12"/>
                <w:szCs w:val="12"/>
                <w:color w:val="auto"/>
              </w:rPr>
            </w:pPr>
          </w:p>
        </w:tc>
        <w:tc>
          <w:tcPr>
            <w:tcW w:w="40" w:type="dxa"/>
            <w:vAlign w:val="bottom"/>
            <w:tcBorders>
              <w:top w:val="single" w:sz="8" w:color="E5E5E5"/>
            </w:tcBorders>
            <w:shd w:val="clear" w:color="auto" w:fill="E5E5E5"/>
          </w:tcPr>
          <w:p>
            <w:pPr>
              <w:spacing w:after="0"/>
              <w:rPr>
                <w:sz w:val="12"/>
                <w:szCs w:val="12"/>
                <w:color w:val="auto"/>
              </w:rPr>
            </w:pPr>
          </w:p>
        </w:tc>
        <w:tc>
          <w:tcPr>
            <w:tcW w:w="200" w:type="dxa"/>
            <w:vAlign w:val="bottom"/>
            <w:tcBorders>
              <w:top w:val="single" w:sz="8" w:color="E5E5E5"/>
            </w:tcBorders>
            <w:shd w:val="clear" w:color="auto" w:fill="E5E5E5"/>
          </w:tcPr>
          <w:p>
            <w:pPr>
              <w:jc w:val="right"/>
              <w:spacing w:after="0" w:line="140" w:lineRule="exact"/>
              <w:rPr>
                <w:sz w:val="20"/>
                <w:szCs w:val="20"/>
                <w:color w:val="auto"/>
              </w:rPr>
            </w:pPr>
            <w:r>
              <w:rPr>
                <w:rFonts w:ascii="Arial" w:cs="Arial" w:eastAsia="Arial" w:hAnsi="Arial"/>
                <w:sz w:val="15"/>
                <w:szCs w:val="15"/>
                <w:color w:val="auto"/>
              </w:rPr>
              <w:t>14</w:t>
            </w:r>
          </w:p>
        </w:tc>
        <w:tc>
          <w:tcPr>
            <w:tcW w:w="80" w:type="dxa"/>
            <w:vAlign w:val="bottom"/>
            <w:tcBorders>
              <w:top w:val="single" w:sz="8" w:color="E5E5E5"/>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Borders>
              <w:top w:val="single" w:sz="8" w:color="E5E5E5"/>
              <w:bottom w:val="single" w:sz="8" w:color="E5E5E5"/>
            </w:tcBorders>
            <w:shd w:val="clear" w:color="auto" w:fill="E5E5E5"/>
          </w:tcPr>
          <w:p>
            <w:pPr>
              <w:spacing w:after="0"/>
              <w:rPr>
                <w:sz w:val="12"/>
                <w:szCs w:val="12"/>
                <w:color w:val="auto"/>
              </w:rPr>
            </w:pPr>
          </w:p>
        </w:tc>
        <w:tc>
          <w:tcPr>
            <w:tcW w:w="100" w:type="dxa"/>
            <w:vAlign w:val="bottom"/>
            <w:tcBorders>
              <w:top w:val="single" w:sz="8" w:color="E5E5E5"/>
              <w:bottom w:val="single" w:sz="8" w:color="E5E5E5"/>
              <w:right w:val="single" w:sz="8" w:color="E5E5E5"/>
            </w:tcBorders>
            <w:shd w:val="clear" w:color="auto" w:fill="E5E5E5"/>
          </w:tcPr>
          <w:p>
            <w:pPr>
              <w:spacing w:after="0"/>
              <w:rPr>
                <w:sz w:val="12"/>
                <w:szCs w:val="12"/>
                <w:color w:val="auto"/>
              </w:rPr>
            </w:pPr>
          </w:p>
        </w:tc>
        <w:tc>
          <w:tcPr>
            <w:tcW w:w="960" w:type="dxa"/>
            <w:vAlign w:val="bottom"/>
            <w:tcBorders>
              <w:top w:val="single" w:sz="8" w:color="0000EE"/>
              <w:bottom w:val="single" w:sz="8" w:color="0000EE"/>
            </w:tcBorders>
            <w:gridSpan w:val="2"/>
            <w:shd w:val="clear" w:color="auto" w:fill="E5E5E5"/>
          </w:tcPr>
          <w:p>
            <w:pPr>
              <w:spacing w:after="0" w:line="140" w:lineRule="exact"/>
              <w:rPr>
                <w:rFonts w:ascii="Arial" w:cs="Arial" w:eastAsia="Arial" w:hAnsi="Arial"/>
                <w:sz w:val="15"/>
                <w:szCs w:val="15"/>
                <w:color w:val="0000EE"/>
              </w:rPr>
            </w:pPr>
            <w:hyperlink w:anchor="page27">
              <w:r>
                <w:rPr>
                  <w:rFonts w:ascii="Arial" w:cs="Arial" w:eastAsia="Arial" w:hAnsi="Arial"/>
                  <w:sz w:val="15"/>
                  <w:szCs w:val="15"/>
                  <w:color w:val="0000EE"/>
                </w:rPr>
                <w:t>Section 16(a)</w:t>
              </w:r>
            </w:hyperlink>
          </w:p>
        </w:tc>
        <w:tc>
          <w:tcPr>
            <w:tcW w:w="2900" w:type="dxa"/>
            <w:vAlign w:val="bottom"/>
            <w:tcBorders>
              <w:top w:val="single" w:sz="8" w:color="E5E5E5"/>
              <w:bottom w:val="single" w:sz="8" w:color="0000EE"/>
            </w:tcBorders>
            <w:gridSpan w:val="16"/>
            <w:shd w:val="clear" w:color="auto" w:fill="E5E5E5"/>
          </w:tcPr>
          <w:p>
            <w:pPr>
              <w:spacing w:after="0" w:line="140" w:lineRule="exact"/>
              <w:rPr>
                <w:rFonts w:ascii="Arial" w:cs="Arial" w:eastAsia="Arial" w:hAnsi="Arial"/>
                <w:sz w:val="15"/>
                <w:szCs w:val="15"/>
                <w:color w:val="0000EE"/>
                <w:w w:val="98"/>
              </w:rPr>
            </w:pPr>
            <w:hyperlink w:anchor="page27">
              <w:r>
                <w:rPr>
                  <w:rFonts w:ascii="Arial" w:cs="Arial" w:eastAsia="Arial" w:hAnsi="Arial"/>
                  <w:sz w:val="15"/>
                  <w:szCs w:val="15"/>
                  <w:color w:val="0000EE"/>
                  <w:w w:val="98"/>
                </w:rPr>
                <w:t>Beneficial Ownership Reporting Compliance</w:t>
              </w:r>
            </w:hyperlink>
          </w:p>
        </w:tc>
        <w:tc>
          <w:tcPr>
            <w:tcW w:w="700" w:type="dxa"/>
            <w:vAlign w:val="bottom"/>
            <w:tcBorders>
              <w:top w:val="single" w:sz="8" w:color="E5E5E5"/>
              <w:bottom w:val="single" w:sz="8" w:color="E5E5E5"/>
            </w:tcBorders>
            <w:gridSpan w:val="3"/>
            <w:shd w:val="clear" w:color="auto" w:fill="E5E5E5"/>
          </w:tcPr>
          <w:p>
            <w:pPr>
              <w:spacing w:after="0"/>
              <w:rPr>
                <w:sz w:val="12"/>
                <w:szCs w:val="12"/>
                <w:color w:val="auto"/>
              </w:rPr>
            </w:pPr>
          </w:p>
        </w:tc>
        <w:tc>
          <w:tcPr>
            <w:tcW w:w="200" w:type="dxa"/>
            <w:vAlign w:val="bottom"/>
            <w:tcBorders>
              <w:top w:val="single" w:sz="8" w:color="E5E5E5"/>
              <w:bottom w:val="single" w:sz="8" w:color="E5E5E5"/>
            </w:tcBorders>
            <w:shd w:val="clear" w:color="auto" w:fill="E5E5E5"/>
          </w:tcPr>
          <w:p>
            <w:pPr>
              <w:spacing w:after="0"/>
              <w:rPr>
                <w:sz w:val="12"/>
                <w:szCs w:val="12"/>
                <w:color w:val="auto"/>
              </w:rPr>
            </w:pPr>
          </w:p>
        </w:tc>
        <w:tc>
          <w:tcPr>
            <w:tcW w:w="40" w:type="dxa"/>
            <w:vAlign w:val="bottom"/>
            <w:tcBorders>
              <w:top w:val="single" w:sz="8" w:color="E5E5E5"/>
              <w:bottom w:val="single" w:sz="8" w:color="E5E5E5"/>
            </w:tcBorders>
            <w:shd w:val="clear" w:color="auto" w:fill="E5E5E5"/>
          </w:tcPr>
          <w:p>
            <w:pPr>
              <w:spacing w:after="0"/>
              <w:rPr>
                <w:sz w:val="12"/>
                <w:szCs w:val="12"/>
                <w:color w:val="auto"/>
              </w:rPr>
            </w:pPr>
          </w:p>
        </w:tc>
        <w:tc>
          <w:tcPr>
            <w:tcW w:w="200" w:type="dxa"/>
            <w:vAlign w:val="bottom"/>
            <w:tcBorders>
              <w:top w:val="single" w:sz="8" w:color="E5E5E5"/>
              <w:bottom w:val="single" w:sz="8" w:color="E5E5E5"/>
            </w:tcBorders>
            <w:shd w:val="clear" w:color="auto" w:fill="E5E5E5"/>
          </w:tcPr>
          <w:p>
            <w:pPr>
              <w:jc w:val="right"/>
              <w:spacing w:after="0" w:line="140" w:lineRule="exact"/>
              <w:rPr>
                <w:sz w:val="20"/>
                <w:szCs w:val="20"/>
                <w:color w:val="auto"/>
              </w:rPr>
            </w:pPr>
            <w:r>
              <w:rPr>
                <w:rFonts w:ascii="Arial" w:cs="Arial" w:eastAsia="Arial" w:hAnsi="Arial"/>
                <w:sz w:val="15"/>
                <w:szCs w:val="15"/>
                <w:color w:val="auto"/>
              </w:rPr>
              <w:t>15</w:t>
            </w:r>
          </w:p>
        </w:tc>
        <w:tc>
          <w:tcPr>
            <w:tcW w:w="80" w:type="dxa"/>
            <w:vAlign w:val="bottom"/>
            <w:tcBorders>
              <w:top w:val="single" w:sz="8" w:color="E5E5E5"/>
              <w:bottom w:val="single" w:sz="8" w:color="E5E5E5"/>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shd w:val="clear" w:color="auto" w:fill="E5E5E5"/>
          </w:tcPr>
          <w:p>
            <w:pPr>
              <w:spacing w:after="0"/>
              <w:rPr>
                <w:sz w:val="12"/>
                <w:szCs w:val="12"/>
                <w:color w:val="auto"/>
              </w:rPr>
            </w:pPr>
          </w:p>
        </w:tc>
        <w:tc>
          <w:tcPr>
            <w:tcW w:w="100" w:type="dxa"/>
            <w:vAlign w:val="bottom"/>
            <w:tcBorders>
              <w:right w:val="single" w:sz="8" w:color="E5E5E5"/>
            </w:tcBorders>
            <w:shd w:val="clear" w:color="auto" w:fill="E5E5E5"/>
          </w:tcPr>
          <w:p>
            <w:pPr>
              <w:spacing w:after="0"/>
              <w:rPr>
                <w:sz w:val="12"/>
                <w:szCs w:val="12"/>
                <w:color w:val="auto"/>
              </w:rPr>
            </w:pPr>
          </w:p>
        </w:tc>
        <w:tc>
          <w:tcPr>
            <w:tcW w:w="4560" w:type="dxa"/>
            <w:vAlign w:val="bottom"/>
            <w:gridSpan w:val="21"/>
            <w:shd w:val="clear" w:color="auto" w:fill="E5E5E5"/>
          </w:tcPr>
          <w:p>
            <w:pPr>
              <w:spacing w:after="0" w:line="140" w:lineRule="exact"/>
              <w:rPr>
                <w:rFonts w:ascii="Arial" w:cs="Arial" w:eastAsia="Arial" w:hAnsi="Arial"/>
                <w:sz w:val="15"/>
                <w:szCs w:val="15"/>
                <w:color w:val="0000EE"/>
              </w:rPr>
            </w:pPr>
            <w:hyperlink w:anchor="page28">
              <w:r>
                <w:rPr>
                  <w:rFonts w:ascii="Arial" w:cs="Arial" w:eastAsia="Arial" w:hAnsi="Arial"/>
                  <w:sz w:val="15"/>
                  <w:szCs w:val="15"/>
                  <w:color w:val="0000EE"/>
                </w:rPr>
                <w:t>Ownership of Voting Securities by Certain Beneficial Owners</w:t>
              </w:r>
            </w:hyperlink>
          </w:p>
        </w:tc>
        <w:tc>
          <w:tcPr>
            <w:tcW w:w="20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200" w:type="dxa"/>
            <w:vAlign w:val="bottom"/>
            <w:shd w:val="clear" w:color="auto" w:fill="E5E5E5"/>
          </w:tcPr>
          <w:p>
            <w:pPr>
              <w:jc w:val="right"/>
              <w:spacing w:after="0" w:line="140" w:lineRule="exact"/>
              <w:rPr>
                <w:sz w:val="20"/>
                <w:szCs w:val="20"/>
                <w:color w:val="auto"/>
              </w:rPr>
            </w:pPr>
            <w:r>
              <w:rPr>
                <w:rFonts w:ascii="Arial" w:cs="Arial" w:eastAsia="Arial" w:hAnsi="Arial"/>
                <w:sz w:val="15"/>
                <w:szCs w:val="15"/>
                <w:color w:val="auto"/>
              </w:rPr>
              <w:t>16</w:t>
            </w:r>
          </w:p>
        </w:tc>
        <w:tc>
          <w:tcPr>
            <w:tcW w:w="8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Borders>
              <w:top w:val="single" w:sz="8" w:color="E5E5E5"/>
            </w:tcBorders>
            <w:shd w:val="clear" w:color="auto" w:fill="E5E5E5"/>
          </w:tcPr>
          <w:p>
            <w:pPr>
              <w:spacing w:after="0"/>
              <w:rPr>
                <w:sz w:val="12"/>
                <w:szCs w:val="12"/>
                <w:color w:val="auto"/>
              </w:rPr>
            </w:pPr>
          </w:p>
        </w:tc>
        <w:tc>
          <w:tcPr>
            <w:tcW w:w="100" w:type="dxa"/>
            <w:vAlign w:val="bottom"/>
            <w:tcBorders>
              <w:top w:val="single" w:sz="8" w:color="E5E5E5"/>
              <w:right w:val="single" w:sz="8" w:color="E5E5E5"/>
            </w:tcBorders>
            <w:shd w:val="clear" w:color="auto" w:fill="E5E5E5"/>
          </w:tcPr>
          <w:p>
            <w:pPr>
              <w:spacing w:after="0"/>
              <w:rPr>
                <w:sz w:val="12"/>
                <w:szCs w:val="12"/>
                <w:color w:val="auto"/>
              </w:rPr>
            </w:pPr>
          </w:p>
        </w:tc>
        <w:tc>
          <w:tcPr>
            <w:tcW w:w="4040" w:type="dxa"/>
            <w:vAlign w:val="bottom"/>
            <w:tcBorders>
              <w:top w:val="single" w:sz="8" w:color="0000EE"/>
            </w:tcBorders>
            <w:gridSpan w:val="19"/>
            <w:shd w:val="clear" w:color="auto" w:fill="E5E5E5"/>
          </w:tcPr>
          <w:p>
            <w:pPr>
              <w:spacing w:after="0" w:line="140" w:lineRule="exact"/>
              <w:rPr>
                <w:rFonts w:ascii="Arial" w:cs="Arial" w:eastAsia="Arial" w:hAnsi="Arial"/>
                <w:sz w:val="15"/>
                <w:szCs w:val="15"/>
                <w:color w:val="0000EE"/>
              </w:rPr>
            </w:pPr>
            <w:hyperlink w:anchor="page30">
              <w:r>
                <w:rPr>
                  <w:rFonts w:ascii="Arial" w:cs="Arial" w:eastAsia="Arial" w:hAnsi="Arial"/>
                  <w:sz w:val="15"/>
                  <w:szCs w:val="15"/>
                  <w:color w:val="0000EE"/>
                </w:rPr>
                <w:t>Ownership of Equity Securities by Management</w:t>
              </w:r>
            </w:hyperlink>
          </w:p>
        </w:tc>
        <w:tc>
          <w:tcPr>
            <w:tcW w:w="520" w:type="dxa"/>
            <w:vAlign w:val="bottom"/>
            <w:tcBorders>
              <w:top w:val="single" w:sz="8" w:color="E5E5E5"/>
            </w:tcBorders>
            <w:gridSpan w:val="2"/>
            <w:shd w:val="clear" w:color="auto" w:fill="E5E5E5"/>
          </w:tcPr>
          <w:p>
            <w:pPr>
              <w:spacing w:after="0"/>
              <w:rPr>
                <w:sz w:val="12"/>
                <w:szCs w:val="12"/>
                <w:color w:val="auto"/>
              </w:rPr>
            </w:pPr>
          </w:p>
        </w:tc>
        <w:tc>
          <w:tcPr>
            <w:tcW w:w="200" w:type="dxa"/>
            <w:vAlign w:val="bottom"/>
            <w:tcBorders>
              <w:top w:val="single" w:sz="8" w:color="E5E5E5"/>
            </w:tcBorders>
            <w:shd w:val="clear" w:color="auto" w:fill="E5E5E5"/>
          </w:tcPr>
          <w:p>
            <w:pPr>
              <w:spacing w:after="0"/>
              <w:rPr>
                <w:sz w:val="12"/>
                <w:szCs w:val="12"/>
                <w:color w:val="auto"/>
              </w:rPr>
            </w:pPr>
          </w:p>
        </w:tc>
        <w:tc>
          <w:tcPr>
            <w:tcW w:w="40" w:type="dxa"/>
            <w:vAlign w:val="bottom"/>
            <w:tcBorders>
              <w:top w:val="single" w:sz="8" w:color="E5E5E5"/>
            </w:tcBorders>
            <w:shd w:val="clear" w:color="auto" w:fill="E5E5E5"/>
          </w:tcPr>
          <w:p>
            <w:pPr>
              <w:spacing w:after="0"/>
              <w:rPr>
                <w:sz w:val="12"/>
                <w:szCs w:val="12"/>
                <w:color w:val="auto"/>
              </w:rPr>
            </w:pPr>
          </w:p>
        </w:tc>
        <w:tc>
          <w:tcPr>
            <w:tcW w:w="200" w:type="dxa"/>
            <w:vAlign w:val="bottom"/>
            <w:tcBorders>
              <w:top w:val="single" w:sz="8" w:color="E5E5E5"/>
            </w:tcBorders>
            <w:shd w:val="clear" w:color="auto" w:fill="E5E5E5"/>
          </w:tcPr>
          <w:p>
            <w:pPr>
              <w:jc w:val="right"/>
              <w:spacing w:after="0" w:line="140" w:lineRule="exact"/>
              <w:rPr>
                <w:sz w:val="20"/>
                <w:szCs w:val="20"/>
                <w:color w:val="auto"/>
              </w:rPr>
            </w:pPr>
            <w:r>
              <w:rPr>
                <w:rFonts w:ascii="Arial" w:cs="Arial" w:eastAsia="Arial" w:hAnsi="Arial"/>
                <w:sz w:val="15"/>
                <w:szCs w:val="15"/>
                <w:color w:val="auto"/>
              </w:rPr>
              <w:t>18</w:t>
            </w:r>
          </w:p>
        </w:tc>
        <w:tc>
          <w:tcPr>
            <w:tcW w:w="80" w:type="dxa"/>
            <w:vAlign w:val="bottom"/>
            <w:tcBorders>
              <w:top w:val="single" w:sz="8" w:color="E5E5E5"/>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Borders>
              <w:top w:val="single" w:sz="8" w:color="E5E5E5"/>
            </w:tcBorders>
            <w:shd w:val="clear" w:color="auto" w:fill="E5E5E5"/>
          </w:tcPr>
          <w:p>
            <w:pPr>
              <w:spacing w:after="0"/>
              <w:rPr>
                <w:sz w:val="12"/>
                <w:szCs w:val="12"/>
                <w:color w:val="auto"/>
              </w:rPr>
            </w:pPr>
          </w:p>
        </w:tc>
        <w:tc>
          <w:tcPr>
            <w:tcW w:w="100" w:type="dxa"/>
            <w:vAlign w:val="bottom"/>
            <w:tcBorders>
              <w:top w:val="single" w:sz="8" w:color="E5E5E5"/>
              <w:right w:val="single" w:sz="8" w:color="E5E5E5"/>
            </w:tcBorders>
            <w:shd w:val="clear" w:color="auto" w:fill="E5E5E5"/>
          </w:tcPr>
          <w:p>
            <w:pPr>
              <w:spacing w:after="0"/>
              <w:rPr>
                <w:sz w:val="12"/>
                <w:szCs w:val="12"/>
                <w:color w:val="auto"/>
              </w:rPr>
            </w:pPr>
          </w:p>
        </w:tc>
        <w:tc>
          <w:tcPr>
            <w:tcW w:w="3140" w:type="dxa"/>
            <w:vAlign w:val="bottom"/>
            <w:tcBorders>
              <w:top w:val="single" w:sz="8" w:color="0000EE"/>
            </w:tcBorders>
            <w:gridSpan w:val="14"/>
            <w:shd w:val="clear" w:color="auto" w:fill="E5E5E5"/>
          </w:tcPr>
          <w:p>
            <w:pPr>
              <w:spacing w:after="0" w:line="140" w:lineRule="exact"/>
              <w:rPr>
                <w:rFonts w:ascii="Arial" w:cs="Arial" w:eastAsia="Arial" w:hAnsi="Arial"/>
                <w:sz w:val="15"/>
                <w:szCs w:val="15"/>
                <w:color w:val="0000EE"/>
              </w:rPr>
            </w:pPr>
            <w:hyperlink w:anchor="page31">
              <w:r>
                <w:rPr>
                  <w:rFonts w:ascii="Arial" w:cs="Arial" w:eastAsia="Arial" w:hAnsi="Arial"/>
                  <w:sz w:val="15"/>
                  <w:szCs w:val="15"/>
                  <w:color w:val="0000EE"/>
                </w:rPr>
                <w:t>Director Compensation</w:t>
              </w:r>
            </w:hyperlink>
          </w:p>
        </w:tc>
        <w:tc>
          <w:tcPr>
            <w:tcW w:w="1420" w:type="dxa"/>
            <w:vAlign w:val="bottom"/>
            <w:tcBorders>
              <w:top w:val="single" w:sz="8" w:color="E5E5E5"/>
            </w:tcBorders>
            <w:gridSpan w:val="7"/>
            <w:shd w:val="clear" w:color="auto" w:fill="E5E5E5"/>
          </w:tcPr>
          <w:p>
            <w:pPr>
              <w:spacing w:after="0"/>
              <w:rPr>
                <w:sz w:val="12"/>
                <w:szCs w:val="12"/>
                <w:color w:val="auto"/>
              </w:rPr>
            </w:pPr>
          </w:p>
        </w:tc>
        <w:tc>
          <w:tcPr>
            <w:tcW w:w="200" w:type="dxa"/>
            <w:vAlign w:val="bottom"/>
            <w:tcBorders>
              <w:top w:val="single" w:sz="8" w:color="E5E5E5"/>
            </w:tcBorders>
            <w:shd w:val="clear" w:color="auto" w:fill="E5E5E5"/>
          </w:tcPr>
          <w:p>
            <w:pPr>
              <w:spacing w:after="0"/>
              <w:rPr>
                <w:sz w:val="12"/>
                <w:szCs w:val="12"/>
                <w:color w:val="auto"/>
              </w:rPr>
            </w:pPr>
          </w:p>
        </w:tc>
        <w:tc>
          <w:tcPr>
            <w:tcW w:w="40" w:type="dxa"/>
            <w:vAlign w:val="bottom"/>
            <w:tcBorders>
              <w:top w:val="single" w:sz="8" w:color="E5E5E5"/>
            </w:tcBorders>
            <w:shd w:val="clear" w:color="auto" w:fill="E5E5E5"/>
          </w:tcPr>
          <w:p>
            <w:pPr>
              <w:spacing w:after="0"/>
              <w:rPr>
                <w:sz w:val="12"/>
                <w:szCs w:val="12"/>
                <w:color w:val="auto"/>
              </w:rPr>
            </w:pPr>
          </w:p>
        </w:tc>
        <w:tc>
          <w:tcPr>
            <w:tcW w:w="200" w:type="dxa"/>
            <w:vAlign w:val="bottom"/>
            <w:tcBorders>
              <w:top w:val="single" w:sz="8" w:color="E5E5E5"/>
            </w:tcBorders>
            <w:shd w:val="clear" w:color="auto" w:fill="E5E5E5"/>
          </w:tcPr>
          <w:p>
            <w:pPr>
              <w:jc w:val="right"/>
              <w:spacing w:after="0" w:line="140" w:lineRule="exact"/>
              <w:rPr>
                <w:sz w:val="20"/>
                <w:szCs w:val="20"/>
                <w:color w:val="auto"/>
              </w:rPr>
            </w:pPr>
            <w:r>
              <w:rPr>
                <w:rFonts w:ascii="Arial" w:cs="Arial" w:eastAsia="Arial" w:hAnsi="Arial"/>
                <w:sz w:val="15"/>
                <w:szCs w:val="15"/>
                <w:color w:val="auto"/>
              </w:rPr>
              <w:t>19</w:t>
            </w:r>
          </w:p>
        </w:tc>
        <w:tc>
          <w:tcPr>
            <w:tcW w:w="80" w:type="dxa"/>
            <w:vAlign w:val="bottom"/>
            <w:tcBorders>
              <w:top w:val="single" w:sz="8" w:color="E5E5E5"/>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E5E5E5"/>
          </w:tcPr>
          <w:p>
            <w:pPr>
              <w:spacing w:after="0" w:line="20" w:lineRule="exact"/>
              <w:rPr>
                <w:sz w:val="1"/>
                <w:szCs w:val="1"/>
                <w:color w:val="auto"/>
              </w:rPr>
            </w:pPr>
          </w:p>
        </w:tc>
        <w:tc>
          <w:tcPr>
            <w:tcW w:w="100" w:type="dxa"/>
            <w:vAlign w:val="bottom"/>
            <w:tcBorders>
              <w:right w:val="single" w:sz="8" w:color="E5E5E5"/>
            </w:tcBorders>
            <w:shd w:val="clear" w:color="auto" w:fill="E5E5E5"/>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E5E5E5"/>
            </w:tcBorders>
            <w:shd w:val="clear" w:color="auto" w:fill="E5E5E5"/>
          </w:tcPr>
          <w:p>
            <w:pPr>
              <w:spacing w:after="0" w:line="20" w:lineRule="exact"/>
              <w:rPr>
                <w:sz w:val="1"/>
                <w:szCs w:val="1"/>
                <w:color w:val="auto"/>
              </w:rPr>
            </w:pPr>
          </w:p>
        </w:tc>
        <w:tc>
          <w:tcPr>
            <w:tcW w:w="120" w:type="dxa"/>
            <w:vAlign w:val="bottom"/>
            <w:shd w:val="clear" w:color="auto" w:fill="E5E5E5"/>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260" w:type="dxa"/>
            <w:vAlign w:val="bottom"/>
            <w:tcBorders>
              <w:right w:val="single" w:sz="8" w:color="E5E5E5"/>
            </w:tcBorders>
            <w:shd w:val="clear" w:color="auto" w:fill="E5E5E5"/>
          </w:tcPr>
          <w:p>
            <w:pPr>
              <w:spacing w:after="0" w:line="20" w:lineRule="exact"/>
              <w:rPr>
                <w:sz w:val="1"/>
                <w:szCs w:val="1"/>
                <w:color w:val="auto"/>
              </w:rPr>
            </w:pPr>
          </w:p>
        </w:tc>
        <w:tc>
          <w:tcPr>
            <w:tcW w:w="180" w:type="dxa"/>
            <w:vAlign w:val="bottom"/>
            <w:shd w:val="clear" w:color="auto" w:fill="E5E5E5"/>
          </w:tcPr>
          <w:p>
            <w:pPr>
              <w:spacing w:after="0" w:line="20" w:lineRule="exact"/>
              <w:rPr>
                <w:sz w:val="1"/>
                <w:szCs w:val="1"/>
                <w:color w:val="auto"/>
              </w:rPr>
            </w:pPr>
          </w:p>
        </w:tc>
        <w:tc>
          <w:tcPr>
            <w:tcW w:w="700" w:type="dxa"/>
            <w:vAlign w:val="bottom"/>
            <w:shd w:val="clear" w:color="auto" w:fill="E5E5E5"/>
          </w:tcPr>
          <w:p>
            <w:pPr>
              <w:spacing w:after="0" w:line="20" w:lineRule="exact"/>
              <w:rPr>
                <w:sz w:val="1"/>
                <w:szCs w:val="1"/>
                <w:color w:val="auto"/>
              </w:rPr>
            </w:pPr>
          </w:p>
        </w:tc>
        <w:tc>
          <w:tcPr>
            <w:tcW w:w="180" w:type="dxa"/>
            <w:vAlign w:val="bottom"/>
            <w:shd w:val="clear" w:color="auto" w:fill="E5E5E5"/>
          </w:tcPr>
          <w:p>
            <w:pPr>
              <w:spacing w:after="0" w:line="20" w:lineRule="exact"/>
              <w:rPr>
                <w:sz w:val="1"/>
                <w:szCs w:val="1"/>
                <w:color w:val="auto"/>
              </w:rPr>
            </w:pPr>
          </w:p>
        </w:tc>
        <w:tc>
          <w:tcPr>
            <w:tcW w:w="160" w:type="dxa"/>
            <w:vAlign w:val="bottom"/>
            <w:shd w:val="clear" w:color="auto" w:fill="E5E5E5"/>
          </w:tcPr>
          <w:p>
            <w:pPr>
              <w:spacing w:after="0" w:line="20" w:lineRule="exact"/>
              <w:rPr>
                <w:sz w:val="1"/>
                <w:szCs w:val="1"/>
                <w:color w:val="auto"/>
              </w:rPr>
            </w:pPr>
          </w:p>
        </w:tc>
        <w:tc>
          <w:tcPr>
            <w:tcW w:w="140" w:type="dxa"/>
            <w:vAlign w:val="bottom"/>
            <w:shd w:val="clear" w:color="auto" w:fill="E5E5E5"/>
          </w:tcPr>
          <w:p>
            <w:pPr>
              <w:spacing w:after="0" w:line="20" w:lineRule="exact"/>
              <w:rPr>
                <w:sz w:val="1"/>
                <w:szCs w:val="1"/>
                <w:color w:val="auto"/>
              </w:rPr>
            </w:pPr>
          </w:p>
        </w:tc>
        <w:tc>
          <w:tcPr>
            <w:tcW w:w="240" w:type="dxa"/>
            <w:vAlign w:val="bottom"/>
            <w:shd w:val="clear" w:color="auto" w:fill="E5E5E5"/>
          </w:tcPr>
          <w:p>
            <w:pPr>
              <w:spacing w:after="0" w:line="20" w:lineRule="exact"/>
              <w:rPr>
                <w:sz w:val="1"/>
                <w:szCs w:val="1"/>
                <w:color w:val="auto"/>
              </w:rPr>
            </w:pPr>
          </w:p>
        </w:tc>
        <w:tc>
          <w:tcPr>
            <w:tcW w:w="180" w:type="dxa"/>
            <w:vAlign w:val="bottom"/>
            <w:shd w:val="clear" w:color="auto" w:fill="E5E5E5"/>
          </w:tcPr>
          <w:p>
            <w:pPr>
              <w:spacing w:after="0" w:line="20" w:lineRule="exact"/>
              <w:rPr>
                <w:sz w:val="1"/>
                <w:szCs w:val="1"/>
                <w:color w:val="auto"/>
              </w:rPr>
            </w:pPr>
          </w:p>
        </w:tc>
        <w:tc>
          <w:tcPr>
            <w:tcW w:w="300" w:type="dxa"/>
            <w:vAlign w:val="bottom"/>
            <w:shd w:val="clear" w:color="auto" w:fill="E5E5E5"/>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200" w:type="dxa"/>
            <w:vAlign w:val="bottom"/>
            <w:shd w:val="clear" w:color="auto" w:fill="E5E5E5"/>
          </w:tcPr>
          <w:p>
            <w:pPr>
              <w:spacing w:after="0" w:line="20" w:lineRule="exact"/>
              <w:rPr>
                <w:sz w:val="1"/>
                <w:szCs w:val="1"/>
                <w:color w:val="auto"/>
              </w:rPr>
            </w:pPr>
          </w:p>
        </w:tc>
        <w:tc>
          <w:tcPr>
            <w:tcW w:w="40" w:type="dxa"/>
            <w:vAlign w:val="bottom"/>
            <w:shd w:val="clear" w:color="auto" w:fill="E5E5E5"/>
          </w:tcPr>
          <w:p>
            <w:pPr>
              <w:spacing w:after="0" w:line="20" w:lineRule="exact"/>
              <w:rPr>
                <w:sz w:val="1"/>
                <w:szCs w:val="1"/>
                <w:color w:val="auto"/>
              </w:rPr>
            </w:pPr>
          </w:p>
        </w:tc>
        <w:tc>
          <w:tcPr>
            <w:tcW w:w="200" w:type="dxa"/>
            <w:vAlign w:val="bottom"/>
            <w:shd w:val="clear" w:color="auto" w:fill="E5E5E5"/>
          </w:tcPr>
          <w:p>
            <w:pPr>
              <w:spacing w:after="0" w:line="20" w:lineRule="exact"/>
              <w:rPr>
                <w:sz w:val="1"/>
                <w:szCs w:val="1"/>
                <w:color w:val="auto"/>
              </w:rPr>
            </w:pPr>
          </w:p>
        </w:tc>
        <w:tc>
          <w:tcPr>
            <w:tcW w:w="8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820" w:type="dxa"/>
            <w:vAlign w:val="bottom"/>
            <w:gridSpan w:val="40"/>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EXECUTIVE COMPENSATION</w:t>
              </w:r>
            </w:hyperlink>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bottom w:val="single" w:sz="8" w:color="007549"/>
            </w:tcBorders>
          </w:tcPr>
          <w:p>
            <w:pPr>
              <w:spacing w:after="0" w:line="20" w:lineRule="exact"/>
              <w:rPr>
                <w:sz w:val="1"/>
                <w:szCs w:val="1"/>
                <w:color w:val="auto"/>
              </w:rPr>
            </w:pPr>
          </w:p>
        </w:tc>
        <w:tc>
          <w:tcPr>
            <w:tcW w:w="140" w:type="dxa"/>
            <w:vAlign w:val="bottom"/>
            <w:tcBorders>
              <w:top w:val="single" w:sz="8" w:color="0000EE"/>
              <w:bottom w:val="single" w:sz="8" w:color="007549"/>
            </w:tcBorders>
          </w:tcPr>
          <w:p>
            <w:pPr>
              <w:spacing w:after="0" w:line="20" w:lineRule="exact"/>
              <w:rPr>
                <w:sz w:val="1"/>
                <w:szCs w:val="1"/>
                <w:color w:val="auto"/>
              </w:rPr>
            </w:pPr>
          </w:p>
        </w:tc>
        <w:tc>
          <w:tcPr>
            <w:tcW w:w="140" w:type="dxa"/>
            <w:vAlign w:val="bottom"/>
            <w:tcBorders>
              <w:top w:val="single" w:sz="8" w:color="0000EE"/>
              <w:bottom w:val="single" w:sz="8" w:color="007549"/>
            </w:tcBorders>
          </w:tcPr>
          <w:p>
            <w:pPr>
              <w:spacing w:after="0" w:line="20" w:lineRule="exact"/>
              <w:rPr>
                <w:sz w:val="1"/>
                <w:szCs w:val="1"/>
                <w:color w:val="auto"/>
              </w:rPr>
            </w:pPr>
          </w:p>
        </w:tc>
        <w:tc>
          <w:tcPr>
            <w:tcW w:w="620" w:type="dxa"/>
            <w:vAlign w:val="bottom"/>
            <w:tcBorders>
              <w:top w:val="single" w:sz="8" w:color="0000EE"/>
              <w:bottom w:val="single" w:sz="8" w:color="007549"/>
            </w:tcBorders>
          </w:tcPr>
          <w:p>
            <w:pPr>
              <w:spacing w:after="0" w:line="20" w:lineRule="exact"/>
              <w:rPr>
                <w:sz w:val="1"/>
                <w:szCs w:val="1"/>
                <w:color w:val="auto"/>
              </w:rPr>
            </w:pPr>
          </w:p>
        </w:tc>
        <w:tc>
          <w:tcPr>
            <w:tcW w:w="20" w:type="dxa"/>
            <w:vAlign w:val="bottom"/>
            <w:tcBorders>
              <w:top w:val="single" w:sz="8" w:color="0000EE"/>
              <w:bottom w:val="single" w:sz="8" w:color="007549"/>
            </w:tcBorders>
          </w:tcPr>
          <w:p>
            <w:pPr>
              <w:spacing w:after="0" w:line="20" w:lineRule="exact"/>
              <w:rPr>
                <w:sz w:val="1"/>
                <w:szCs w:val="1"/>
                <w:color w:val="auto"/>
              </w:rPr>
            </w:pPr>
          </w:p>
        </w:tc>
        <w:tc>
          <w:tcPr>
            <w:tcW w:w="160" w:type="dxa"/>
            <w:vAlign w:val="bottom"/>
            <w:tcBorders>
              <w:top w:val="single" w:sz="8" w:color="0000EE"/>
              <w:bottom w:val="single" w:sz="8" w:color="007549"/>
            </w:tcBorders>
          </w:tcPr>
          <w:p>
            <w:pPr>
              <w:spacing w:after="0" w:line="20" w:lineRule="exact"/>
              <w:rPr>
                <w:sz w:val="1"/>
                <w:szCs w:val="1"/>
                <w:color w:val="auto"/>
              </w:rPr>
            </w:pPr>
          </w:p>
        </w:tc>
        <w:tc>
          <w:tcPr>
            <w:tcW w:w="60" w:type="dxa"/>
            <w:vAlign w:val="bottom"/>
            <w:tcBorders>
              <w:top w:val="single" w:sz="8" w:color="0000EE"/>
              <w:bottom w:val="single" w:sz="8" w:color="007549"/>
            </w:tcBorders>
          </w:tcPr>
          <w:p>
            <w:pPr>
              <w:spacing w:after="0" w:line="20" w:lineRule="exact"/>
              <w:rPr>
                <w:sz w:val="1"/>
                <w:szCs w:val="1"/>
                <w:color w:val="auto"/>
              </w:rPr>
            </w:pPr>
          </w:p>
        </w:tc>
        <w:tc>
          <w:tcPr>
            <w:tcW w:w="20" w:type="dxa"/>
            <w:vAlign w:val="bottom"/>
            <w:tcBorders>
              <w:top w:val="single" w:sz="8" w:color="0000EE"/>
              <w:bottom w:val="single" w:sz="8" w:color="007549"/>
            </w:tcBorders>
          </w:tcPr>
          <w:p>
            <w:pPr>
              <w:spacing w:after="0" w:line="20" w:lineRule="exact"/>
              <w:rPr>
                <w:sz w:val="1"/>
                <w:szCs w:val="1"/>
                <w:color w:val="auto"/>
              </w:rPr>
            </w:pPr>
          </w:p>
        </w:tc>
        <w:tc>
          <w:tcPr>
            <w:tcW w:w="100" w:type="dxa"/>
            <w:vAlign w:val="bottom"/>
            <w:tcBorders>
              <w:top w:val="single" w:sz="8" w:color="0000EE"/>
              <w:bottom w:val="single" w:sz="8" w:color="007549"/>
            </w:tcBorders>
          </w:tcPr>
          <w:p>
            <w:pPr>
              <w:spacing w:after="0" w:line="20" w:lineRule="exact"/>
              <w:rPr>
                <w:sz w:val="1"/>
                <w:szCs w:val="1"/>
                <w:color w:val="auto"/>
              </w:rPr>
            </w:pPr>
          </w:p>
        </w:tc>
        <w:tc>
          <w:tcPr>
            <w:tcW w:w="80" w:type="dxa"/>
            <w:vAlign w:val="bottom"/>
            <w:tcBorders>
              <w:top w:val="single" w:sz="8" w:color="0000EE"/>
              <w:bottom w:val="single" w:sz="8" w:color="007549"/>
            </w:tcBorders>
          </w:tcPr>
          <w:p>
            <w:pPr>
              <w:spacing w:after="0" w:line="20" w:lineRule="exact"/>
              <w:rPr>
                <w:sz w:val="1"/>
                <w:szCs w:val="1"/>
                <w:color w:val="auto"/>
              </w:rPr>
            </w:pPr>
          </w:p>
        </w:tc>
        <w:tc>
          <w:tcPr>
            <w:tcW w:w="140" w:type="dxa"/>
            <w:vAlign w:val="bottom"/>
            <w:tcBorders>
              <w:top w:val="single" w:sz="8" w:color="0000EE"/>
              <w:bottom w:val="single" w:sz="8" w:color="007549"/>
            </w:tcBorders>
          </w:tcPr>
          <w:p>
            <w:pPr>
              <w:spacing w:after="0" w:line="20" w:lineRule="exact"/>
              <w:rPr>
                <w:sz w:val="1"/>
                <w:szCs w:val="1"/>
                <w:color w:val="auto"/>
              </w:rPr>
            </w:pPr>
          </w:p>
        </w:tc>
        <w:tc>
          <w:tcPr>
            <w:tcW w:w="20" w:type="dxa"/>
            <w:vAlign w:val="bottom"/>
            <w:tcBorders>
              <w:top w:val="single" w:sz="8" w:color="0000EE"/>
              <w:bottom w:val="single" w:sz="8" w:color="007549"/>
            </w:tcBorders>
          </w:tcPr>
          <w:p>
            <w:pPr>
              <w:spacing w:after="0" w:line="20" w:lineRule="exact"/>
              <w:rPr>
                <w:sz w:val="1"/>
                <w:szCs w:val="1"/>
                <w:color w:val="auto"/>
              </w:rPr>
            </w:pPr>
          </w:p>
        </w:tc>
        <w:tc>
          <w:tcPr>
            <w:tcW w:w="100" w:type="dxa"/>
            <w:vAlign w:val="bottom"/>
            <w:tcBorders>
              <w:top w:val="single" w:sz="8" w:color="0000EE"/>
              <w:bottom w:val="single" w:sz="8" w:color="007549"/>
            </w:tcBorders>
          </w:tcPr>
          <w:p>
            <w:pPr>
              <w:spacing w:after="0" w:line="20" w:lineRule="exact"/>
              <w:rPr>
                <w:sz w:val="1"/>
                <w:szCs w:val="1"/>
                <w:color w:val="auto"/>
              </w:rPr>
            </w:pPr>
          </w:p>
        </w:tc>
        <w:tc>
          <w:tcPr>
            <w:tcW w:w="100" w:type="dxa"/>
            <w:vAlign w:val="bottom"/>
            <w:tcBorders>
              <w:top w:val="single" w:sz="8" w:color="0000EE"/>
              <w:bottom w:val="single" w:sz="8" w:color="007549"/>
            </w:tcBorders>
          </w:tcPr>
          <w:p>
            <w:pPr>
              <w:spacing w:after="0" w:line="20" w:lineRule="exact"/>
              <w:rPr>
                <w:sz w:val="1"/>
                <w:szCs w:val="1"/>
                <w:color w:val="auto"/>
              </w:rPr>
            </w:pPr>
          </w:p>
        </w:tc>
        <w:tc>
          <w:tcPr>
            <w:tcW w:w="40" w:type="dxa"/>
            <w:vAlign w:val="bottom"/>
            <w:tcBorders>
              <w:top w:val="single" w:sz="8" w:color="0000EE"/>
              <w:bottom w:val="single" w:sz="8" w:color="007549"/>
            </w:tcBorders>
          </w:tcPr>
          <w:p>
            <w:pPr>
              <w:spacing w:after="0" w:line="20" w:lineRule="exact"/>
              <w:rPr>
                <w:sz w:val="1"/>
                <w:szCs w:val="1"/>
                <w:color w:val="auto"/>
              </w:rPr>
            </w:pPr>
          </w:p>
        </w:tc>
        <w:tc>
          <w:tcPr>
            <w:tcW w:w="240" w:type="dxa"/>
            <w:vAlign w:val="bottom"/>
            <w:tcBorders>
              <w:top w:val="single" w:sz="8" w:color="0000EE"/>
              <w:bottom w:val="single" w:sz="8" w:color="007549"/>
            </w:tcBorders>
          </w:tcPr>
          <w:p>
            <w:pPr>
              <w:spacing w:after="0" w:line="20" w:lineRule="exact"/>
              <w:rPr>
                <w:sz w:val="1"/>
                <w:szCs w:val="1"/>
                <w:color w:val="auto"/>
              </w:rPr>
            </w:pPr>
          </w:p>
        </w:tc>
        <w:tc>
          <w:tcPr>
            <w:tcW w:w="140" w:type="dxa"/>
            <w:vAlign w:val="bottom"/>
            <w:tcBorders>
              <w:top w:val="single" w:sz="8" w:color="0000EE"/>
              <w:bottom w:val="single" w:sz="8" w:color="007549"/>
            </w:tcBorders>
          </w:tcPr>
          <w:p>
            <w:pPr>
              <w:spacing w:after="0" w:line="20" w:lineRule="exact"/>
              <w:rPr>
                <w:sz w:val="1"/>
                <w:szCs w:val="1"/>
                <w:color w:val="auto"/>
              </w:rPr>
            </w:pPr>
          </w:p>
        </w:tc>
        <w:tc>
          <w:tcPr>
            <w:tcW w:w="80" w:type="dxa"/>
            <w:vAlign w:val="bottom"/>
            <w:tcBorders>
              <w:top w:val="single" w:sz="8" w:color="0000EE"/>
              <w:bottom w:val="single" w:sz="8" w:color="007549"/>
            </w:tcBorders>
          </w:tcPr>
          <w:p>
            <w:pPr>
              <w:spacing w:after="0" w:line="20" w:lineRule="exact"/>
              <w:rPr>
                <w:sz w:val="1"/>
                <w:szCs w:val="1"/>
                <w:color w:val="auto"/>
              </w:rPr>
            </w:pPr>
          </w:p>
        </w:tc>
        <w:tc>
          <w:tcPr>
            <w:tcW w:w="20" w:type="dxa"/>
            <w:vAlign w:val="bottom"/>
            <w:tcBorders>
              <w:top w:val="single" w:sz="8" w:color="0000EE"/>
              <w:bottom w:val="single" w:sz="8" w:color="007549"/>
            </w:tcBorders>
          </w:tcPr>
          <w:p>
            <w:pPr>
              <w:spacing w:after="0" w:line="20" w:lineRule="exact"/>
              <w:rPr>
                <w:sz w:val="1"/>
                <w:szCs w:val="1"/>
                <w:color w:val="auto"/>
              </w:rPr>
            </w:pPr>
          </w:p>
        </w:tc>
        <w:tc>
          <w:tcPr>
            <w:tcW w:w="60" w:type="dxa"/>
            <w:vAlign w:val="bottom"/>
            <w:tcBorders>
              <w:top w:val="single" w:sz="8" w:color="0000EE"/>
              <w:bottom w:val="single" w:sz="8" w:color="007549"/>
            </w:tcBorders>
          </w:tcPr>
          <w:p>
            <w:pPr>
              <w:spacing w:after="0" w:line="20" w:lineRule="exact"/>
              <w:rPr>
                <w:sz w:val="1"/>
                <w:szCs w:val="1"/>
                <w:color w:val="auto"/>
              </w:rPr>
            </w:pPr>
          </w:p>
        </w:tc>
        <w:tc>
          <w:tcPr>
            <w:tcW w:w="40" w:type="dxa"/>
            <w:vAlign w:val="bottom"/>
            <w:tcBorders>
              <w:top w:val="single" w:sz="8" w:color="0000EE"/>
              <w:bottom w:val="single" w:sz="8" w:color="007549"/>
            </w:tcBorders>
          </w:tcPr>
          <w:p>
            <w:pPr>
              <w:spacing w:after="0" w:line="20" w:lineRule="exact"/>
              <w:rPr>
                <w:sz w:val="1"/>
                <w:szCs w:val="1"/>
                <w:color w:val="auto"/>
              </w:rPr>
            </w:pPr>
          </w:p>
        </w:tc>
        <w:tc>
          <w:tcPr>
            <w:tcW w:w="60" w:type="dxa"/>
            <w:vAlign w:val="bottom"/>
            <w:tcBorders>
              <w:bottom w:val="single" w:sz="8" w:color="007549"/>
            </w:tcBorders>
          </w:tcPr>
          <w:p>
            <w:pPr>
              <w:spacing w:after="0" w:line="20" w:lineRule="exact"/>
              <w:rPr>
                <w:sz w:val="1"/>
                <w:szCs w:val="1"/>
                <w:color w:val="auto"/>
              </w:rPr>
            </w:pPr>
          </w:p>
        </w:tc>
        <w:tc>
          <w:tcPr>
            <w:tcW w:w="120" w:type="dxa"/>
            <w:vAlign w:val="bottom"/>
            <w:tcBorders>
              <w:bottom w:val="single" w:sz="8" w:color="007549"/>
            </w:tcBorders>
          </w:tcPr>
          <w:p>
            <w:pPr>
              <w:spacing w:after="0" w:line="20" w:lineRule="exact"/>
              <w:rPr>
                <w:sz w:val="1"/>
                <w:szCs w:val="1"/>
                <w:color w:val="auto"/>
              </w:rPr>
            </w:pPr>
          </w:p>
        </w:tc>
        <w:tc>
          <w:tcPr>
            <w:tcW w:w="40" w:type="dxa"/>
            <w:vAlign w:val="bottom"/>
            <w:tcBorders>
              <w:bottom w:val="single" w:sz="8" w:color="007549"/>
            </w:tcBorders>
          </w:tcPr>
          <w:p>
            <w:pPr>
              <w:spacing w:after="0" w:line="20" w:lineRule="exact"/>
              <w:rPr>
                <w:sz w:val="1"/>
                <w:szCs w:val="1"/>
                <w:color w:val="auto"/>
              </w:rPr>
            </w:pPr>
          </w:p>
        </w:tc>
        <w:tc>
          <w:tcPr>
            <w:tcW w:w="80" w:type="dxa"/>
            <w:vAlign w:val="bottom"/>
            <w:tcBorders>
              <w:bottom w:val="single" w:sz="8" w:color="007549"/>
            </w:tcBorders>
          </w:tcPr>
          <w:p>
            <w:pPr>
              <w:spacing w:after="0" w:line="20" w:lineRule="exact"/>
              <w:rPr>
                <w:sz w:val="1"/>
                <w:szCs w:val="1"/>
                <w:color w:val="auto"/>
              </w:rPr>
            </w:pPr>
          </w:p>
        </w:tc>
        <w:tc>
          <w:tcPr>
            <w:tcW w:w="200" w:type="dxa"/>
            <w:vAlign w:val="bottom"/>
            <w:tcBorders>
              <w:bottom w:val="single" w:sz="8" w:color="007549"/>
            </w:tcBorders>
          </w:tcPr>
          <w:p>
            <w:pPr>
              <w:spacing w:after="0" w:line="20" w:lineRule="exact"/>
              <w:rPr>
                <w:sz w:val="1"/>
                <w:szCs w:val="1"/>
                <w:color w:val="auto"/>
              </w:rPr>
            </w:pPr>
          </w:p>
        </w:tc>
        <w:tc>
          <w:tcPr>
            <w:tcW w:w="40" w:type="dxa"/>
            <w:vAlign w:val="bottom"/>
            <w:tcBorders>
              <w:bottom w:val="single" w:sz="8" w:color="007549"/>
            </w:tcBorders>
          </w:tcPr>
          <w:p>
            <w:pPr>
              <w:spacing w:after="0" w:line="20" w:lineRule="exact"/>
              <w:rPr>
                <w:sz w:val="1"/>
                <w:szCs w:val="1"/>
                <w:color w:val="auto"/>
              </w:rPr>
            </w:pPr>
          </w:p>
        </w:tc>
        <w:tc>
          <w:tcPr>
            <w:tcW w:w="360" w:type="dxa"/>
            <w:vAlign w:val="bottom"/>
            <w:tcBorders>
              <w:bottom w:val="single" w:sz="8" w:color="007549"/>
            </w:tcBorders>
          </w:tcPr>
          <w:p>
            <w:pPr>
              <w:spacing w:after="0" w:line="20" w:lineRule="exact"/>
              <w:rPr>
                <w:sz w:val="1"/>
                <w:szCs w:val="1"/>
                <w:color w:val="auto"/>
              </w:rPr>
            </w:pPr>
          </w:p>
        </w:tc>
        <w:tc>
          <w:tcPr>
            <w:tcW w:w="60" w:type="dxa"/>
            <w:vAlign w:val="bottom"/>
            <w:tcBorders>
              <w:bottom w:val="single" w:sz="8" w:color="007549"/>
            </w:tcBorders>
          </w:tcPr>
          <w:p>
            <w:pPr>
              <w:spacing w:after="0" w:line="20" w:lineRule="exact"/>
              <w:rPr>
                <w:sz w:val="1"/>
                <w:szCs w:val="1"/>
                <w:color w:val="auto"/>
              </w:rPr>
            </w:pPr>
          </w:p>
        </w:tc>
        <w:tc>
          <w:tcPr>
            <w:tcW w:w="520" w:type="dxa"/>
            <w:vAlign w:val="bottom"/>
            <w:tcBorders>
              <w:bottom w:val="single" w:sz="8" w:color="007549"/>
            </w:tcBorders>
          </w:tcPr>
          <w:p>
            <w:pPr>
              <w:spacing w:after="0" w:line="20" w:lineRule="exact"/>
              <w:rPr>
                <w:sz w:val="1"/>
                <w:szCs w:val="1"/>
                <w:color w:val="auto"/>
              </w:rPr>
            </w:pPr>
          </w:p>
        </w:tc>
        <w:tc>
          <w:tcPr>
            <w:tcW w:w="100" w:type="dxa"/>
            <w:vAlign w:val="bottom"/>
            <w:tcBorders>
              <w:bottom w:val="single" w:sz="8" w:color="007549"/>
            </w:tcBorders>
          </w:tcPr>
          <w:p>
            <w:pPr>
              <w:spacing w:after="0" w:line="20" w:lineRule="exact"/>
              <w:rPr>
                <w:sz w:val="1"/>
                <w:szCs w:val="1"/>
                <w:color w:val="auto"/>
              </w:rPr>
            </w:pPr>
          </w:p>
        </w:tc>
        <w:tc>
          <w:tcPr>
            <w:tcW w:w="20" w:type="dxa"/>
            <w:vAlign w:val="bottom"/>
            <w:tcBorders>
              <w:bottom w:val="single" w:sz="8" w:color="007549"/>
            </w:tcBorders>
          </w:tcPr>
          <w:p>
            <w:pPr>
              <w:spacing w:after="0" w:line="20" w:lineRule="exact"/>
              <w:rPr>
                <w:sz w:val="1"/>
                <w:szCs w:val="1"/>
                <w:color w:val="auto"/>
              </w:rPr>
            </w:pPr>
          </w:p>
        </w:tc>
        <w:tc>
          <w:tcPr>
            <w:tcW w:w="220" w:type="dxa"/>
            <w:vAlign w:val="bottom"/>
            <w:tcBorders>
              <w:bottom w:val="single" w:sz="8" w:color="007549"/>
            </w:tcBorders>
          </w:tcPr>
          <w:p>
            <w:pPr>
              <w:spacing w:after="0" w:line="20" w:lineRule="exact"/>
              <w:rPr>
                <w:sz w:val="1"/>
                <w:szCs w:val="1"/>
                <w:color w:val="auto"/>
              </w:rPr>
            </w:pPr>
          </w:p>
        </w:tc>
        <w:tc>
          <w:tcPr>
            <w:tcW w:w="120" w:type="dxa"/>
            <w:vAlign w:val="bottom"/>
            <w:tcBorders>
              <w:bottom w:val="single" w:sz="8" w:color="007549"/>
            </w:tcBorders>
          </w:tcPr>
          <w:p>
            <w:pPr>
              <w:spacing w:after="0" w:line="20" w:lineRule="exact"/>
              <w:rPr>
                <w:sz w:val="1"/>
                <w:szCs w:val="1"/>
                <w:color w:val="auto"/>
              </w:rPr>
            </w:pPr>
          </w:p>
        </w:tc>
        <w:tc>
          <w:tcPr>
            <w:tcW w:w="60" w:type="dxa"/>
            <w:vAlign w:val="bottom"/>
            <w:tcBorders>
              <w:bottom w:val="single" w:sz="8" w:color="007549"/>
            </w:tcBorders>
          </w:tcPr>
          <w:p>
            <w:pPr>
              <w:spacing w:after="0" w:line="20" w:lineRule="exact"/>
              <w:rPr>
                <w:sz w:val="1"/>
                <w:szCs w:val="1"/>
                <w:color w:val="auto"/>
              </w:rPr>
            </w:pPr>
          </w:p>
        </w:tc>
        <w:tc>
          <w:tcPr>
            <w:tcW w:w="20" w:type="dxa"/>
            <w:vAlign w:val="bottom"/>
            <w:tcBorders>
              <w:bottom w:val="single" w:sz="8" w:color="007549"/>
            </w:tcBorders>
          </w:tcPr>
          <w:p>
            <w:pPr>
              <w:spacing w:after="0" w:line="20" w:lineRule="exact"/>
              <w:rPr>
                <w:sz w:val="1"/>
                <w:szCs w:val="1"/>
                <w:color w:val="auto"/>
              </w:rPr>
            </w:pPr>
          </w:p>
        </w:tc>
        <w:tc>
          <w:tcPr>
            <w:tcW w:w="20" w:type="dxa"/>
            <w:vAlign w:val="bottom"/>
            <w:tcBorders>
              <w:bottom w:val="single" w:sz="8" w:color="007549"/>
            </w:tcBorders>
          </w:tcPr>
          <w:p>
            <w:pPr>
              <w:spacing w:after="0" w:line="20" w:lineRule="exact"/>
              <w:rPr>
                <w:sz w:val="1"/>
                <w:szCs w:val="1"/>
                <w:color w:val="auto"/>
              </w:rPr>
            </w:pPr>
          </w:p>
        </w:tc>
        <w:tc>
          <w:tcPr>
            <w:tcW w:w="200" w:type="dxa"/>
            <w:vAlign w:val="bottom"/>
            <w:tcBorders>
              <w:bottom w:val="single" w:sz="8" w:color="007549"/>
            </w:tcBorders>
          </w:tcPr>
          <w:p>
            <w:pPr>
              <w:spacing w:after="0" w:line="20" w:lineRule="exact"/>
              <w:rPr>
                <w:sz w:val="1"/>
                <w:szCs w:val="1"/>
                <w:color w:val="auto"/>
              </w:rPr>
            </w:pPr>
          </w:p>
        </w:tc>
        <w:tc>
          <w:tcPr>
            <w:tcW w:w="80" w:type="dxa"/>
            <w:vAlign w:val="bottom"/>
            <w:tcBorders>
              <w:bottom w:val="single" w:sz="8" w:color="007549"/>
            </w:tcBorders>
          </w:tcPr>
          <w:p>
            <w:pPr>
              <w:spacing w:after="0" w:line="20" w:lineRule="exact"/>
              <w:rPr>
                <w:sz w:val="1"/>
                <w:szCs w:val="1"/>
                <w:color w:val="auto"/>
              </w:rPr>
            </w:pPr>
          </w:p>
        </w:tc>
        <w:tc>
          <w:tcPr>
            <w:tcW w:w="160" w:type="dxa"/>
            <w:vAlign w:val="bottom"/>
            <w:tcBorders>
              <w:bottom w:val="single" w:sz="8" w:color="007549"/>
            </w:tcBorders>
          </w:tcPr>
          <w:p>
            <w:pPr>
              <w:spacing w:after="0" w:line="20" w:lineRule="exact"/>
              <w:rPr>
                <w:sz w:val="1"/>
                <w:szCs w:val="1"/>
                <w:color w:val="auto"/>
              </w:rPr>
            </w:pPr>
          </w:p>
        </w:tc>
        <w:tc>
          <w:tcPr>
            <w:tcW w:w="40" w:type="dxa"/>
            <w:vAlign w:val="bottom"/>
            <w:tcBorders>
              <w:bottom w:val="single" w:sz="8" w:color="007549"/>
            </w:tcBorders>
          </w:tcPr>
          <w:p>
            <w:pPr>
              <w:spacing w:after="0" w:line="20" w:lineRule="exact"/>
              <w:rPr>
                <w:sz w:val="1"/>
                <w:szCs w:val="1"/>
                <w:color w:val="auto"/>
              </w:rPr>
            </w:pPr>
          </w:p>
        </w:tc>
        <w:tc>
          <w:tcPr>
            <w:tcW w:w="200" w:type="dxa"/>
            <w:vAlign w:val="bottom"/>
            <w:tcBorders>
              <w:bottom w:val="single" w:sz="8" w:color="007549"/>
            </w:tcBorders>
          </w:tcPr>
          <w:p>
            <w:pPr>
              <w:spacing w:after="0" w:line="20" w:lineRule="exact"/>
              <w:rPr>
                <w:sz w:val="1"/>
                <w:szCs w:val="1"/>
                <w:color w:val="auto"/>
              </w:rPr>
            </w:pPr>
          </w:p>
        </w:tc>
        <w:tc>
          <w:tcPr>
            <w:tcW w:w="100" w:type="dxa"/>
            <w:vAlign w:val="bottom"/>
            <w:tcBorders>
              <w:bottom w:val="single" w:sz="8" w:color="0075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80" w:type="dxa"/>
            <w:vAlign w:val="bottom"/>
            <w:tcBorders>
              <w:right w:val="single" w:sz="8" w:color="E5E5E5"/>
            </w:tcBorders>
          </w:tcPr>
          <w:p>
            <w:pPr>
              <w:spacing w:after="0"/>
              <w:rPr>
                <w:sz w:val="10"/>
                <w:szCs w:val="10"/>
                <w:color w:val="auto"/>
              </w:rPr>
            </w:pPr>
          </w:p>
        </w:tc>
        <w:tc>
          <w:tcPr>
            <w:tcW w:w="4740" w:type="dxa"/>
            <w:vAlign w:val="bottom"/>
            <w:gridSpan w:val="39"/>
            <w:shd w:val="clear" w:color="auto" w:fill="E5E5E5"/>
          </w:tcPr>
          <w:p>
            <w:pPr>
              <w:spacing w:after="0" w:line="127" w:lineRule="exact"/>
              <w:rPr>
                <w:rFonts w:ascii="Arial" w:cs="Arial" w:eastAsia="Arial" w:hAnsi="Arial"/>
                <w:sz w:val="14"/>
                <w:szCs w:val="14"/>
                <w:color w:val="0000EE"/>
              </w:rPr>
            </w:pPr>
            <w:hyperlink w:anchor="page32">
              <w:r>
                <w:rPr>
                  <w:rFonts w:ascii="Arial" w:cs="Arial" w:eastAsia="Arial" w:hAnsi="Arial"/>
                  <w:sz w:val="14"/>
                  <w:szCs w:val="14"/>
                  <w:color w:val="0000EE"/>
                </w:rPr>
                <w:t>Compensation Discussion and Analysis</w:t>
              </w:r>
            </w:hyperlink>
          </w:p>
        </w:tc>
        <w:tc>
          <w:tcPr>
            <w:tcW w:w="400" w:type="dxa"/>
            <w:vAlign w:val="bottom"/>
            <w:gridSpan w:val="3"/>
            <w:shd w:val="clear" w:color="auto" w:fill="E5E5E5"/>
          </w:tcPr>
          <w:p>
            <w:pPr>
              <w:jc w:val="right"/>
              <w:spacing w:after="0" w:line="127" w:lineRule="exact"/>
              <w:rPr>
                <w:sz w:val="20"/>
                <w:szCs w:val="20"/>
                <w:color w:val="auto"/>
              </w:rPr>
            </w:pPr>
            <w:r>
              <w:rPr>
                <w:rFonts w:ascii="Arial" w:cs="Arial" w:eastAsia="Arial" w:hAnsi="Arial"/>
                <w:sz w:val="14"/>
                <w:szCs w:val="14"/>
                <w:color w:val="auto"/>
              </w:rPr>
              <w:t>20</w:t>
            </w:r>
          </w:p>
        </w:tc>
        <w:tc>
          <w:tcPr>
            <w:tcW w:w="100" w:type="dxa"/>
            <w:vAlign w:val="bottom"/>
            <w:shd w:val="clear" w:color="auto" w:fill="E5E5E5"/>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80" w:type="dxa"/>
            <w:vAlign w:val="bottom"/>
            <w:tcBorders>
              <w:right w:val="single" w:sz="8" w:color="E5E5E5"/>
            </w:tcBorders>
          </w:tcPr>
          <w:p>
            <w:pPr>
              <w:spacing w:after="0"/>
              <w:rPr>
                <w:sz w:val="12"/>
                <w:szCs w:val="12"/>
                <w:color w:val="auto"/>
              </w:rPr>
            </w:pPr>
          </w:p>
        </w:tc>
        <w:tc>
          <w:tcPr>
            <w:tcW w:w="100" w:type="dxa"/>
            <w:vAlign w:val="bottom"/>
            <w:tcBorders>
              <w:top w:val="single" w:sz="8" w:color="0000EE"/>
            </w:tcBorders>
            <w:shd w:val="clear" w:color="auto" w:fill="E5E5E5"/>
          </w:tcPr>
          <w:p>
            <w:pPr>
              <w:spacing w:after="0"/>
              <w:rPr>
                <w:sz w:val="12"/>
                <w:szCs w:val="12"/>
                <w:color w:val="auto"/>
              </w:rPr>
            </w:pPr>
          </w:p>
        </w:tc>
        <w:tc>
          <w:tcPr>
            <w:tcW w:w="140" w:type="dxa"/>
            <w:vAlign w:val="bottom"/>
            <w:tcBorders>
              <w:top w:val="single" w:sz="8" w:color="0000EE"/>
            </w:tcBorders>
            <w:shd w:val="clear" w:color="auto" w:fill="E5E5E5"/>
          </w:tcPr>
          <w:p>
            <w:pPr>
              <w:spacing w:after="0"/>
              <w:rPr>
                <w:sz w:val="12"/>
                <w:szCs w:val="12"/>
                <w:color w:val="auto"/>
              </w:rPr>
            </w:pPr>
          </w:p>
        </w:tc>
        <w:tc>
          <w:tcPr>
            <w:tcW w:w="2400" w:type="dxa"/>
            <w:vAlign w:val="bottom"/>
            <w:tcBorders>
              <w:top w:val="single" w:sz="8" w:color="0000EE"/>
            </w:tcBorders>
            <w:gridSpan w:val="22"/>
            <w:shd w:val="clear" w:color="auto" w:fill="E5E5E5"/>
          </w:tcPr>
          <w:p>
            <w:pPr>
              <w:spacing w:after="0" w:line="140" w:lineRule="exact"/>
              <w:rPr>
                <w:rFonts w:ascii="Arial" w:cs="Arial" w:eastAsia="Arial" w:hAnsi="Arial"/>
                <w:sz w:val="15"/>
                <w:szCs w:val="15"/>
                <w:color w:val="0000EE"/>
              </w:rPr>
            </w:pPr>
            <w:hyperlink w:anchor="page32">
              <w:r>
                <w:rPr>
                  <w:rFonts w:ascii="Arial" w:cs="Arial" w:eastAsia="Arial" w:hAnsi="Arial"/>
                  <w:sz w:val="15"/>
                  <w:szCs w:val="15"/>
                  <w:color w:val="0000EE"/>
                </w:rPr>
                <w:t>Executive Summary</w:t>
              </w:r>
            </w:hyperlink>
          </w:p>
        </w:tc>
        <w:tc>
          <w:tcPr>
            <w:tcW w:w="2100" w:type="dxa"/>
            <w:vAlign w:val="bottom"/>
            <w:tcBorders>
              <w:top w:val="single" w:sz="8" w:color="E5E5E5"/>
            </w:tcBorders>
            <w:gridSpan w:val="15"/>
            <w:shd w:val="clear" w:color="auto" w:fill="E5E5E5"/>
          </w:tcPr>
          <w:p>
            <w:pPr>
              <w:spacing w:after="0"/>
              <w:rPr>
                <w:sz w:val="12"/>
                <w:szCs w:val="12"/>
                <w:color w:val="auto"/>
              </w:rPr>
            </w:pPr>
          </w:p>
        </w:tc>
        <w:tc>
          <w:tcPr>
            <w:tcW w:w="160" w:type="dxa"/>
            <w:vAlign w:val="bottom"/>
            <w:tcBorders>
              <w:top w:val="single" w:sz="8" w:color="E5E5E5"/>
            </w:tcBorders>
            <w:shd w:val="clear" w:color="auto" w:fill="E5E5E5"/>
          </w:tcPr>
          <w:p>
            <w:pPr>
              <w:spacing w:after="0"/>
              <w:rPr>
                <w:sz w:val="12"/>
                <w:szCs w:val="12"/>
                <w:color w:val="auto"/>
              </w:rPr>
            </w:pPr>
          </w:p>
        </w:tc>
        <w:tc>
          <w:tcPr>
            <w:tcW w:w="240" w:type="dxa"/>
            <w:vAlign w:val="bottom"/>
            <w:tcBorders>
              <w:top w:val="single" w:sz="8" w:color="E5E5E5"/>
            </w:tcBorders>
            <w:gridSpan w:val="2"/>
            <w:shd w:val="clear" w:color="auto" w:fill="E5E5E5"/>
          </w:tcPr>
          <w:p>
            <w:pPr>
              <w:jc w:val="right"/>
              <w:spacing w:after="0" w:line="140" w:lineRule="exact"/>
              <w:rPr>
                <w:sz w:val="20"/>
                <w:szCs w:val="20"/>
                <w:color w:val="auto"/>
              </w:rPr>
            </w:pPr>
            <w:r>
              <w:rPr>
                <w:rFonts w:ascii="Arial" w:cs="Arial" w:eastAsia="Arial" w:hAnsi="Arial"/>
                <w:sz w:val="15"/>
                <w:szCs w:val="15"/>
                <w:color w:val="auto"/>
              </w:rPr>
              <w:t>20</w:t>
            </w:r>
          </w:p>
        </w:tc>
        <w:tc>
          <w:tcPr>
            <w:tcW w:w="100" w:type="dxa"/>
            <w:vAlign w:val="bottom"/>
            <w:tcBorders>
              <w:top w:val="single" w:sz="8" w:color="E5E5E5"/>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 w:type="dxa"/>
            <w:vAlign w:val="bottom"/>
            <w:tcBorders>
              <w:right w:val="single" w:sz="8" w:color="E5E5E5"/>
            </w:tcBorders>
          </w:tcPr>
          <w:p>
            <w:pPr>
              <w:spacing w:after="0"/>
              <w:rPr>
                <w:sz w:val="12"/>
                <w:szCs w:val="12"/>
                <w:color w:val="auto"/>
              </w:rPr>
            </w:pPr>
          </w:p>
        </w:tc>
        <w:tc>
          <w:tcPr>
            <w:tcW w:w="100" w:type="dxa"/>
            <w:vAlign w:val="bottom"/>
            <w:tcBorders>
              <w:top w:val="single" w:sz="8" w:color="E5E5E5"/>
            </w:tcBorders>
            <w:shd w:val="clear" w:color="auto" w:fill="E5E5E5"/>
          </w:tcPr>
          <w:p>
            <w:pPr>
              <w:spacing w:after="0"/>
              <w:rPr>
                <w:sz w:val="12"/>
                <w:szCs w:val="12"/>
                <w:color w:val="auto"/>
              </w:rPr>
            </w:pPr>
          </w:p>
        </w:tc>
        <w:tc>
          <w:tcPr>
            <w:tcW w:w="140" w:type="dxa"/>
            <w:vAlign w:val="bottom"/>
            <w:tcBorders>
              <w:top w:val="single" w:sz="8" w:color="E5E5E5"/>
            </w:tcBorders>
            <w:shd w:val="clear" w:color="auto" w:fill="E5E5E5"/>
          </w:tcPr>
          <w:p>
            <w:pPr>
              <w:spacing w:after="0"/>
              <w:rPr>
                <w:sz w:val="12"/>
                <w:szCs w:val="12"/>
                <w:color w:val="auto"/>
              </w:rPr>
            </w:pPr>
          </w:p>
        </w:tc>
        <w:tc>
          <w:tcPr>
            <w:tcW w:w="1340" w:type="dxa"/>
            <w:vAlign w:val="bottom"/>
            <w:tcBorders>
              <w:top w:val="single" w:sz="8" w:color="0000EE"/>
            </w:tcBorders>
            <w:gridSpan w:val="9"/>
            <w:shd w:val="clear" w:color="auto" w:fill="E5E5E5"/>
          </w:tcPr>
          <w:p>
            <w:pPr>
              <w:spacing w:after="0" w:line="140" w:lineRule="exact"/>
              <w:rPr>
                <w:rFonts w:ascii="Arial" w:cs="Arial" w:eastAsia="Arial" w:hAnsi="Arial"/>
                <w:sz w:val="15"/>
                <w:szCs w:val="15"/>
                <w:color w:val="0000EE"/>
              </w:rPr>
            </w:pPr>
            <w:hyperlink w:anchor="page37">
              <w:r>
                <w:rPr>
                  <w:rFonts w:ascii="Arial" w:cs="Arial" w:eastAsia="Arial" w:hAnsi="Arial"/>
                  <w:sz w:val="15"/>
                  <w:szCs w:val="15"/>
                  <w:color w:val="0000EE"/>
                </w:rPr>
                <w:t>2017 Stockholder</w:t>
              </w:r>
            </w:hyperlink>
          </w:p>
        </w:tc>
        <w:tc>
          <w:tcPr>
            <w:tcW w:w="3160" w:type="dxa"/>
            <w:vAlign w:val="bottom"/>
            <w:tcBorders>
              <w:top w:val="single" w:sz="8" w:color="E5E5E5"/>
            </w:tcBorders>
            <w:gridSpan w:val="28"/>
            <w:shd w:val="clear" w:color="auto" w:fill="E5E5E5"/>
          </w:tcPr>
          <w:p>
            <w:pPr>
              <w:spacing w:after="0" w:line="140" w:lineRule="exact"/>
              <w:rPr>
                <w:rFonts w:ascii="Arial" w:cs="Arial" w:eastAsia="Arial" w:hAnsi="Arial"/>
                <w:sz w:val="15"/>
                <w:szCs w:val="15"/>
                <w:color w:val="0000EE"/>
              </w:rPr>
            </w:pPr>
            <w:hyperlink w:anchor="page37">
              <w:r>
                <w:rPr>
                  <w:rFonts w:ascii="Arial" w:cs="Arial" w:eastAsia="Arial" w:hAnsi="Arial"/>
                  <w:sz w:val="15"/>
                  <w:szCs w:val="15"/>
                  <w:color w:val="0000EE"/>
                </w:rPr>
                <w:t>Engagement and Response to Low Oil Price</w:t>
              </w:r>
            </w:hyperlink>
          </w:p>
        </w:tc>
        <w:tc>
          <w:tcPr>
            <w:tcW w:w="160" w:type="dxa"/>
            <w:vAlign w:val="bottom"/>
            <w:tcBorders>
              <w:top w:val="single" w:sz="8" w:color="E5E5E5"/>
            </w:tcBorders>
            <w:shd w:val="clear" w:color="auto" w:fill="E5E5E5"/>
          </w:tcPr>
          <w:p>
            <w:pPr>
              <w:spacing w:after="0"/>
              <w:rPr>
                <w:sz w:val="12"/>
                <w:szCs w:val="12"/>
                <w:color w:val="auto"/>
              </w:rPr>
            </w:pPr>
          </w:p>
        </w:tc>
        <w:tc>
          <w:tcPr>
            <w:tcW w:w="40" w:type="dxa"/>
            <w:vAlign w:val="bottom"/>
            <w:tcBorders>
              <w:top w:val="single" w:sz="8" w:color="E5E5E5"/>
            </w:tcBorders>
            <w:shd w:val="clear" w:color="auto" w:fill="E5E5E5"/>
          </w:tcPr>
          <w:p>
            <w:pPr>
              <w:spacing w:after="0"/>
              <w:rPr>
                <w:sz w:val="12"/>
                <w:szCs w:val="12"/>
                <w:color w:val="auto"/>
              </w:rPr>
            </w:pPr>
          </w:p>
        </w:tc>
        <w:tc>
          <w:tcPr>
            <w:tcW w:w="200" w:type="dxa"/>
            <w:vAlign w:val="bottom"/>
            <w:tcBorders>
              <w:top w:val="single" w:sz="8" w:color="E5E5E5"/>
            </w:tcBorders>
            <w:vMerge w:val="restart"/>
            <w:shd w:val="clear" w:color="auto" w:fill="E5E5E5"/>
          </w:tcPr>
          <w:p>
            <w:pPr>
              <w:jc w:val="right"/>
              <w:spacing w:after="0"/>
              <w:rPr>
                <w:sz w:val="20"/>
                <w:szCs w:val="20"/>
                <w:color w:val="auto"/>
              </w:rPr>
            </w:pPr>
            <w:r>
              <w:rPr>
                <w:rFonts w:ascii="Arial" w:cs="Arial" w:eastAsia="Arial" w:hAnsi="Arial"/>
                <w:sz w:val="15"/>
                <w:szCs w:val="15"/>
                <w:color w:val="auto"/>
              </w:rPr>
              <w:t>25</w:t>
            </w:r>
          </w:p>
        </w:tc>
        <w:tc>
          <w:tcPr>
            <w:tcW w:w="100" w:type="dxa"/>
            <w:vAlign w:val="bottom"/>
            <w:tcBorders>
              <w:top w:val="single" w:sz="8" w:color="E5E5E5"/>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 w:type="dxa"/>
            <w:vAlign w:val="bottom"/>
            <w:tcBorders>
              <w:right w:val="single" w:sz="8" w:color="E5E5E5"/>
            </w:tcBorders>
          </w:tcPr>
          <w:p>
            <w:pPr>
              <w:spacing w:after="0"/>
              <w:rPr>
                <w:sz w:val="12"/>
                <w:szCs w:val="12"/>
                <w:color w:val="auto"/>
              </w:rPr>
            </w:pPr>
          </w:p>
        </w:tc>
        <w:tc>
          <w:tcPr>
            <w:tcW w:w="100" w:type="dxa"/>
            <w:vAlign w:val="bottom"/>
            <w:tcBorders>
              <w:top w:val="single" w:sz="8" w:color="E5E5E5"/>
            </w:tcBorders>
            <w:shd w:val="clear" w:color="auto" w:fill="E5E5E5"/>
          </w:tcPr>
          <w:p>
            <w:pPr>
              <w:spacing w:after="0"/>
              <w:rPr>
                <w:sz w:val="12"/>
                <w:szCs w:val="12"/>
                <w:color w:val="auto"/>
              </w:rPr>
            </w:pPr>
          </w:p>
        </w:tc>
        <w:tc>
          <w:tcPr>
            <w:tcW w:w="140" w:type="dxa"/>
            <w:vAlign w:val="bottom"/>
            <w:tcBorders>
              <w:top w:val="single" w:sz="8" w:color="E5E5E5"/>
            </w:tcBorders>
            <w:shd w:val="clear" w:color="auto" w:fill="E5E5E5"/>
          </w:tcPr>
          <w:p>
            <w:pPr>
              <w:spacing w:after="0"/>
              <w:rPr>
                <w:sz w:val="12"/>
                <w:szCs w:val="12"/>
                <w:color w:val="auto"/>
              </w:rPr>
            </w:pPr>
          </w:p>
        </w:tc>
        <w:tc>
          <w:tcPr>
            <w:tcW w:w="140" w:type="dxa"/>
            <w:vAlign w:val="bottom"/>
            <w:tcBorders>
              <w:top w:val="single" w:sz="8" w:color="0000EE"/>
            </w:tcBorders>
            <w:shd w:val="clear" w:color="auto" w:fill="E5E5E5"/>
          </w:tcPr>
          <w:p>
            <w:pPr>
              <w:spacing w:after="0"/>
              <w:rPr>
                <w:sz w:val="12"/>
                <w:szCs w:val="12"/>
                <w:color w:val="auto"/>
              </w:rPr>
            </w:pPr>
          </w:p>
        </w:tc>
        <w:tc>
          <w:tcPr>
            <w:tcW w:w="4080" w:type="dxa"/>
            <w:vAlign w:val="bottom"/>
            <w:tcBorders>
              <w:top w:val="single" w:sz="8" w:color="0000EE"/>
            </w:tcBorders>
            <w:gridSpan w:val="34"/>
            <w:shd w:val="clear" w:color="auto" w:fill="E5E5E5"/>
          </w:tcPr>
          <w:p>
            <w:pPr>
              <w:spacing w:after="0" w:line="140" w:lineRule="exact"/>
              <w:rPr>
                <w:rFonts w:ascii="Arial" w:cs="Arial" w:eastAsia="Arial" w:hAnsi="Arial"/>
                <w:sz w:val="15"/>
                <w:szCs w:val="15"/>
                <w:color w:val="0000EE"/>
              </w:rPr>
            </w:pPr>
            <w:hyperlink w:anchor="page37">
              <w:r>
                <w:rPr>
                  <w:rFonts w:ascii="Arial" w:cs="Arial" w:eastAsia="Arial" w:hAnsi="Arial"/>
                  <w:sz w:val="15"/>
                  <w:szCs w:val="15"/>
                  <w:color w:val="0000EE"/>
                </w:rPr>
                <w:t>Environment</w:t>
              </w:r>
            </w:hyperlink>
          </w:p>
        </w:tc>
        <w:tc>
          <w:tcPr>
            <w:tcW w:w="200" w:type="dxa"/>
            <w:vAlign w:val="bottom"/>
            <w:tcBorders>
              <w:top w:val="single" w:sz="8" w:color="E5E5E5"/>
            </w:tcBorders>
            <w:shd w:val="clear" w:color="auto" w:fill="E5E5E5"/>
          </w:tcPr>
          <w:p>
            <w:pPr>
              <w:spacing w:after="0"/>
              <w:rPr>
                <w:sz w:val="12"/>
                <w:szCs w:val="12"/>
                <w:color w:val="auto"/>
              </w:rPr>
            </w:pPr>
          </w:p>
        </w:tc>
        <w:tc>
          <w:tcPr>
            <w:tcW w:w="80" w:type="dxa"/>
            <w:vAlign w:val="bottom"/>
            <w:tcBorders>
              <w:top w:val="single" w:sz="8" w:color="E5E5E5"/>
            </w:tcBorders>
            <w:shd w:val="clear" w:color="auto" w:fill="E5E5E5"/>
          </w:tcPr>
          <w:p>
            <w:pPr>
              <w:spacing w:after="0"/>
              <w:rPr>
                <w:sz w:val="12"/>
                <w:szCs w:val="12"/>
                <w:color w:val="auto"/>
              </w:rPr>
            </w:pPr>
          </w:p>
        </w:tc>
        <w:tc>
          <w:tcPr>
            <w:tcW w:w="160" w:type="dxa"/>
            <w:vAlign w:val="bottom"/>
            <w:tcBorders>
              <w:top w:val="single" w:sz="8" w:color="E5E5E5"/>
            </w:tcBorders>
            <w:shd w:val="clear" w:color="auto" w:fill="E5E5E5"/>
          </w:tcPr>
          <w:p>
            <w:pPr>
              <w:spacing w:after="0"/>
              <w:rPr>
                <w:sz w:val="12"/>
                <w:szCs w:val="12"/>
                <w:color w:val="auto"/>
              </w:rPr>
            </w:pPr>
          </w:p>
        </w:tc>
        <w:tc>
          <w:tcPr>
            <w:tcW w:w="40" w:type="dxa"/>
            <w:vAlign w:val="bottom"/>
            <w:tcBorders>
              <w:top w:val="single" w:sz="8" w:color="E5E5E5"/>
            </w:tcBorders>
            <w:shd w:val="clear" w:color="auto" w:fill="E5E5E5"/>
          </w:tcPr>
          <w:p>
            <w:pPr>
              <w:spacing w:after="0"/>
              <w:rPr>
                <w:sz w:val="12"/>
                <w:szCs w:val="12"/>
                <w:color w:val="auto"/>
              </w:rPr>
            </w:pPr>
          </w:p>
        </w:tc>
        <w:tc>
          <w:tcPr>
            <w:tcW w:w="200" w:type="dxa"/>
            <w:vAlign w:val="bottom"/>
            <w:tcBorders>
              <w:top w:val="single" w:sz="8" w:color="E5E5E5"/>
            </w:tcBorders>
            <w:vMerge w:val="continue"/>
            <w:shd w:val="clear" w:color="auto" w:fill="E5E5E5"/>
          </w:tcPr>
          <w:p>
            <w:pPr>
              <w:spacing w:after="0"/>
              <w:rPr>
                <w:sz w:val="12"/>
                <w:szCs w:val="12"/>
                <w:color w:val="auto"/>
              </w:rPr>
            </w:pPr>
          </w:p>
        </w:tc>
        <w:tc>
          <w:tcPr>
            <w:tcW w:w="100" w:type="dxa"/>
            <w:vAlign w:val="bottom"/>
            <w:tcBorders>
              <w:top w:val="single" w:sz="8" w:color="E5E5E5"/>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 w:type="dxa"/>
            <w:vAlign w:val="bottom"/>
            <w:tcBorders>
              <w:right w:val="single" w:sz="8" w:color="E5E5E5"/>
            </w:tcBorders>
          </w:tcPr>
          <w:p>
            <w:pPr>
              <w:spacing w:after="0"/>
              <w:rPr>
                <w:sz w:val="12"/>
                <w:szCs w:val="12"/>
                <w:color w:val="auto"/>
              </w:rPr>
            </w:pPr>
          </w:p>
        </w:tc>
        <w:tc>
          <w:tcPr>
            <w:tcW w:w="100" w:type="dxa"/>
            <w:vAlign w:val="bottom"/>
            <w:tcBorders>
              <w:top w:val="single" w:sz="8" w:color="E5E5E5"/>
            </w:tcBorders>
            <w:shd w:val="clear" w:color="auto" w:fill="E5E5E5"/>
          </w:tcPr>
          <w:p>
            <w:pPr>
              <w:spacing w:after="0"/>
              <w:rPr>
                <w:sz w:val="12"/>
                <w:szCs w:val="12"/>
                <w:color w:val="auto"/>
              </w:rPr>
            </w:pPr>
          </w:p>
        </w:tc>
        <w:tc>
          <w:tcPr>
            <w:tcW w:w="140" w:type="dxa"/>
            <w:vAlign w:val="bottom"/>
            <w:tcBorders>
              <w:top w:val="single" w:sz="8" w:color="E5E5E5"/>
            </w:tcBorders>
            <w:shd w:val="clear" w:color="auto" w:fill="E5E5E5"/>
          </w:tcPr>
          <w:p>
            <w:pPr>
              <w:spacing w:after="0"/>
              <w:rPr>
                <w:sz w:val="12"/>
                <w:szCs w:val="12"/>
                <w:color w:val="auto"/>
              </w:rPr>
            </w:pPr>
          </w:p>
        </w:tc>
        <w:tc>
          <w:tcPr>
            <w:tcW w:w="140" w:type="dxa"/>
            <w:vAlign w:val="bottom"/>
            <w:tcBorders>
              <w:top w:val="single" w:sz="8" w:color="E5E5E5"/>
            </w:tcBorders>
            <w:shd w:val="clear" w:color="auto" w:fill="E5E5E5"/>
          </w:tcPr>
          <w:p>
            <w:pPr>
              <w:spacing w:after="0"/>
              <w:rPr>
                <w:sz w:val="12"/>
                <w:szCs w:val="12"/>
                <w:color w:val="auto"/>
              </w:rPr>
            </w:pPr>
          </w:p>
        </w:tc>
        <w:tc>
          <w:tcPr>
            <w:tcW w:w="860" w:type="dxa"/>
            <w:vAlign w:val="bottom"/>
            <w:tcBorders>
              <w:top w:val="single" w:sz="8" w:color="0000EE"/>
            </w:tcBorders>
            <w:gridSpan w:val="4"/>
            <w:shd w:val="clear" w:color="auto" w:fill="E5E5E5"/>
          </w:tcPr>
          <w:p>
            <w:pPr>
              <w:spacing w:after="0" w:line="140" w:lineRule="exact"/>
              <w:rPr>
                <w:rFonts w:ascii="Arial" w:cs="Arial" w:eastAsia="Arial" w:hAnsi="Arial"/>
                <w:sz w:val="15"/>
                <w:szCs w:val="15"/>
                <w:color w:val="0000EE"/>
                <w:w w:val="86"/>
              </w:rPr>
            </w:pPr>
            <w:hyperlink w:anchor="page37">
              <w:r>
                <w:rPr>
                  <w:rFonts w:ascii="Arial" w:cs="Arial" w:eastAsia="Arial" w:hAnsi="Arial"/>
                  <w:sz w:val="15"/>
                  <w:szCs w:val="15"/>
                  <w:color w:val="0000EE"/>
                  <w:w w:val="86"/>
                </w:rPr>
                <w:t>Compensation</w:t>
              </w:r>
            </w:hyperlink>
          </w:p>
        </w:tc>
        <w:tc>
          <w:tcPr>
            <w:tcW w:w="3500" w:type="dxa"/>
            <w:vAlign w:val="bottom"/>
            <w:tcBorders>
              <w:top w:val="single" w:sz="8" w:color="E5E5E5"/>
            </w:tcBorders>
            <w:gridSpan w:val="32"/>
            <w:shd w:val="clear" w:color="auto" w:fill="E5E5E5"/>
          </w:tcPr>
          <w:p>
            <w:pPr>
              <w:ind w:left="20"/>
              <w:spacing w:after="0" w:line="140" w:lineRule="exact"/>
              <w:rPr>
                <w:rFonts w:ascii="Arial" w:cs="Arial" w:eastAsia="Arial" w:hAnsi="Arial"/>
                <w:sz w:val="15"/>
                <w:szCs w:val="15"/>
                <w:color w:val="0000EE"/>
              </w:rPr>
            </w:pPr>
            <w:hyperlink w:anchor="page37">
              <w:r>
                <w:rPr>
                  <w:rFonts w:ascii="Arial" w:cs="Arial" w:eastAsia="Arial" w:hAnsi="Arial"/>
                  <w:sz w:val="15"/>
                  <w:szCs w:val="15"/>
                  <w:color w:val="0000EE"/>
                </w:rPr>
                <w:t>Program Key Practices Promote Alignment with</w:t>
              </w:r>
            </w:hyperlink>
          </w:p>
        </w:tc>
        <w:tc>
          <w:tcPr>
            <w:tcW w:w="160" w:type="dxa"/>
            <w:vAlign w:val="bottom"/>
            <w:tcBorders>
              <w:top w:val="single" w:sz="8" w:color="E5E5E5"/>
            </w:tcBorders>
            <w:shd w:val="clear" w:color="auto" w:fill="E5E5E5"/>
          </w:tcPr>
          <w:p>
            <w:pPr>
              <w:spacing w:after="0"/>
              <w:rPr>
                <w:sz w:val="12"/>
                <w:szCs w:val="12"/>
                <w:color w:val="auto"/>
              </w:rPr>
            </w:pPr>
          </w:p>
        </w:tc>
        <w:tc>
          <w:tcPr>
            <w:tcW w:w="40" w:type="dxa"/>
            <w:vAlign w:val="bottom"/>
            <w:tcBorders>
              <w:top w:val="single" w:sz="8" w:color="E5E5E5"/>
            </w:tcBorders>
            <w:shd w:val="clear" w:color="auto" w:fill="E5E5E5"/>
          </w:tcPr>
          <w:p>
            <w:pPr>
              <w:spacing w:after="0"/>
              <w:rPr>
                <w:sz w:val="12"/>
                <w:szCs w:val="12"/>
                <w:color w:val="auto"/>
              </w:rPr>
            </w:pPr>
          </w:p>
        </w:tc>
        <w:tc>
          <w:tcPr>
            <w:tcW w:w="200" w:type="dxa"/>
            <w:vAlign w:val="bottom"/>
            <w:tcBorders>
              <w:top w:val="single" w:sz="8" w:color="E5E5E5"/>
            </w:tcBorders>
            <w:vMerge w:val="restart"/>
            <w:shd w:val="clear" w:color="auto" w:fill="E5E5E5"/>
          </w:tcPr>
          <w:p>
            <w:pPr>
              <w:jc w:val="right"/>
              <w:spacing w:after="0"/>
              <w:rPr>
                <w:sz w:val="20"/>
                <w:szCs w:val="20"/>
                <w:color w:val="auto"/>
              </w:rPr>
            </w:pPr>
            <w:r>
              <w:rPr>
                <w:rFonts w:ascii="Arial" w:cs="Arial" w:eastAsia="Arial" w:hAnsi="Arial"/>
                <w:sz w:val="15"/>
                <w:szCs w:val="15"/>
                <w:color w:val="auto"/>
              </w:rPr>
              <w:t>25</w:t>
            </w:r>
          </w:p>
        </w:tc>
        <w:tc>
          <w:tcPr>
            <w:tcW w:w="100" w:type="dxa"/>
            <w:vAlign w:val="bottom"/>
            <w:tcBorders>
              <w:top w:val="single" w:sz="8" w:color="E5E5E5"/>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 w:type="dxa"/>
            <w:vAlign w:val="bottom"/>
            <w:tcBorders>
              <w:right w:val="single" w:sz="8" w:color="E5E5E5"/>
            </w:tcBorders>
          </w:tcPr>
          <w:p>
            <w:pPr>
              <w:spacing w:after="0"/>
              <w:rPr>
                <w:sz w:val="12"/>
                <w:szCs w:val="12"/>
                <w:color w:val="auto"/>
              </w:rPr>
            </w:pPr>
          </w:p>
        </w:tc>
        <w:tc>
          <w:tcPr>
            <w:tcW w:w="100" w:type="dxa"/>
            <w:vAlign w:val="bottom"/>
            <w:tcBorders>
              <w:top w:val="single" w:sz="8" w:color="E5E5E5"/>
            </w:tcBorders>
            <w:shd w:val="clear" w:color="auto" w:fill="E5E5E5"/>
          </w:tcPr>
          <w:p>
            <w:pPr>
              <w:spacing w:after="0"/>
              <w:rPr>
                <w:sz w:val="12"/>
                <w:szCs w:val="12"/>
                <w:color w:val="auto"/>
              </w:rPr>
            </w:pPr>
          </w:p>
        </w:tc>
        <w:tc>
          <w:tcPr>
            <w:tcW w:w="140" w:type="dxa"/>
            <w:vAlign w:val="bottom"/>
            <w:tcBorders>
              <w:top w:val="single" w:sz="8" w:color="E5E5E5"/>
            </w:tcBorders>
            <w:shd w:val="clear" w:color="auto" w:fill="E5E5E5"/>
          </w:tcPr>
          <w:p>
            <w:pPr>
              <w:spacing w:after="0"/>
              <w:rPr>
                <w:sz w:val="12"/>
                <w:szCs w:val="12"/>
                <w:color w:val="auto"/>
              </w:rPr>
            </w:pPr>
          </w:p>
        </w:tc>
        <w:tc>
          <w:tcPr>
            <w:tcW w:w="140" w:type="dxa"/>
            <w:vAlign w:val="bottom"/>
            <w:tcBorders>
              <w:top w:val="single" w:sz="8" w:color="0000EE"/>
            </w:tcBorders>
            <w:shd w:val="clear" w:color="auto" w:fill="E5E5E5"/>
          </w:tcPr>
          <w:p>
            <w:pPr>
              <w:spacing w:after="0"/>
              <w:rPr>
                <w:sz w:val="12"/>
                <w:szCs w:val="12"/>
                <w:color w:val="auto"/>
              </w:rPr>
            </w:pPr>
          </w:p>
        </w:tc>
        <w:tc>
          <w:tcPr>
            <w:tcW w:w="4040" w:type="dxa"/>
            <w:vAlign w:val="bottom"/>
            <w:tcBorders>
              <w:top w:val="single" w:sz="8" w:color="0000EE"/>
            </w:tcBorders>
            <w:gridSpan w:val="32"/>
            <w:shd w:val="clear" w:color="auto" w:fill="E5E5E5"/>
          </w:tcPr>
          <w:p>
            <w:pPr>
              <w:spacing w:after="0" w:line="140" w:lineRule="exact"/>
              <w:rPr>
                <w:rFonts w:ascii="Arial" w:cs="Arial" w:eastAsia="Arial" w:hAnsi="Arial"/>
                <w:sz w:val="15"/>
                <w:szCs w:val="15"/>
                <w:color w:val="0000EE"/>
              </w:rPr>
            </w:pPr>
            <w:hyperlink w:anchor="page37">
              <w:r>
                <w:rPr>
                  <w:rFonts w:ascii="Arial" w:cs="Arial" w:eastAsia="Arial" w:hAnsi="Arial"/>
                  <w:sz w:val="15"/>
                  <w:szCs w:val="15"/>
                  <w:color w:val="0000EE"/>
                </w:rPr>
                <w:t>Stockholder Interests</w:t>
              </w:r>
            </w:hyperlink>
          </w:p>
        </w:tc>
        <w:tc>
          <w:tcPr>
            <w:tcW w:w="20" w:type="dxa"/>
            <w:vAlign w:val="bottom"/>
            <w:tcBorders>
              <w:top w:val="single" w:sz="8" w:color="E5E5E5"/>
            </w:tcBorders>
            <w:shd w:val="clear" w:color="auto" w:fill="E5E5E5"/>
          </w:tcPr>
          <w:p>
            <w:pPr>
              <w:spacing w:after="0"/>
              <w:rPr>
                <w:sz w:val="12"/>
                <w:szCs w:val="12"/>
                <w:color w:val="auto"/>
              </w:rPr>
            </w:pPr>
          </w:p>
        </w:tc>
        <w:tc>
          <w:tcPr>
            <w:tcW w:w="220" w:type="dxa"/>
            <w:vAlign w:val="bottom"/>
            <w:tcBorders>
              <w:top w:val="single" w:sz="8" w:color="E5E5E5"/>
            </w:tcBorders>
            <w:gridSpan w:val="2"/>
            <w:shd w:val="clear" w:color="auto" w:fill="E5E5E5"/>
          </w:tcPr>
          <w:p>
            <w:pPr>
              <w:spacing w:after="0"/>
              <w:rPr>
                <w:sz w:val="12"/>
                <w:szCs w:val="12"/>
                <w:color w:val="auto"/>
              </w:rPr>
            </w:pPr>
          </w:p>
        </w:tc>
        <w:tc>
          <w:tcPr>
            <w:tcW w:w="80" w:type="dxa"/>
            <w:vAlign w:val="bottom"/>
            <w:tcBorders>
              <w:top w:val="single" w:sz="8" w:color="E5E5E5"/>
            </w:tcBorders>
            <w:shd w:val="clear" w:color="auto" w:fill="E5E5E5"/>
          </w:tcPr>
          <w:p>
            <w:pPr>
              <w:spacing w:after="0"/>
              <w:rPr>
                <w:sz w:val="12"/>
                <w:szCs w:val="12"/>
                <w:color w:val="auto"/>
              </w:rPr>
            </w:pPr>
          </w:p>
        </w:tc>
        <w:tc>
          <w:tcPr>
            <w:tcW w:w="160" w:type="dxa"/>
            <w:vAlign w:val="bottom"/>
            <w:tcBorders>
              <w:top w:val="single" w:sz="8" w:color="E5E5E5"/>
            </w:tcBorders>
            <w:shd w:val="clear" w:color="auto" w:fill="E5E5E5"/>
          </w:tcPr>
          <w:p>
            <w:pPr>
              <w:spacing w:after="0"/>
              <w:rPr>
                <w:sz w:val="12"/>
                <w:szCs w:val="12"/>
                <w:color w:val="auto"/>
              </w:rPr>
            </w:pPr>
          </w:p>
        </w:tc>
        <w:tc>
          <w:tcPr>
            <w:tcW w:w="40" w:type="dxa"/>
            <w:vAlign w:val="bottom"/>
            <w:tcBorders>
              <w:top w:val="single" w:sz="8" w:color="E5E5E5"/>
            </w:tcBorders>
            <w:shd w:val="clear" w:color="auto" w:fill="E5E5E5"/>
          </w:tcPr>
          <w:p>
            <w:pPr>
              <w:spacing w:after="0"/>
              <w:rPr>
                <w:sz w:val="12"/>
                <w:szCs w:val="12"/>
                <w:color w:val="auto"/>
              </w:rPr>
            </w:pPr>
          </w:p>
        </w:tc>
        <w:tc>
          <w:tcPr>
            <w:tcW w:w="200" w:type="dxa"/>
            <w:vAlign w:val="bottom"/>
            <w:tcBorders>
              <w:top w:val="single" w:sz="8" w:color="E5E5E5"/>
            </w:tcBorders>
            <w:vMerge w:val="continue"/>
            <w:shd w:val="clear" w:color="auto" w:fill="E5E5E5"/>
          </w:tcPr>
          <w:p>
            <w:pPr>
              <w:spacing w:after="0"/>
              <w:rPr>
                <w:sz w:val="12"/>
                <w:szCs w:val="12"/>
                <w:color w:val="auto"/>
              </w:rPr>
            </w:pPr>
          </w:p>
        </w:tc>
        <w:tc>
          <w:tcPr>
            <w:tcW w:w="100" w:type="dxa"/>
            <w:vAlign w:val="bottom"/>
            <w:tcBorders>
              <w:top w:val="single" w:sz="8" w:color="E5E5E5"/>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 w:type="dxa"/>
            <w:vAlign w:val="bottom"/>
            <w:tcBorders>
              <w:right w:val="single" w:sz="8" w:color="E5E5E5"/>
            </w:tcBorders>
          </w:tcPr>
          <w:p>
            <w:pPr>
              <w:spacing w:after="0"/>
              <w:rPr>
                <w:sz w:val="12"/>
                <w:szCs w:val="12"/>
                <w:color w:val="auto"/>
              </w:rPr>
            </w:pPr>
          </w:p>
        </w:tc>
        <w:tc>
          <w:tcPr>
            <w:tcW w:w="100" w:type="dxa"/>
            <w:vAlign w:val="bottom"/>
            <w:tcBorders>
              <w:top w:val="single" w:sz="8" w:color="E5E5E5"/>
            </w:tcBorders>
            <w:shd w:val="clear" w:color="auto" w:fill="E5E5E5"/>
          </w:tcPr>
          <w:p>
            <w:pPr>
              <w:spacing w:after="0"/>
              <w:rPr>
                <w:sz w:val="12"/>
                <w:szCs w:val="12"/>
                <w:color w:val="auto"/>
              </w:rPr>
            </w:pPr>
          </w:p>
        </w:tc>
        <w:tc>
          <w:tcPr>
            <w:tcW w:w="140" w:type="dxa"/>
            <w:vAlign w:val="bottom"/>
            <w:tcBorders>
              <w:top w:val="single" w:sz="8" w:color="E5E5E5"/>
            </w:tcBorders>
            <w:shd w:val="clear" w:color="auto" w:fill="E5E5E5"/>
          </w:tcPr>
          <w:p>
            <w:pPr>
              <w:spacing w:after="0"/>
              <w:rPr>
                <w:sz w:val="12"/>
                <w:szCs w:val="12"/>
                <w:color w:val="auto"/>
              </w:rPr>
            </w:pPr>
          </w:p>
        </w:tc>
        <w:tc>
          <w:tcPr>
            <w:tcW w:w="140" w:type="dxa"/>
            <w:vAlign w:val="bottom"/>
            <w:tcBorders>
              <w:top w:val="single" w:sz="8" w:color="E5E5E5"/>
            </w:tcBorders>
            <w:shd w:val="clear" w:color="auto" w:fill="E5E5E5"/>
          </w:tcPr>
          <w:p>
            <w:pPr>
              <w:spacing w:after="0"/>
              <w:rPr>
                <w:sz w:val="12"/>
                <w:szCs w:val="12"/>
                <w:color w:val="auto"/>
              </w:rPr>
            </w:pPr>
          </w:p>
        </w:tc>
        <w:tc>
          <w:tcPr>
            <w:tcW w:w="1420" w:type="dxa"/>
            <w:vAlign w:val="bottom"/>
            <w:tcBorders>
              <w:top w:val="single" w:sz="8" w:color="0000EE"/>
            </w:tcBorders>
            <w:gridSpan w:val="11"/>
            <w:shd w:val="clear" w:color="auto" w:fill="E5E5E5"/>
          </w:tcPr>
          <w:p>
            <w:pPr>
              <w:spacing w:after="0" w:line="140" w:lineRule="exact"/>
              <w:rPr>
                <w:rFonts w:ascii="Arial" w:cs="Arial" w:eastAsia="Arial" w:hAnsi="Arial"/>
                <w:sz w:val="15"/>
                <w:szCs w:val="15"/>
                <w:color w:val="0000EE"/>
                <w:w w:val="85"/>
              </w:rPr>
            </w:pPr>
            <w:hyperlink w:anchor="page38">
              <w:r>
                <w:rPr>
                  <w:rFonts w:ascii="Arial" w:cs="Arial" w:eastAsia="Arial" w:hAnsi="Arial"/>
                  <w:sz w:val="15"/>
                  <w:szCs w:val="15"/>
                  <w:color w:val="0000EE"/>
                  <w:w w:val="85"/>
                </w:rPr>
                <w:t>Compensation Objective</w:t>
              </w:r>
            </w:hyperlink>
          </w:p>
        </w:tc>
        <w:tc>
          <w:tcPr>
            <w:tcW w:w="40" w:type="dxa"/>
            <w:vAlign w:val="bottom"/>
            <w:tcBorders>
              <w:top w:val="single" w:sz="8" w:color="E5E5E5"/>
            </w:tcBorders>
            <w:shd w:val="clear" w:color="auto" w:fill="E5E5E5"/>
          </w:tcPr>
          <w:p>
            <w:pPr>
              <w:spacing w:after="0"/>
              <w:rPr>
                <w:sz w:val="12"/>
                <w:szCs w:val="12"/>
                <w:color w:val="auto"/>
              </w:rPr>
            </w:pPr>
          </w:p>
        </w:tc>
        <w:tc>
          <w:tcPr>
            <w:tcW w:w="2900" w:type="dxa"/>
            <w:vAlign w:val="bottom"/>
            <w:tcBorders>
              <w:top w:val="single" w:sz="8" w:color="E5E5E5"/>
            </w:tcBorders>
            <w:gridSpan w:val="24"/>
            <w:shd w:val="clear" w:color="auto" w:fill="E5E5E5"/>
          </w:tcPr>
          <w:p>
            <w:pPr>
              <w:ind w:left="80"/>
              <w:spacing w:after="0" w:line="140" w:lineRule="exact"/>
              <w:rPr>
                <w:rFonts w:ascii="Arial" w:cs="Arial" w:eastAsia="Arial" w:hAnsi="Arial"/>
                <w:sz w:val="15"/>
                <w:szCs w:val="15"/>
                <w:color w:val="0000EE"/>
              </w:rPr>
            </w:pPr>
            <w:hyperlink w:anchor="page38">
              <w:r>
                <w:rPr>
                  <w:rFonts w:ascii="Arial" w:cs="Arial" w:eastAsia="Arial" w:hAnsi="Arial"/>
                  <w:sz w:val="15"/>
                  <w:szCs w:val="15"/>
                  <w:color w:val="0000EE"/>
                </w:rPr>
                <w:t>and Philosophy</w:t>
              </w:r>
            </w:hyperlink>
          </w:p>
        </w:tc>
        <w:tc>
          <w:tcPr>
            <w:tcW w:w="160" w:type="dxa"/>
            <w:vAlign w:val="bottom"/>
            <w:tcBorders>
              <w:top w:val="single" w:sz="8" w:color="E5E5E5"/>
            </w:tcBorders>
            <w:shd w:val="clear" w:color="auto" w:fill="E5E5E5"/>
          </w:tcPr>
          <w:p>
            <w:pPr>
              <w:spacing w:after="0"/>
              <w:rPr>
                <w:sz w:val="12"/>
                <w:szCs w:val="12"/>
                <w:color w:val="auto"/>
              </w:rPr>
            </w:pPr>
          </w:p>
        </w:tc>
        <w:tc>
          <w:tcPr>
            <w:tcW w:w="40" w:type="dxa"/>
            <w:vAlign w:val="bottom"/>
            <w:tcBorders>
              <w:top w:val="single" w:sz="8" w:color="E5E5E5"/>
            </w:tcBorders>
            <w:shd w:val="clear" w:color="auto" w:fill="E5E5E5"/>
          </w:tcPr>
          <w:p>
            <w:pPr>
              <w:spacing w:after="0"/>
              <w:rPr>
                <w:sz w:val="12"/>
                <w:szCs w:val="12"/>
                <w:color w:val="auto"/>
              </w:rPr>
            </w:pPr>
          </w:p>
        </w:tc>
        <w:tc>
          <w:tcPr>
            <w:tcW w:w="200" w:type="dxa"/>
            <w:vAlign w:val="bottom"/>
            <w:tcBorders>
              <w:top w:val="single" w:sz="8" w:color="E5E5E5"/>
            </w:tcBorders>
            <w:shd w:val="clear" w:color="auto" w:fill="E5E5E5"/>
          </w:tcPr>
          <w:p>
            <w:pPr>
              <w:jc w:val="right"/>
              <w:spacing w:after="0" w:line="140" w:lineRule="exact"/>
              <w:rPr>
                <w:sz w:val="20"/>
                <w:szCs w:val="20"/>
                <w:color w:val="auto"/>
              </w:rPr>
            </w:pPr>
            <w:r>
              <w:rPr>
                <w:rFonts w:ascii="Arial" w:cs="Arial" w:eastAsia="Arial" w:hAnsi="Arial"/>
                <w:sz w:val="15"/>
                <w:szCs w:val="15"/>
                <w:color w:val="auto"/>
              </w:rPr>
              <w:t>26</w:t>
            </w:r>
          </w:p>
        </w:tc>
        <w:tc>
          <w:tcPr>
            <w:tcW w:w="100" w:type="dxa"/>
            <w:vAlign w:val="bottom"/>
            <w:tcBorders>
              <w:top w:val="single" w:sz="8" w:color="E5E5E5"/>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 w:type="dxa"/>
            <w:vAlign w:val="bottom"/>
            <w:tcBorders>
              <w:right w:val="single" w:sz="8" w:color="E5E5E5"/>
            </w:tcBorders>
          </w:tcPr>
          <w:p>
            <w:pPr>
              <w:spacing w:after="0"/>
              <w:rPr>
                <w:sz w:val="12"/>
                <w:szCs w:val="12"/>
                <w:color w:val="auto"/>
              </w:rPr>
            </w:pPr>
          </w:p>
        </w:tc>
        <w:tc>
          <w:tcPr>
            <w:tcW w:w="100" w:type="dxa"/>
            <w:vAlign w:val="bottom"/>
            <w:tcBorders>
              <w:top w:val="single" w:sz="8" w:color="E5E5E5"/>
            </w:tcBorders>
            <w:shd w:val="clear" w:color="auto" w:fill="E5E5E5"/>
          </w:tcPr>
          <w:p>
            <w:pPr>
              <w:spacing w:after="0"/>
              <w:rPr>
                <w:sz w:val="12"/>
                <w:szCs w:val="12"/>
                <w:color w:val="auto"/>
              </w:rPr>
            </w:pPr>
          </w:p>
        </w:tc>
        <w:tc>
          <w:tcPr>
            <w:tcW w:w="140" w:type="dxa"/>
            <w:vAlign w:val="bottom"/>
            <w:tcBorders>
              <w:top w:val="single" w:sz="8" w:color="E5E5E5"/>
            </w:tcBorders>
            <w:shd w:val="clear" w:color="auto" w:fill="E5E5E5"/>
          </w:tcPr>
          <w:p>
            <w:pPr>
              <w:spacing w:after="0"/>
              <w:rPr>
                <w:sz w:val="12"/>
                <w:szCs w:val="12"/>
                <w:color w:val="auto"/>
              </w:rPr>
            </w:pPr>
          </w:p>
        </w:tc>
        <w:tc>
          <w:tcPr>
            <w:tcW w:w="2720" w:type="dxa"/>
            <w:vAlign w:val="bottom"/>
            <w:tcBorders>
              <w:top w:val="single" w:sz="8" w:color="0000EE"/>
            </w:tcBorders>
            <w:gridSpan w:val="25"/>
            <w:shd w:val="clear" w:color="auto" w:fill="E5E5E5"/>
          </w:tcPr>
          <w:p>
            <w:pPr>
              <w:spacing w:after="0" w:line="140" w:lineRule="exact"/>
              <w:rPr>
                <w:rFonts w:ascii="Arial" w:cs="Arial" w:eastAsia="Arial" w:hAnsi="Arial"/>
                <w:sz w:val="15"/>
                <w:szCs w:val="15"/>
                <w:color w:val="0000EE"/>
              </w:rPr>
            </w:pPr>
            <w:hyperlink w:anchor="page38">
              <w:r>
                <w:rPr>
                  <w:rFonts w:ascii="Arial" w:cs="Arial" w:eastAsia="Arial" w:hAnsi="Arial"/>
                  <w:sz w:val="15"/>
                  <w:szCs w:val="15"/>
                  <w:color w:val="0000EE"/>
                </w:rPr>
                <w:t>2017 Total Direct Compensation</w:t>
              </w:r>
            </w:hyperlink>
          </w:p>
        </w:tc>
        <w:tc>
          <w:tcPr>
            <w:tcW w:w="360" w:type="dxa"/>
            <w:vAlign w:val="bottom"/>
            <w:tcBorders>
              <w:top w:val="single" w:sz="8" w:color="E5E5E5"/>
            </w:tcBorders>
            <w:shd w:val="clear" w:color="auto" w:fill="E5E5E5"/>
          </w:tcPr>
          <w:p>
            <w:pPr>
              <w:spacing w:after="0"/>
              <w:rPr>
                <w:sz w:val="12"/>
                <w:szCs w:val="12"/>
                <w:color w:val="auto"/>
              </w:rPr>
            </w:pPr>
          </w:p>
        </w:tc>
        <w:tc>
          <w:tcPr>
            <w:tcW w:w="60" w:type="dxa"/>
            <w:vAlign w:val="bottom"/>
            <w:tcBorders>
              <w:top w:val="single" w:sz="8" w:color="E5E5E5"/>
            </w:tcBorders>
            <w:shd w:val="clear" w:color="auto" w:fill="E5E5E5"/>
          </w:tcPr>
          <w:p>
            <w:pPr>
              <w:spacing w:after="0"/>
              <w:rPr>
                <w:sz w:val="12"/>
                <w:szCs w:val="12"/>
                <w:color w:val="auto"/>
              </w:rPr>
            </w:pPr>
          </w:p>
        </w:tc>
        <w:tc>
          <w:tcPr>
            <w:tcW w:w="520" w:type="dxa"/>
            <w:vAlign w:val="bottom"/>
            <w:tcBorders>
              <w:top w:val="single" w:sz="8" w:color="E5E5E5"/>
            </w:tcBorders>
            <w:shd w:val="clear" w:color="auto" w:fill="E5E5E5"/>
          </w:tcPr>
          <w:p>
            <w:pPr>
              <w:spacing w:after="0"/>
              <w:rPr>
                <w:sz w:val="12"/>
                <w:szCs w:val="12"/>
                <w:color w:val="auto"/>
              </w:rPr>
            </w:pPr>
          </w:p>
        </w:tc>
        <w:tc>
          <w:tcPr>
            <w:tcW w:w="100" w:type="dxa"/>
            <w:vAlign w:val="bottom"/>
            <w:tcBorders>
              <w:top w:val="single" w:sz="8" w:color="E5E5E5"/>
            </w:tcBorders>
            <w:shd w:val="clear" w:color="auto" w:fill="E5E5E5"/>
          </w:tcPr>
          <w:p>
            <w:pPr>
              <w:spacing w:after="0"/>
              <w:rPr>
                <w:sz w:val="12"/>
                <w:szCs w:val="12"/>
                <w:color w:val="auto"/>
              </w:rPr>
            </w:pPr>
          </w:p>
        </w:tc>
        <w:tc>
          <w:tcPr>
            <w:tcW w:w="20" w:type="dxa"/>
            <w:vAlign w:val="bottom"/>
            <w:tcBorders>
              <w:top w:val="single" w:sz="8" w:color="E5E5E5"/>
            </w:tcBorders>
            <w:shd w:val="clear" w:color="auto" w:fill="E5E5E5"/>
          </w:tcPr>
          <w:p>
            <w:pPr>
              <w:spacing w:after="0"/>
              <w:rPr>
                <w:sz w:val="12"/>
                <w:szCs w:val="12"/>
                <w:color w:val="auto"/>
              </w:rPr>
            </w:pPr>
          </w:p>
        </w:tc>
        <w:tc>
          <w:tcPr>
            <w:tcW w:w="220" w:type="dxa"/>
            <w:vAlign w:val="bottom"/>
            <w:tcBorders>
              <w:top w:val="single" w:sz="8" w:color="E5E5E5"/>
            </w:tcBorders>
            <w:shd w:val="clear" w:color="auto" w:fill="E5E5E5"/>
          </w:tcPr>
          <w:p>
            <w:pPr>
              <w:spacing w:after="0"/>
              <w:rPr>
                <w:sz w:val="12"/>
                <w:szCs w:val="12"/>
                <w:color w:val="auto"/>
              </w:rPr>
            </w:pPr>
          </w:p>
        </w:tc>
        <w:tc>
          <w:tcPr>
            <w:tcW w:w="120" w:type="dxa"/>
            <w:vAlign w:val="bottom"/>
            <w:tcBorders>
              <w:top w:val="single" w:sz="8" w:color="E5E5E5"/>
            </w:tcBorders>
            <w:shd w:val="clear" w:color="auto" w:fill="E5E5E5"/>
          </w:tcPr>
          <w:p>
            <w:pPr>
              <w:spacing w:after="0"/>
              <w:rPr>
                <w:sz w:val="12"/>
                <w:szCs w:val="12"/>
                <w:color w:val="auto"/>
              </w:rPr>
            </w:pPr>
          </w:p>
        </w:tc>
        <w:tc>
          <w:tcPr>
            <w:tcW w:w="80" w:type="dxa"/>
            <w:vAlign w:val="bottom"/>
            <w:tcBorders>
              <w:top w:val="single" w:sz="8" w:color="E5E5E5"/>
            </w:tcBorders>
            <w:gridSpan w:val="2"/>
            <w:shd w:val="clear" w:color="auto" w:fill="E5E5E5"/>
          </w:tcPr>
          <w:p>
            <w:pPr>
              <w:spacing w:after="0"/>
              <w:rPr>
                <w:sz w:val="12"/>
                <w:szCs w:val="12"/>
                <w:color w:val="auto"/>
              </w:rPr>
            </w:pPr>
          </w:p>
        </w:tc>
        <w:tc>
          <w:tcPr>
            <w:tcW w:w="220" w:type="dxa"/>
            <w:vAlign w:val="bottom"/>
            <w:tcBorders>
              <w:top w:val="single" w:sz="8" w:color="E5E5E5"/>
            </w:tcBorders>
            <w:gridSpan w:val="2"/>
            <w:shd w:val="clear" w:color="auto" w:fill="E5E5E5"/>
          </w:tcPr>
          <w:p>
            <w:pPr>
              <w:spacing w:after="0"/>
              <w:rPr>
                <w:sz w:val="12"/>
                <w:szCs w:val="12"/>
                <w:color w:val="auto"/>
              </w:rPr>
            </w:pPr>
          </w:p>
        </w:tc>
        <w:tc>
          <w:tcPr>
            <w:tcW w:w="80" w:type="dxa"/>
            <w:vAlign w:val="bottom"/>
            <w:tcBorders>
              <w:top w:val="single" w:sz="8" w:color="E5E5E5"/>
            </w:tcBorders>
            <w:shd w:val="clear" w:color="auto" w:fill="E5E5E5"/>
          </w:tcPr>
          <w:p>
            <w:pPr>
              <w:spacing w:after="0"/>
              <w:rPr>
                <w:sz w:val="12"/>
                <w:szCs w:val="12"/>
                <w:color w:val="auto"/>
              </w:rPr>
            </w:pPr>
          </w:p>
        </w:tc>
        <w:tc>
          <w:tcPr>
            <w:tcW w:w="160" w:type="dxa"/>
            <w:vAlign w:val="bottom"/>
            <w:tcBorders>
              <w:top w:val="single" w:sz="8" w:color="E5E5E5"/>
            </w:tcBorders>
            <w:shd w:val="clear" w:color="auto" w:fill="E5E5E5"/>
          </w:tcPr>
          <w:p>
            <w:pPr>
              <w:spacing w:after="0"/>
              <w:rPr>
                <w:sz w:val="12"/>
                <w:szCs w:val="12"/>
                <w:color w:val="auto"/>
              </w:rPr>
            </w:pPr>
          </w:p>
        </w:tc>
        <w:tc>
          <w:tcPr>
            <w:tcW w:w="40" w:type="dxa"/>
            <w:vAlign w:val="bottom"/>
            <w:tcBorders>
              <w:top w:val="single" w:sz="8" w:color="E5E5E5"/>
            </w:tcBorders>
            <w:shd w:val="clear" w:color="auto" w:fill="E5E5E5"/>
          </w:tcPr>
          <w:p>
            <w:pPr>
              <w:spacing w:after="0"/>
              <w:rPr>
                <w:sz w:val="12"/>
                <w:szCs w:val="12"/>
                <w:color w:val="auto"/>
              </w:rPr>
            </w:pPr>
          </w:p>
        </w:tc>
        <w:tc>
          <w:tcPr>
            <w:tcW w:w="200" w:type="dxa"/>
            <w:vAlign w:val="bottom"/>
            <w:tcBorders>
              <w:top w:val="single" w:sz="8" w:color="E5E5E5"/>
            </w:tcBorders>
            <w:shd w:val="clear" w:color="auto" w:fill="E5E5E5"/>
          </w:tcPr>
          <w:p>
            <w:pPr>
              <w:jc w:val="right"/>
              <w:spacing w:after="0" w:line="140" w:lineRule="exact"/>
              <w:rPr>
                <w:sz w:val="20"/>
                <w:szCs w:val="20"/>
                <w:color w:val="auto"/>
              </w:rPr>
            </w:pPr>
            <w:r>
              <w:rPr>
                <w:rFonts w:ascii="Arial" w:cs="Arial" w:eastAsia="Arial" w:hAnsi="Arial"/>
                <w:sz w:val="15"/>
                <w:szCs w:val="15"/>
                <w:color w:val="auto"/>
              </w:rPr>
              <w:t>26</w:t>
            </w:r>
          </w:p>
        </w:tc>
        <w:tc>
          <w:tcPr>
            <w:tcW w:w="100" w:type="dxa"/>
            <w:vAlign w:val="bottom"/>
            <w:tcBorders>
              <w:top w:val="single" w:sz="8" w:color="E5E5E5"/>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 w:type="dxa"/>
            <w:vAlign w:val="bottom"/>
            <w:tcBorders>
              <w:right w:val="single" w:sz="8" w:color="E5E5E5"/>
            </w:tcBorders>
          </w:tcPr>
          <w:p>
            <w:pPr>
              <w:spacing w:after="0"/>
              <w:rPr>
                <w:sz w:val="12"/>
                <w:szCs w:val="12"/>
                <w:color w:val="auto"/>
              </w:rPr>
            </w:pPr>
          </w:p>
        </w:tc>
        <w:tc>
          <w:tcPr>
            <w:tcW w:w="100" w:type="dxa"/>
            <w:vAlign w:val="bottom"/>
            <w:tcBorders>
              <w:top w:val="single" w:sz="8" w:color="E5E5E5"/>
            </w:tcBorders>
            <w:shd w:val="clear" w:color="auto" w:fill="E5E5E5"/>
          </w:tcPr>
          <w:p>
            <w:pPr>
              <w:spacing w:after="0"/>
              <w:rPr>
                <w:sz w:val="12"/>
                <w:szCs w:val="12"/>
                <w:color w:val="auto"/>
              </w:rPr>
            </w:pPr>
          </w:p>
        </w:tc>
        <w:tc>
          <w:tcPr>
            <w:tcW w:w="140" w:type="dxa"/>
            <w:vAlign w:val="bottom"/>
            <w:tcBorders>
              <w:top w:val="single" w:sz="8" w:color="E5E5E5"/>
            </w:tcBorders>
            <w:shd w:val="clear" w:color="auto" w:fill="E5E5E5"/>
          </w:tcPr>
          <w:p>
            <w:pPr>
              <w:spacing w:after="0"/>
              <w:rPr>
                <w:sz w:val="12"/>
                <w:szCs w:val="12"/>
                <w:color w:val="auto"/>
              </w:rPr>
            </w:pPr>
          </w:p>
        </w:tc>
        <w:tc>
          <w:tcPr>
            <w:tcW w:w="2140" w:type="dxa"/>
            <w:vAlign w:val="bottom"/>
            <w:tcBorders>
              <w:top w:val="single" w:sz="8" w:color="0000EE"/>
            </w:tcBorders>
            <w:gridSpan w:val="18"/>
            <w:shd w:val="clear" w:color="auto" w:fill="E5E5E5"/>
          </w:tcPr>
          <w:p>
            <w:pPr>
              <w:spacing w:after="0" w:line="140" w:lineRule="exact"/>
              <w:rPr>
                <w:rFonts w:ascii="Arial" w:cs="Arial" w:eastAsia="Arial" w:hAnsi="Arial"/>
                <w:sz w:val="15"/>
                <w:szCs w:val="15"/>
                <w:color w:val="0000EE"/>
              </w:rPr>
            </w:pPr>
            <w:hyperlink w:anchor="page45">
              <w:r>
                <w:rPr>
                  <w:rFonts w:ascii="Arial" w:cs="Arial" w:eastAsia="Arial" w:hAnsi="Arial"/>
                  <w:sz w:val="15"/>
                  <w:szCs w:val="15"/>
                  <w:color w:val="0000EE"/>
                </w:rPr>
                <w:t>Peer Group</w:t>
              </w:r>
            </w:hyperlink>
          </w:p>
        </w:tc>
        <w:tc>
          <w:tcPr>
            <w:tcW w:w="100" w:type="dxa"/>
            <w:vAlign w:val="bottom"/>
            <w:tcBorders>
              <w:top w:val="single" w:sz="8" w:color="E5E5E5"/>
            </w:tcBorders>
            <w:gridSpan w:val="2"/>
            <w:shd w:val="clear" w:color="auto" w:fill="E5E5E5"/>
          </w:tcPr>
          <w:p>
            <w:pPr>
              <w:spacing w:after="0"/>
              <w:rPr>
                <w:sz w:val="12"/>
                <w:szCs w:val="12"/>
                <w:color w:val="auto"/>
              </w:rPr>
            </w:pPr>
          </w:p>
        </w:tc>
        <w:tc>
          <w:tcPr>
            <w:tcW w:w="120" w:type="dxa"/>
            <w:vAlign w:val="bottom"/>
            <w:tcBorders>
              <w:top w:val="single" w:sz="8" w:color="E5E5E5"/>
            </w:tcBorders>
            <w:shd w:val="clear" w:color="auto" w:fill="E5E5E5"/>
          </w:tcPr>
          <w:p>
            <w:pPr>
              <w:spacing w:after="0"/>
              <w:rPr>
                <w:sz w:val="12"/>
                <w:szCs w:val="12"/>
                <w:color w:val="auto"/>
              </w:rPr>
            </w:pPr>
          </w:p>
        </w:tc>
        <w:tc>
          <w:tcPr>
            <w:tcW w:w="120" w:type="dxa"/>
            <w:vAlign w:val="bottom"/>
            <w:tcBorders>
              <w:top w:val="single" w:sz="8" w:color="E5E5E5"/>
            </w:tcBorders>
            <w:gridSpan w:val="2"/>
            <w:shd w:val="clear" w:color="auto" w:fill="E5E5E5"/>
          </w:tcPr>
          <w:p>
            <w:pPr>
              <w:spacing w:after="0"/>
              <w:rPr>
                <w:sz w:val="12"/>
                <w:szCs w:val="12"/>
                <w:color w:val="auto"/>
              </w:rPr>
            </w:pPr>
          </w:p>
        </w:tc>
        <w:tc>
          <w:tcPr>
            <w:tcW w:w="200" w:type="dxa"/>
            <w:vAlign w:val="bottom"/>
            <w:tcBorders>
              <w:top w:val="single" w:sz="8" w:color="E5E5E5"/>
            </w:tcBorders>
            <w:shd w:val="clear" w:color="auto" w:fill="E5E5E5"/>
          </w:tcPr>
          <w:p>
            <w:pPr>
              <w:spacing w:after="0"/>
              <w:rPr>
                <w:sz w:val="12"/>
                <w:szCs w:val="12"/>
                <w:color w:val="auto"/>
              </w:rPr>
            </w:pPr>
          </w:p>
        </w:tc>
        <w:tc>
          <w:tcPr>
            <w:tcW w:w="400" w:type="dxa"/>
            <w:vAlign w:val="bottom"/>
            <w:tcBorders>
              <w:top w:val="single" w:sz="8" w:color="E5E5E5"/>
            </w:tcBorders>
            <w:gridSpan w:val="2"/>
            <w:shd w:val="clear" w:color="auto" w:fill="E5E5E5"/>
          </w:tcPr>
          <w:p>
            <w:pPr>
              <w:spacing w:after="0"/>
              <w:rPr>
                <w:sz w:val="12"/>
                <w:szCs w:val="12"/>
                <w:color w:val="auto"/>
              </w:rPr>
            </w:pPr>
          </w:p>
        </w:tc>
        <w:tc>
          <w:tcPr>
            <w:tcW w:w="60" w:type="dxa"/>
            <w:vAlign w:val="bottom"/>
            <w:tcBorders>
              <w:top w:val="single" w:sz="8" w:color="E5E5E5"/>
            </w:tcBorders>
            <w:shd w:val="clear" w:color="auto" w:fill="E5E5E5"/>
          </w:tcPr>
          <w:p>
            <w:pPr>
              <w:spacing w:after="0"/>
              <w:rPr>
                <w:sz w:val="12"/>
                <w:szCs w:val="12"/>
                <w:color w:val="auto"/>
              </w:rPr>
            </w:pPr>
          </w:p>
        </w:tc>
        <w:tc>
          <w:tcPr>
            <w:tcW w:w="520" w:type="dxa"/>
            <w:vAlign w:val="bottom"/>
            <w:tcBorders>
              <w:top w:val="single" w:sz="8" w:color="E5E5E5"/>
            </w:tcBorders>
            <w:shd w:val="clear" w:color="auto" w:fill="E5E5E5"/>
          </w:tcPr>
          <w:p>
            <w:pPr>
              <w:spacing w:after="0"/>
              <w:rPr>
                <w:sz w:val="12"/>
                <w:szCs w:val="12"/>
                <w:color w:val="auto"/>
              </w:rPr>
            </w:pPr>
          </w:p>
        </w:tc>
        <w:tc>
          <w:tcPr>
            <w:tcW w:w="100" w:type="dxa"/>
            <w:vAlign w:val="bottom"/>
            <w:tcBorders>
              <w:top w:val="single" w:sz="8" w:color="E5E5E5"/>
            </w:tcBorders>
            <w:shd w:val="clear" w:color="auto" w:fill="E5E5E5"/>
          </w:tcPr>
          <w:p>
            <w:pPr>
              <w:spacing w:after="0"/>
              <w:rPr>
                <w:sz w:val="12"/>
                <w:szCs w:val="12"/>
                <w:color w:val="auto"/>
              </w:rPr>
            </w:pPr>
          </w:p>
        </w:tc>
        <w:tc>
          <w:tcPr>
            <w:tcW w:w="20" w:type="dxa"/>
            <w:vAlign w:val="bottom"/>
            <w:tcBorders>
              <w:top w:val="single" w:sz="8" w:color="E5E5E5"/>
            </w:tcBorders>
            <w:shd w:val="clear" w:color="auto" w:fill="E5E5E5"/>
          </w:tcPr>
          <w:p>
            <w:pPr>
              <w:spacing w:after="0"/>
              <w:rPr>
                <w:sz w:val="12"/>
                <w:szCs w:val="12"/>
                <w:color w:val="auto"/>
              </w:rPr>
            </w:pPr>
          </w:p>
        </w:tc>
        <w:tc>
          <w:tcPr>
            <w:tcW w:w="220" w:type="dxa"/>
            <w:vAlign w:val="bottom"/>
            <w:tcBorders>
              <w:top w:val="single" w:sz="8" w:color="E5E5E5"/>
            </w:tcBorders>
            <w:shd w:val="clear" w:color="auto" w:fill="E5E5E5"/>
          </w:tcPr>
          <w:p>
            <w:pPr>
              <w:spacing w:after="0"/>
              <w:rPr>
                <w:sz w:val="12"/>
                <w:szCs w:val="12"/>
                <w:color w:val="auto"/>
              </w:rPr>
            </w:pPr>
          </w:p>
        </w:tc>
        <w:tc>
          <w:tcPr>
            <w:tcW w:w="120" w:type="dxa"/>
            <w:vAlign w:val="bottom"/>
            <w:tcBorders>
              <w:top w:val="single" w:sz="8" w:color="E5E5E5"/>
            </w:tcBorders>
            <w:shd w:val="clear" w:color="auto" w:fill="E5E5E5"/>
          </w:tcPr>
          <w:p>
            <w:pPr>
              <w:spacing w:after="0"/>
              <w:rPr>
                <w:sz w:val="12"/>
                <w:szCs w:val="12"/>
                <w:color w:val="auto"/>
              </w:rPr>
            </w:pPr>
          </w:p>
        </w:tc>
        <w:tc>
          <w:tcPr>
            <w:tcW w:w="80" w:type="dxa"/>
            <w:vAlign w:val="bottom"/>
            <w:tcBorders>
              <w:top w:val="single" w:sz="8" w:color="E5E5E5"/>
            </w:tcBorders>
            <w:gridSpan w:val="2"/>
            <w:shd w:val="clear" w:color="auto" w:fill="E5E5E5"/>
          </w:tcPr>
          <w:p>
            <w:pPr>
              <w:spacing w:after="0"/>
              <w:rPr>
                <w:sz w:val="12"/>
                <w:szCs w:val="12"/>
                <w:color w:val="auto"/>
              </w:rPr>
            </w:pPr>
          </w:p>
        </w:tc>
        <w:tc>
          <w:tcPr>
            <w:tcW w:w="220" w:type="dxa"/>
            <w:vAlign w:val="bottom"/>
            <w:tcBorders>
              <w:top w:val="single" w:sz="8" w:color="E5E5E5"/>
            </w:tcBorders>
            <w:gridSpan w:val="2"/>
            <w:shd w:val="clear" w:color="auto" w:fill="E5E5E5"/>
          </w:tcPr>
          <w:p>
            <w:pPr>
              <w:spacing w:after="0"/>
              <w:rPr>
                <w:sz w:val="12"/>
                <w:szCs w:val="12"/>
                <w:color w:val="auto"/>
              </w:rPr>
            </w:pPr>
          </w:p>
        </w:tc>
        <w:tc>
          <w:tcPr>
            <w:tcW w:w="80" w:type="dxa"/>
            <w:vAlign w:val="bottom"/>
            <w:tcBorders>
              <w:top w:val="single" w:sz="8" w:color="E5E5E5"/>
            </w:tcBorders>
            <w:shd w:val="clear" w:color="auto" w:fill="E5E5E5"/>
          </w:tcPr>
          <w:p>
            <w:pPr>
              <w:spacing w:after="0"/>
              <w:rPr>
                <w:sz w:val="12"/>
                <w:szCs w:val="12"/>
                <w:color w:val="auto"/>
              </w:rPr>
            </w:pPr>
          </w:p>
        </w:tc>
        <w:tc>
          <w:tcPr>
            <w:tcW w:w="160" w:type="dxa"/>
            <w:vAlign w:val="bottom"/>
            <w:tcBorders>
              <w:top w:val="single" w:sz="8" w:color="E5E5E5"/>
            </w:tcBorders>
            <w:shd w:val="clear" w:color="auto" w:fill="E5E5E5"/>
          </w:tcPr>
          <w:p>
            <w:pPr>
              <w:spacing w:after="0"/>
              <w:rPr>
                <w:sz w:val="12"/>
                <w:szCs w:val="12"/>
                <w:color w:val="auto"/>
              </w:rPr>
            </w:pPr>
          </w:p>
        </w:tc>
        <w:tc>
          <w:tcPr>
            <w:tcW w:w="40" w:type="dxa"/>
            <w:vAlign w:val="bottom"/>
            <w:tcBorders>
              <w:top w:val="single" w:sz="8" w:color="E5E5E5"/>
            </w:tcBorders>
            <w:shd w:val="clear" w:color="auto" w:fill="E5E5E5"/>
          </w:tcPr>
          <w:p>
            <w:pPr>
              <w:spacing w:after="0"/>
              <w:rPr>
                <w:sz w:val="12"/>
                <w:szCs w:val="12"/>
                <w:color w:val="auto"/>
              </w:rPr>
            </w:pPr>
          </w:p>
        </w:tc>
        <w:tc>
          <w:tcPr>
            <w:tcW w:w="200" w:type="dxa"/>
            <w:vAlign w:val="bottom"/>
            <w:tcBorders>
              <w:top w:val="single" w:sz="8" w:color="E5E5E5"/>
            </w:tcBorders>
            <w:shd w:val="clear" w:color="auto" w:fill="E5E5E5"/>
          </w:tcPr>
          <w:p>
            <w:pPr>
              <w:jc w:val="right"/>
              <w:spacing w:after="0" w:line="140" w:lineRule="exact"/>
              <w:rPr>
                <w:sz w:val="20"/>
                <w:szCs w:val="20"/>
                <w:color w:val="auto"/>
              </w:rPr>
            </w:pPr>
            <w:r>
              <w:rPr>
                <w:rFonts w:ascii="Arial" w:cs="Arial" w:eastAsia="Arial" w:hAnsi="Arial"/>
                <w:sz w:val="15"/>
                <w:szCs w:val="15"/>
                <w:color w:val="auto"/>
              </w:rPr>
              <w:t>33</w:t>
            </w:r>
          </w:p>
        </w:tc>
        <w:tc>
          <w:tcPr>
            <w:tcW w:w="100" w:type="dxa"/>
            <w:vAlign w:val="bottom"/>
            <w:tcBorders>
              <w:top w:val="single" w:sz="8" w:color="E5E5E5"/>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 w:type="dxa"/>
            <w:vAlign w:val="bottom"/>
            <w:tcBorders>
              <w:right w:val="single" w:sz="8" w:color="E5E5E5"/>
            </w:tcBorders>
          </w:tcPr>
          <w:p>
            <w:pPr>
              <w:spacing w:after="0"/>
              <w:rPr>
                <w:sz w:val="12"/>
                <w:szCs w:val="12"/>
                <w:color w:val="auto"/>
              </w:rPr>
            </w:pPr>
          </w:p>
        </w:tc>
        <w:tc>
          <w:tcPr>
            <w:tcW w:w="100" w:type="dxa"/>
            <w:vAlign w:val="bottom"/>
            <w:tcBorders>
              <w:top w:val="single" w:sz="8" w:color="E5E5E5"/>
              <w:bottom w:val="single" w:sz="8" w:color="E5E5E5"/>
            </w:tcBorders>
            <w:shd w:val="clear" w:color="auto" w:fill="E5E5E5"/>
          </w:tcPr>
          <w:p>
            <w:pPr>
              <w:spacing w:after="0"/>
              <w:rPr>
                <w:sz w:val="12"/>
                <w:szCs w:val="12"/>
                <w:color w:val="auto"/>
              </w:rPr>
            </w:pPr>
          </w:p>
        </w:tc>
        <w:tc>
          <w:tcPr>
            <w:tcW w:w="140" w:type="dxa"/>
            <w:vAlign w:val="bottom"/>
            <w:tcBorders>
              <w:top w:val="single" w:sz="8" w:color="E5E5E5"/>
              <w:bottom w:val="single" w:sz="8" w:color="E5E5E5"/>
            </w:tcBorders>
            <w:shd w:val="clear" w:color="auto" w:fill="E5E5E5"/>
          </w:tcPr>
          <w:p>
            <w:pPr>
              <w:spacing w:after="0"/>
              <w:rPr>
                <w:sz w:val="12"/>
                <w:szCs w:val="12"/>
                <w:color w:val="auto"/>
              </w:rPr>
            </w:pPr>
          </w:p>
        </w:tc>
        <w:tc>
          <w:tcPr>
            <w:tcW w:w="780" w:type="dxa"/>
            <w:vAlign w:val="bottom"/>
            <w:tcBorders>
              <w:top w:val="single" w:sz="8" w:color="0000EE"/>
              <w:bottom w:val="single" w:sz="8" w:color="0000EE"/>
            </w:tcBorders>
            <w:gridSpan w:val="3"/>
            <w:shd w:val="clear" w:color="auto" w:fill="E5E5E5"/>
          </w:tcPr>
          <w:p>
            <w:pPr>
              <w:spacing w:after="0" w:line="140" w:lineRule="exact"/>
              <w:rPr>
                <w:rFonts w:ascii="Arial" w:cs="Arial" w:eastAsia="Arial" w:hAnsi="Arial"/>
                <w:sz w:val="15"/>
                <w:szCs w:val="15"/>
                <w:color w:val="0000EE"/>
              </w:rPr>
            </w:pPr>
            <w:hyperlink w:anchor="page45">
              <w:r>
                <w:rPr>
                  <w:rFonts w:ascii="Arial" w:cs="Arial" w:eastAsia="Arial" w:hAnsi="Arial"/>
                  <w:sz w:val="15"/>
                  <w:szCs w:val="15"/>
                  <w:color w:val="0000EE"/>
                </w:rPr>
                <w:t>Process for</w:t>
              </w:r>
            </w:hyperlink>
          </w:p>
        </w:tc>
        <w:tc>
          <w:tcPr>
            <w:tcW w:w="3720" w:type="dxa"/>
            <w:vAlign w:val="bottom"/>
            <w:tcBorders>
              <w:top w:val="single" w:sz="8" w:color="E5E5E5"/>
              <w:bottom w:val="single" w:sz="8" w:color="0000EE"/>
            </w:tcBorders>
            <w:gridSpan w:val="34"/>
            <w:shd w:val="clear" w:color="auto" w:fill="E5E5E5"/>
          </w:tcPr>
          <w:p>
            <w:pPr>
              <w:ind w:left="20"/>
              <w:spacing w:after="0" w:line="140" w:lineRule="exact"/>
              <w:rPr>
                <w:rFonts w:ascii="Arial" w:cs="Arial" w:eastAsia="Arial" w:hAnsi="Arial"/>
                <w:sz w:val="15"/>
                <w:szCs w:val="15"/>
                <w:color w:val="0000EE"/>
              </w:rPr>
            </w:pPr>
            <w:hyperlink w:anchor="page45">
              <w:r>
                <w:rPr>
                  <w:rFonts w:ascii="Arial" w:cs="Arial" w:eastAsia="Arial" w:hAnsi="Arial"/>
                  <w:sz w:val="15"/>
                  <w:szCs w:val="15"/>
                  <w:color w:val="0000EE"/>
                </w:rPr>
                <w:t>Determining Compensation and Role of Compensation</w:t>
              </w:r>
            </w:hyperlink>
          </w:p>
        </w:tc>
        <w:tc>
          <w:tcPr>
            <w:tcW w:w="160" w:type="dxa"/>
            <w:vAlign w:val="bottom"/>
            <w:tcBorders>
              <w:top w:val="single" w:sz="8" w:color="E5E5E5"/>
              <w:bottom w:val="single" w:sz="8" w:color="E5E5E5"/>
            </w:tcBorders>
            <w:shd w:val="clear" w:color="auto" w:fill="E5E5E5"/>
          </w:tcPr>
          <w:p>
            <w:pPr>
              <w:spacing w:after="0"/>
              <w:rPr>
                <w:sz w:val="12"/>
                <w:szCs w:val="12"/>
                <w:color w:val="auto"/>
              </w:rPr>
            </w:pPr>
          </w:p>
        </w:tc>
        <w:tc>
          <w:tcPr>
            <w:tcW w:w="40" w:type="dxa"/>
            <w:vAlign w:val="bottom"/>
            <w:tcBorders>
              <w:top w:val="single" w:sz="8" w:color="E5E5E5"/>
              <w:bottom w:val="single" w:sz="8" w:color="E5E5E5"/>
            </w:tcBorders>
            <w:shd w:val="clear" w:color="auto" w:fill="E5E5E5"/>
          </w:tcPr>
          <w:p>
            <w:pPr>
              <w:spacing w:after="0"/>
              <w:rPr>
                <w:sz w:val="12"/>
                <w:szCs w:val="12"/>
                <w:color w:val="auto"/>
              </w:rPr>
            </w:pPr>
          </w:p>
        </w:tc>
        <w:tc>
          <w:tcPr>
            <w:tcW w:w="200" w:type="dxa"/>
            <w:vAlign w:val="bottom"/>
            <w:tcBorders>
              <w:top w:val="single" w:sz="8" w:color="E5E5E5"/>
              <w:bottom w:val="single" w:sz="8" w:color="E5E5E5"/>
            </w:tcBorders>
            <w:vMerge w:val="restart"/>
            <w:shd w:val="clear" w:color="auto" w:fill="E5E5E5"/>
          </w:tcPr>
          <w:p>
            <w:pPr>
              <w:jc w:val="right"/>
              <w:spacing w:after="0"/>
              <w:rPr>
                <w:sz w:val="20"/>
                <w:szCs w:val="20"/>
                <w:color w:val="auto"/>
              </w:rPr>
            </w:pPr>
            <w:r>
              <w:rPr>
                <w:rFonts w:ascii="Arial" w:cs="Arial" w:eastAsia="Arial" w:hAnsi="Arial"/>
                <w:sz w:val="15"/>
                <w:szCs w:val="15"/>
                <w:color w:val="auto"/>
              </w:rPr>
              <w:t>33</w:t>
            </w:r>
          </w:p>
        </w:tc>
        <w:tc>
          <w:tcPr>
            <w:tcW w:w="100" w:type="dxa"/>
            <w:vAlign w:val="bottom"/>
            <w:tcBorders>
              <w:top w:val="single" w:sz="8" w:color="E5E5E5"/>
              <w:bottom w:val="single" w:sz="8" w:color="E5E5E5"/>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 w:type="dxa"/>
            <w:vAlign w:val="bottom"/>
            <w:tcBorders>
              <w:right w:val="single" w:sz="8" w:color="E5E5E5"/>
            </w:tcBorders>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4360" w:type="dxa"/>
            <w:vAlign w:val="bottom"/>
            <w:gridSpan w:val="36"/>
            <w:shd w:val="clear" w:color="auto" w:fill="E5E5E5"/>
          </w:tcPr>
          <w:p>
            <w:pPr>
              <w:spacing w:after="0" w:line="140" w:lineRule="exact"/>
              <w:rPr>
                <w:rFonts w:ascii="Arial" w:cs="Arial" w:eastAsia="Arial" w:hAnsi="Arial"/>
                <w:sz w:val="15"/>
                <w:szCs w:val="15"/>
                <w:color w:val="0000EE"/>
              </w:rPr>
            </w:pPr>
            <w:hyperlink w:anchor="page45">
              <w:r>
                <w:rPr>
                  <w:rFonts w:ascii="Arial" w:cs="Arial" w:eastAsia="Arial" w:hAnsi="Arial"/>
                  <w:sz w:val="15"/>
                  <w:szCs w:val="15"/>
                  <w:color w:val="0000EE"/>
                </w:rPr>
                <w:t>Consultants</w:t>
              </w:r>
            </w:hyperlink>
          </w:p>
        </w:tc>
        <w:tc>
          <w:tcPr>
            <w:tcW w:w="16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200" w:type="dxa"/>
            <w:vAlign w:val="bottom"/>
            <w:vMerge w:val="continue"/>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 w:type="dxa"/>
            <w:vAlign w:val="bottom"/>
            <w:tcBorders>
              <w:right w:val="single" w:sz="8" w:color="E5E5E5"/>
            </w:tcBorders>
          </w:tcPr>
          <w:p>
            <w:pPr>
              <w:spacing w:after="0" w:line="20" w:lineRule="exact"/>
              <w:rPr>
                <w:sz w:val="1"/>
                <w:szCs w:val="1"/>
                <w:color w:val="auto"/>
              </w:rPr>
            </w:pPr>
          </w:p>
        </w:tc>
        <w:tc>
          <w:tcPr>
            <w:tcW w:w="100" w:type="dxa"/>
            <w:vAlign w:val="bottom"/>
            <w:shd w:val="clear" w:color="auto" w:fill="E5E5E5"/>
          </w:tcPr>
          <w:p>
            <w:pPr>
              <w:spacing w:after="0" w:line="20" w:lineRule="exact"/>
              <w:rPr>
                <w:sz w:val="1"/>
                <w:szCs w:val="1"/>
                <w:color w:val="auto"/>
              </w:rPr>
            </w:pPr>
          </w:p>
        </w:tc>
        <w:tc>
          <w:tcPr>
            <w:tcW w:w="140" w:type="dxa"/>
            <w:vAlign w:val="bottom"/>
            <w:shd w:val="clear" w:color="auto" w:fill="E5E5E5"/>
          </w:tcPr>
          <w:p>
            <w:pPr>
              <w:spacing w:after="0" w:line="20" w:lineRule="exact"/>
              <w:rPr>
                <w:sz w:val="1"/>
                <w:szCs w:val="1"/>
                <w:color w:val="auto"/>
              </w:rPr>
            </w:pPr>
          </w:p>
        </w:tc>
        <w:tc>
          <w:tcPr>
            <w:tcW w:w="140" w:type="dxa"/>
            <w:vAlign w:val="bottom"/>
            <w:vMerge w:val="restart"/>
            <w:shd w:val="clear" w:color="auto" w:fill="E5E5E5"/>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E5E5E5"/>
          </w:tcPr>
          <w:p>
            <w:pPr>
              <w:spacing w:after="0" w:line="20" w:lineRule="exact"/>
              <w:rPr>
                <w:sz w:val="1"/>
                <w:szCs w:val="1"/>
                <w:color w:val="auto"/>
              </w:rPr>
            </w:pPr>
          </w:p>
        </w:tc>
        <w:tc>
          <w:tcPr>
            <w:tcW w:w="100" w:type="dxa"/>
            <w:vAlign w:val="bottom"/>
            <w:shd w:val="clear" w:color="auto" w:fill="E5E5E5"/>
          </w:tcPr>
          <w:p>
            <w:pPr>
              <w:spacing w:after="0" w:line="20" w:lineRule="exact"/>
              <w:rPr>
                <w:sz w:val="1"/>
                <w:szCs w:val="1"/>
                <w:color w:val="auto"/>
              </w:rPr>
            </w:pPr>
          </w:p>
        </w:tc>
        <w:tc>
          <w:tcPr>
            <w:tcW w:w="80" w:type="dxa"/>
            <w:vAlign w:val="bottom"/>
            <w:shd w:val="clear" w:color="auto" w:fill="E5E5E5"/>
          </w:tcPr>
          <w:p>
            <w:pPr>
              <w:spacing w:after="0" w:line="20" w:lineRule="exact"/>
              <w:rPr>
                <w:sz w:val="1"/>
                <w:szCs w:val="1"/>
                <w:color w:val="auto"/>
              </w:rPr>
            </w:pPr>
          </w:p>
        </w:tc>
        <w:tc>
          <w:tcPr>
            <w:tcW w:w="160" w:type="dxa"/>
            <w:vAlign w:val="bottom"/>
            <w:gridSpan w:val="2"/>
            <w:shd w:val="clear" w:color="auto" w:fill="E5E5E5"/>
          </w:tcPr>
          <w:p>
            <w:pPr>
              <w:spacing w:after="0" w:line="20" w:lineRule="exact"/>
              <w:rPr>
                <w:sz w:val="1"/>
                <w:szCs w:val="1"/>
                <w:color w:val="auto"/>
              </w:rPr>
            </w:pPr>
          </w:p>
        </w:tc>
        <w:tc>
          <w:tcPr>
            <w:tcW w:w="100" w:type="dxa"/>
            <w:vAlign w:val="bottom"/>
            <w:shd w:val="clear" w:color="auto" w:fill="E5E5E5"/>
          </w:tcPr>
          <w:p>
            <w:pPr>
              <w:spacing w:after="0" w:line="20" w:lineRule="exact"/>
              <w:rPr>
                <w:sz w:val="1"/>
                <w:szCs w:val="1"/>
                <w:color w:val="auto"/>
              </w:rPr>
            </w:pPr>
          </w:p>
        </w:tc>
        <w:tc>
          <w:tcPr>
            <w:tcW w:w="140" w:type="dxa"/>
            <w:vAlign w:val="bottom"/>
            <w:gridSpan w:val="2"/>
            <w:shd w:val="clear" w:color="auto" w:fill="E5E5E5"/>
          </w:tcPr>
          <w:p>
            <w:pPr>
              <w:spacing w:after="0" w:line="20" w:lineRule="exact"/>
              <w:rPr>
                <w:sz w:val="1"/>
                <w:szCs w:val="1"/>
                <w:color w:val="auto"/>
              </w:rPr>
            </w:pPr>
          </w:p>
        </w:tc>
        <w:tc>
          <w:tcPr>
            <w:tcW w:w="240" w:type="dxa"/>
            <w:vAlign w:val="bottom"/>
            <w:shd w:val="clear" w:color="auto" w:fill="E5E5E5"/>
          </w:tcPr>
          <w:p>
            <w:pPr>
              <w:spacing w:after="0" w:line="20" w:lineRule="exact"/>
              <w:rPr>
                <w:sz w:val="1"/>
                <w:szCs w:val="1"/>
                <w:color w:val="auto"/>
              </w:rPr>
            </w:pPr>
          </w:p>
        </w:tc>
        <w:tc>
          <w:tcPr>
            <w:tcW w:w="140" w:type="dxa"/>
            <w:vAlign w:val="bottom"/>
            <w:shd w:val="clear" w:color="auto" w:fill="E5E5E5"/>
          </w:tcPr>
          <w:p>
            <w:pPr>
              <w:spacing w:after="0" w:line="20" w:lineRule="exact"/>
              <w:rPr>
                <w:sz w:val="1"/>
                <w:szCs w:val="1"/>
                <w:color w:val="auto"/>
              </w:rPr>
            </w:pPr>
          </w:p>
        </w:tc>
        <w:tc>
          <w:tcPr>
            <w:tcW w:w="80" w:type="dxa"/>
            <w:vAlign w:val="bottom"/>
            <w:shd w:val="clear" w:color="auto" w:fill="E5E5E5"/>
          </w:tcPr>
          <w:p>
            <w:pPr>
              <w:spacing w:after="0" w:line="20" w:lineRule="exact"/>
              <w:rPr>
                <w:sz w:val="1"/>
                <w:szCs w:val="1"/>
                <w:color w:val="auto"/>
              </w:rPr>
            </w:pPr>
          </w:p>
        </w:tc>
        <w:tc>
          <w:tcPr>
            <w:tcW w:w="20" w:type="dxa"/>
            <w:vAlign w:val="bottom"/>
            <w:shd w:val="clear" w:color="auto" w:fill="E5E5E5"/>
          </w:tcPr>
          <w:p>
            <w:pPr>
              <w:spacing w:after="0" w:line="20" w:lineRule="exact"/>
              <w:rPr>
                <w:sz w:val="1"/>
                <w:szCs w:val="1"/>
                <w:color w:val="auto"/>
              </w:rPr>
            </w:pPr>
          </w:p>
        </w:tc>
        <w:tc>
          <w:tcPr>
            <w:tcW w:w="160" w:type="dxa"/>
            <w:vAlign w:val="bottom"/>
            <w:gridSpan w:val="3"/>
            <w:shd w:val="clear" w:color="auto" w:fill="E5E5E5"/>
          </w:tcPr>
          <w:p>
            <w:pPr>
              <w:spacing w:after="0" w:line="20" w:lineRule="exact"/>
              <w:rPr>
                <w:sz w:val="1"/>
                <w:szCs w:val="1"/>
                <w:color w:val="auto"/>
              </w:rPr>
            </w:pPr>
          </w:p>
        </w:tc>
        <w:tc>
          <w:tcPr>
            <w:tcW w:w="120" w:type="dxa"/>
            <w:vAlign w:val="bottom"/>
            <w:shd w:val="clear" w:color="auto" w:fill="E5E5E5"/>
          </w:tcPr>
          <w:p>
            <w:pPr>
              <w:spacing w:after="0" w:line="20" w:lineRule="exact"/>
              <w:rPr>
                <w:sz w:val="1"/>
                <w:szCs w:val="1"/>
                <w:color w:val="auto"/>
              </w:rPr>
            </w:pPr>
          </w:p>
        </w:tc>
        <w:tc>
          <w:tcPr>
            <w:tcW w:w="120" w:type="dxa"/>
            <w:vAlign w:val="bottom"/>
            <w:gridSpan w:val="2"/>
            <w:shd w:val="clear" w:color="auto" w:fill="E5E5E5"/>
          </w:tcPr>
          <w:p>
            <w:pPr>
              <w:spacing w:after="0" w:line="20" w:lineRule="exact"/>
              <w:rPr>
                <w:sz w:val="1"/>
                <w:szCs w:val="1"/>
                <w:color w:val="auto"/>
              </w:rPr>
            </w:pPr>
          </w:p>
        </w:tc>
        <w:tc>
          <w:tcPr>
            <w:tcW w:w="200" w:type="dxa"/>
            <w:vAlign w:val="bottom"/>
            <w:shd w:val="clear" w:color="auto" w:fill="E5E5E5"/>
          </w:tcPr>
          <w:p>
            <w:pPr>
              <w:spacing w:after="0" w:line="20" w:lineRule="exact"/>
              <w:rPr>
                <w:sz w:val="1"/>
                <w:szCs w:val="1"/>
                <w:color w:val="auto"/>
              </w:rPr>
            </w:pPr>
          </w:p>
        </w:tc>
        <w:tc>
          <w:tcPr>
            <w:tcW w:w="400" w:type="dxa"/>
            <w:vAlign w:val="bottom"/>
            <w:gridSpan w:val="2"/>
            <w:shd w:val="clear" w:color="auto" w:fill="E5E5E5"/>
          </w:tcPr>
          <w:p>
            <w:pPr>
              <w:spacing w:after="0" w:line="20" w:lineRule="exact"/>
              <w:rPr>
                <w:sz w:val="1"/>
                <w:szCs w:val="1"/>
                <w:color w:val="auto"/>
              </w:rPr>
            </w:pPr>
          </w:p>
        </w:tc>
        <w:tc>
          <w:tcPr>
            <w:tcW w:w="60" w:type="dxa"/>
            <w:vAlign w:val="bottom"/>
            <w:shd w:val="clear" w:color="auto" w:fill="E5E5E5"/>
          </w:tcPr>
          <w:p>
            <w:pPr>
              <w:spacing w:after="0" w:line="20" w:lineRule="exact"/>
              <w:rPr>
                <w:sz w:val="1"/>
                <w:szCs w:val="1"/>
                <w:color w:val="auto"/>
              </w:rPr>
            </w:pPr>
          </w:p>
        </w:tc>
        <w:tc>
          <w:tcPr>
            <w:tcW w:w="520" w:type="dxa"/>
            <w:vAlign w:val="bottom"/>
            <w:shd w:val="clear" w:color="auto" w:fill="E5E5E5"/>
          </w:tcPr>
          <w:p>
            <w:pPr>
              <w:spacing w:after="0" w:line="20" w:lineRule="exact"/>
              <w:rPr>
                <w:sz w:val="1"/>
                <w:szCs w:val="1"/>
                <w:color w:val="auto"/>
              </w:rPr>
            </w:pPr>
          </w:p>
        </w:tc>
        <w:tc>
          <w:tcPr>
            <w:tcW w:w="100" w:type="dxa"/>
            <w:vAlign w:val="bottom"/>
            <w:shd w:val="clear" w:color="auto" w:fill="E5E5E5"/>
          </w:tcPr>
          <w:p>
            <w:pPr>
              <w:spacing w:after="0" w:line="20" w:lineRule="exact"/>
              <w:rPr>
                <w:sz w:val="1"/>
                <w:szCs w:val="1"/>
                <w:color w:val="auto"/>
              </w:rPr>
            </w:pPr>
          </w:p>
        </w:tc>
        <w:tc>
          <w:tcPr>
            <w:tcW w:w="20" w:type="dxa"/>
            <w:vAlign w:val="bottom"/>
            <w:shd w:val="clear" w:color="auto" w:fill="E5E5E5"/>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120" w:type="dxa"/>
            <w:vAlign w:val="bottom"/>
            <w:shd w:val="clear" w:color="auto" w:fill="E5E5E5"/>
          </w:tcPr>
          <w:p>
            <w:pPr>
              <w:spacing w:after="0" w:line="20" w:lineRule="exact"/>
              <w:rPr>
                <w:sz w:val="1"/>
                <w:szCs w:val="1"/>
                <w:color w:val="auto"/>
              </w:rPr>
            </w:pPr>
          </w:p>
        </w:tc>
        <w:tc>
          <w:tcPr>
            <w:tcW w:w="80" w:type="dxa"/>
            <w:vAlign w:val="bottom"/>
            <w:gridSpan w:val="2"/>
            <w:shd w:val="clear" w:color="auto" w:fill="E5E5E5"/>
          </w:tcPr>
          <w:p>
            <w:pPr>
              <w:spacing w:after="0" w:line="20" w:lineRule="exact"/>
              <w:rPr>
                <w:sz w:val="1"/>
                <w:szCs w:val="1"/>
                <w:color w:val="auto"/>
              </w:rPr>
            </w:pPr>
          </w:p>
        </w:tc>
        <w:tc>
          <w:tcPr>
            <w:tcW w:w="220" w:type="dxa"/>
            <w:vAlign w:val="bottom"/>
            <w:gridSpan w:val="2"/>
            <w:shd w:val="clear" w:color="auto" w:fill="E5E5E5"/>
          </w:tcPr>
          <w:p>
            <w:pPr>
              <w:spacing w:after="0" w:line="20" w:lineRule="exact"/>
              <w:rPr>
                <w:sz w:val="1"/>
                <w:szCs w:val="1"/>
                <w:color w:val="auto"/>
              </w:rPr>
            </w:pPr>
          </w:p>
        </w:tc>
        <w:tc>
          <w:tcPr>
            <w:tcW w:w="80" w:type="dxa"/>
            <w:vAlign w:val="bottom"/>
            <w:shd w:val="clear" w:color="auto" w:fill="E5E5E5"/>
          </w:tcPr>
          <w:p>
            <w:pPr>
              <w:spacing w:after="0" w:line="20" w:lineRule="exact"/>
              <w:rPr>
                <w:sz w:val="1"/>
                <w:szCs w:val="1"/>
                <w:color w:val="auto"/>
              </w:rPr>
            </w:pPr>
          </w:p>
        </w:tc>
        <w:tc>
          <w:tcPr>
            <w:tcW w:w="160" w:type="dxa"/>
            <w:vAlign w:val="bottom"/>
            <w:shd w:val="clear" w:color="auto" w:fill="E5E5E5"/>
          </w:tcPr>
          <w:p>
            <w:pPr>
              <w:spacing w:after="0" w:line="20" w:lineRule="exact"/>
              <w:rPr>
                <w:sz w:val="1"/>
                <w:szCs w:val="1"/>
                <w:color w:val="auto"/>
              </w:rPr>
            </w:pPr>
          </w:p>
        </w:tc>
        <w:tc>
          <w:tcPr>
            <w:tcW w:w="40" w:type="dxa"/>
            <w:vAlign w:val="bottom"/>
            <w:shd w:val="clear" w:color="auto" w:fill="E5E5E5"/>
          </w:tcPr>
          <w:p>
            <w:pPr>
              <w:spacing w:after="0" w:line="20" w:lineRule="exact"/>
              <w:rPr>
                <w:sz w:val="1"/>
                <w:szCs w:val="1"/>
                <w:color w:val="auto"/>
              </w:rPr>
            </w:pPr>
          </w:p>
        </w:tc>
        <w:tc>
          <w:tcPr>
            <w:tcW w:w="200" w:type="dxa"/>
            <w:vAlign w:val="bottom"/>
            <w:vMerge w:val="restart"/>
            <w:shd w:val="clear" w:color="auto" w:fill="E5E5E5"/>
          </w:tcPr>
          <w:p>
            <w:pPr>
              <w:jc w:val="right"/>
              <w:spacing w:after="0" w:line="160" w:lineRule="exact"/>
              <w:rPr>
                <w:sz w:val="20"/>
                <w:szCs w:val="20"/>
                <w:color w:val="auto"/>
              </w:rPr>
            </w:pPr>
            <w:r>
              <w:rPr>
                <w:rFonts w:ascii="Arial" w:cs="Arial" w:eastAsia="Arial" w:hAnsi="Arial"/>
                <w:sz w:val="15"/>
                <w:szCs w:val="15"/>
                <w:color w:val="auto"/>
              </w:rPr>
              <w:t>33</w:t>
            </w:r>
          </w:p>
        </w:tc>
        <w:tc>
          <w:tcPr>
            <w:tcW w:w="10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80" w:type="dxa"/>
            <w:vAlign w:val="bottom"/>
            <w:tcBorders>
              <w:right w:val="single" w:sz="8" w:color="E5E5E5"/>
            </w:tcBorders>
          </w:tcPr>
          <w:p>
            <w:pPr>
              <w:spacing w:after="0"/>
              <w:rPr>
                <w:sz w:val="12"/>
                <w:szCs w:val="12"/>
                <w:color w:val="auto"/>
              </w:rPr>
            </w:pPr>
          </w:p>
        </w:tc>
        <w:tc>
          <w:tcPr>
            <w:tcW w:w="100" w:type="dxa"/>
            <w:vAlign w:val="bottom"/>
            <w:tcBorders>
              <w:bottom w:val="single" w:sz="8" w:color="E5E5E5"/>
            </w:tcBorders>
            <w:shd w:val="clear" w:color="auto" w:fill="E5E5E5"/>
          </w:tcPr>
          <w:p>
            <w:pPr>
              <w:spacing w:after="0"/>
              <w:rPr>
                <w:sz w:val="12"/>
                <w:szCs w:val="12"/>
                <w:color w:val="auto"/>
              </w:rPr>
            </w:pPr>
          </w:p>
        </w:tc>
        <w:tc>
          <w:tcPr>
            <w:tcW w:w="140" w:type="dxa"/>
            <w:vAlign w:val="bottom"/>
            <w:tcBorders>
              <w:bottom w:val="single" w:sz="8" w:color="E5E5E5"/>
            </w:tcBorders>
            <w:shd w:val="clear" w:color="auto" w:fill="E5E5E5"/>
          </w:tcPr>
          <w:p>
            <w:pPr>
              <w:spacing w:after="0"/>
              <w:rPr>
                <w:sz w:val="12"/>
                <w:szCs w:val="12"/>
                <w:color w:val="auto"/>
              </w:rPr>
            </w:pPr>
          </w:p>
        </w:tc>
        <w:tc>
          <w:tcPr>
            <w:tcW w:w="140" w:type="dxa"/>
            <w:vAlign w:val="bottom"/>
            <w:tcBorders>
              <w:bottom w:val="single" w:sz="8" w:color="0000EE"/>
            </w:tcBorders>
            <w:vMerge w:val="continue"/>
            <w:shd w:val="clear" w:color="auto" w:fill="E5E5E5"/>
          </w:tcPr>
          <w:p>
            <w:pPr>
              <w:spacing w:after="0"/>
              <w:rPr>
                <w:sz w:val="12"/>
                <w:szCs w:val="12"/>
                <w:color w:val="auto"/>
              </w:rPr>
            </w:pPr>
          </w:p>
        </w:tc>
        <w:tc>
          <w:tcPr>
            <w:tcW w:w="1320" w:type="dxa"/>
            <w:vAlign w:val="bottom"/>
            <w:tcBorders>
              <w:bottom w:val="single" w:sz="8" w:color="0000EE"/>
            </w:tcBorders>
            <w:gridSpan w:val="10"/>
            <w:shd w:val="clear" w:color="auto" w:fill="E5E5E5"/>
          </w:tcPr>
          <w:p>
            <w:pPr>
              <w:spacing w:after="0" w:line="140" w:lineRule="exact"/>
              <w:rPr>
                <w:rFonts w:ascii="Arial" w:cs="Arial" w:eastAsia="Arial" w:hAnsi="Arial"/>
                <w:sz w:val="15"/>
                <w:szCs w:val="15"/>
                <w:color w:val="0000EE"/>
                <w:w w:val="89"/>
              </w:rPr>
            </w:pPr>
            <w:hyperlink w:anchor="page45">
              <w:r>
                <w:rPr>
                  <w:rFonts w:ascii="Arial" w:cs="Arial" w:eastAsia="Arial" w:hAnsi="Arial"/>
                  <w:sz w:val="15"/>
                  <w:szCs w:val="15"/>
                  <w:color w:val="0000EE"/>
                  <w:w w:val="89"/>
                </w:rPr>
                <w:t>Additional Information</w:t>
              </w:r>
            </w:hyperlink>
          </w:p>
        </w:tc>
        <w:tc>
          <w:tcPr>
            <w:tcW w:w="3040" w:type="dxa"/>
            <w:vAlign w:val="bottom"/>
            <w:tcBorders>
              <w:bottom w:val="single" w:sz="8" w:color="E5E5E5"/>
            </w:tcBorders>
            <w:gridSpan w:val="26"/>
            <w:shd w:val="clear" w:color="auto" w:fill="E5E5E5"/>
          </w:tcPr>
          <w:p>
            <w:pPr>
              <w:spacing w:after="0"/>
              <w:rPr>
                <w:sz w:val="12"/>
                <w:szCs w:val="12"/>
                <w:color w:val="auto"/>
              </w:rPr>
            </w:pPr>
          </w:p>
        </w:tc>
        <w:tc>
          <w:tcPr>
            <w:tcW w:w="160" w:type="dxa"/>
            <w:vAlign w:val="bottom"/>
            <w:tcBorders>
              <w:bottom w:val="single" w:sz="8" w:color="E5E5E5"/>
            </w:tcBorders>
            <w:shd w:val="clear" w:color="auto" w:fill="E5E5E5"/>
          </w:tcPr>
          <w:p>
            <w:pPr>
              <w:spacing w:after="0"/>
              <w:rPr>
                <w:sz w:val="12"/>
                <w:szCs w:val="12"/>
                <w:color w:val="auto"/>
              </w:rPr>
            </w:pPr>
          </w:p>
        </w:tc>
        <w:tc>
          <w:tcPr>
            <w:tcW w:w="40" w:type="dxa"/>
            <w:vAlign w:val="bottom"/>
            <w:tcBorders>
              <w:bottom w:val="single" w:sz="8" w:color="E5E5E5"/>
            </w:tcBorders>
            <w:shd w:val="clear" w:color="auto" w:fill="E5E5E5"/>
          </w:tcPr>
          <w:p>
            <w:pPr>
              <w:spacing w:after="0"/>
              <w:rPr>
                <w:sz w:val="12"/>
                <w:szCs w:val="12"/>
                <w:color w:val="auto"/>
              </w:rPr>
            </w:pPr>
          </w:p>
        </w:tc>
        <w:tc>
          <w:tcPr>
            <w:tcW w:w="200" w:type="dxa"/>
            <w:vAlign w:val="bottom"/>
            <w:tcBorders>
              <w:bottom w:val="single" w:sz="8" w:color="E5E5E5"/>
            </w:tcBorders>
            <w:vMerge w:val="continue"/>
            <w:shd w:val="clear" w:color="auto" w:fill="E5E5E5"/>
          </w:tcPr>
          <w:p>
            <w:pPr>
              <w:spacing w:after="0"/>
              <w:rPr>
                <w:sz w:val="12"/>
                <w:szCs w:val="12"/>
                <w:color w:val="auto"/>
              </w:rPr>
            </w:pPr>
          </w:p>
        </w:tc>
        <w:tc>
          <w:tcPr>
            <w:tcW w:w="100" w:type="dxa"/>
            <w:vAlign w:val="bottom"/>
            <w:tcBorders>
              <w:bottom w:val="single" w:sz="8" w:color="E5E5E5"/>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 w:type="dxa"/>
            <w:vAlign w:val="bottom"/>
            <w:tcBorders>
              <w:right w:val="single" w:sz="8" w:color="E5E5E5"/>
            </w:tcBorders>
          </w:tcPr>
          <w:p>
            <w:pPr>
              <w:spacing w:after="0"/>
              <w:rPr>
                <w:sz w:val="12"/>
                <w:szCs w:val="12"/>
                <w:color w:val="auto"/>
              </w:rPr>
            </w:pPr>
          </w:p>
        </w:tc>
        <w:tc>
          <w:tcPr>
            <w:tcW w:w="100" w:type="dxa"/>
            <w:vAlign w:val="bottom"/>
            <w:tcBorders>
              <w:bottom w:val="single" w:sz="8" w:color="E5E5E5"/>
            </w:tcBorders>
            <w:shd w:val="clear" w:color="auto" w:fill="E5E5E5"/>
          </w:tcPr>
          <w:p>
            <w:pPr>
              <w:spacing w:after="0"/>
              <w:rPr>
                <w:sz w:val="12"/>
                <w:szCs w:val="12"/>
                <w:color w:val="auto"/>
              </w:rPr>
            </w:pPr>
          </w:p>
        </w:tc>
        <w:tc>
          <w:tcPr>
            <w:tcW w:w="140" w:type="dxa"/>
            <w:vAlign w:val="bottom"/>
            <w:tcBorders>
              <w:bottom w:val="single" w:sz="8" w:color="E5E5E5"/>
            </w:tcBorders>
            <w:shd w:val="clear" w:color="auto" w:fill="E5E5E5"/>
          </w:tcPr>
          <w:p>
            <w:pPr>
              <w:spacing w:after="0"/>
              <w:rPr>
                <w:sz w:val="12"/>
                <w:szCs w:val="12"/>
                <w:color w:val="auto"/>
              </w:rPr>
            </w:pPr>
          </w:p>
        </w:tc>
        <w:tc>
          <w:tcPr>
            <w:tcW w:w="2240" w:type="dxa"/>
            <w:vAlign w:val="bottom"/>
            <w:tcBorders>
              <w:bottom w:val="single" w:sz="8" w:color="0000EE"/>
            </w:tcBorders>
            <w:gridSpan w:val="20"/>
            <w:shd w:val="clear" w:color="auto" w:fill="E5E5E5"/>
          </w:tcPr>
          <w:p>
            <w:pPr>
              <w:spacing w:after="0" w:line="140" w:lineRule="exact"/>
              <w:rPr>
                <w:rFonts w:ascii="Arial" w:cs="Arial" w:eastAsia="Arial" w:hAnsi="Arial"/>
                <w:sz w:val="15"/>
                <w:szCs w:val="15"/>
                <w:color w:val="0000EE"/>
                <w:w w:val="99"/>
              </w:rPr>
            </w:pPr>
            <w:hyperlink w:anchor="page48">
              <w:r>
                <w:rPr>
                  <w:rFonts w:ascii="Arial" w:cs="Arial" w:eastAsia="Arial" w:hAnsi="Arial"/>
                  <w:sz w:val="15"/>
                  <w:szCs w:val="15"/>
                  <w:color w:val="0000EE"/>
                  <w:w w:val="99"/>
                </w:rPr>
                <w:t>Compensation Committee Report</w:t>
              </w:r>
            </w:hyperlink>
          </w:p>
        </w:tc>
        <w:tc>
          <w:tcPr>
            <w:tcW w:w="2260" w:type="dxa"/>
            <w:vAlign w:val="bottom"/>
            <w:tcBorders>
              <w:bottom w:val="single" w:sz="8" w:color="E5E5E5"/>
            </w:tcBorders>
            <w:gridSpan w:val="17"/>
            <w:shd w:val="clear" w:color="auto" w:fill="E5E5E5"/>
          </w:tcPr>
          <w:p>
            <w:pPr>
              <w:spacing w:after="0"/>
              <w:rPr>
                <w:sz w:val="12"/>
                <w:szCs w:val="12"/>
                <w:color w:val="auto"/>
              </w:rPr>
            </w:pPr>
          </w:p>
        </w:tc>
        <w:tc>
          <w:tcPr>
            <w:tcW w:w="160" w:type="dxa"/>
            <w:vAlign w:val="bottom"/>
            <w:tcBorders>
              <w:bottom w:val="single" w:sz="8" w:color="E5E5E5"/>
            </w:tcBorders>
            <w:shd w:val="clear" w:color="auto" w:fill="E5E5E5"/>
          </w:tcPr>
          <w:p>
            <w:pPr>
              <w:spacing w:after="0"/>
              <w:rPr>
                <w:sz w:val="12"/>
                <w:szCs w:val="12"/>
                <w:color w:val="auto"/>
              </w:rPr>
            </w:pPr>
          </w:p>
        </w:tc>
        <w:tc>
          <w:tcPr>
            <w:tcW w:w="40" w:type="dxa"/>
            <w:vAlign w:val="bottom"/>
            <w:tcBorders>
              <w:bottom w:val="single" w:sz="8" w:color="E5E5E5"/>
            </w:tcBorders>
            <w:shd w:val="clear" w:color="auto" w:fill="E5E5E5"/>
          </w:tcPr>
          <w:p>
            <w:pPr>
              <w:spacing w:after="0"/>
              <w:rPr>
                <w:sz w:val="12"/>
                <w:szCs w:val="12"/>
                <w:color w:val="auto"/>
              </w:rPr>
            </w:pPr>
          </w:p>
        </w:tc>
        <w:tc>
          <w:tcPr>
            <w:tcW w:w="200" w:type="dxa"/>
            <w:vAlign w:val="bottom"/>
            <w:tcBorders>
              <w:bottom w:val="single" w:sz="8" w:color="E5E5E5"/>
            </w:tcBorders>
            <w:shd w:val="clear" w:color="auto" w:fill="E5E5E5"/>
          </w:tcPr>
          <w:p>
            <w:pPr>
              <w:jc w:val="right"/>
              <w:spacing w:after="0" w:line="140" w:lineRule="exact"/>
              <w:rPr>
                <w:sz w:val="20"/>
                <w:szCs w:val="20"/>
                <w:color w:val="auto"/>
              </w:rPr>
            </w:pPr>
            <w:r>
              <w:rPr>
                <w:rFonts w:ascii="Arial" w:cs="Arial" w:eastAsia="Arial" w:hAnsi="Arial"/>
                <w:sz w:val="15"/>
                <w:szCs w:val="15"/>
                <w:color w:val="auto"/>
              </w:rPr>
              <w:t>36</w:t>
            </w:r>
          </w:p>
        </w:tc>
        <w:tc>
          <w:tcPr>
            <w:tcW w:w="100" w:type="dxa"/>
            <w:vAlign w:val="bottom"/>
            <w:tcBorders>
              <w:bottom w:val="single" w:sz="8" w:color="E5E5E5"/>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 w:type="dxa"/>
            <w:vAlign w:val="bottom"/>
            <w:tcBorders>
              <w:right w:val="single" w:sz="8" w:color="E5E5E5"/>
            </w:tcBorders>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4500" w:type="dxa"/>
            <w:vAlign w:val="bottom"/>
            <w:gridSpan w:val="37"/>
            <w:shd w:val="clear" w:color="auto" w:fill="E5E5E5"/>
          </w:tcPr>
          <w:p>
            <w:pPr>
              <w:spacing w:after="0" w:line="140" w:lineRule="exact"/>
              <w:rPr>
                <w:rFonts w:ascii="Arial" w:cs="Arial" w:eastAsia="Arial" w:hAnsi="Arial"/>
                <w:sz w:val="15"/>
                <w:szCs w:val="15"/>
                <w:color w:val="0000EE"/>
              </w:rPr>
            </w:pPr>
            <w:hyperlink w:anchor="page48">
              <w:r>
                <w:rPr>
                  <w:rFonts w:ascii="Arial" w:cs="Arial" w:eastAsia="Arial" w:hAnsi="Arial"/>
                  <w:sz w:val="15"/>
                  <w:szCs w:val="15"/>
                  <w:color w:val="0000EE"/>
                </w:rPr>
                <w:t>Compensation Committee Interlocks and Insider Participation</w:t>
              </w:r>
            </w:hyperlink>
          </w:p>
        </w:tc>
        <w:tc>
          <w:tcPr>
            <w:tcW w:w="16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200" w:type="dxa"/>
            <w:vAlign w:val="bottom"/>
            <w:shd w:val="clear" w:color="auto" w:fill="E5E5E5"/>
          </w:tcPr>
          <w:p>
            <w:pPr>
              <w:jc w:val="right"/>
              <w:spacing w:after="0" w:line="140" w:lineRule="exact"/>
              <w:rPr>
                <w:sz w:val="20"/>
                <w:szCs w:val="20"/>
                <w:color w:val="auto"/>
              </w:rPr>
            </w:pPr>
            <w:r>
              <w:rPr>
                <w:rFonts w:ascii="Arial" w:cs="Arial" w:eastAsia="Arial" w:hAnsi="Arial"/>
                <w:sz w:val="15"/>
                <w:szCs w:val="15"/>
                <w:color w:val="auto"/>
              </w:rPr>
              <w:t>36</w:t>
            </w:r>
          </w:p>
        </w:tc>
        <w:tc>
          <w:tcPr>
            <w:tcW w:w="10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 w:type="dxa"/>
            <w:vAlign w:val="bottom"/>
            <w:tcBorders>
              <w:right w:val="single" w:sz="8" w:color="E5E5E5"/>
            </w:tcBorders>
          </w:tcPr>
          <w:p>
            <w:pPr>
              <w:spacing w:after="0"/>
              <w:rPr>
                <w:sz w:val="12"/>
                <w:szCs w:val="12"/>
                <w:color w:val="auto"/>
              </w:rPr>
            </w:pPr>
          </w:p>
        </w:tc>
        <w:tc>
          <w:tcPr>
            <w:tcW w:w="100" w:type="dxa"/>
            <w:vAlign w:val="bottom"/>
            <w:tcBorders>
              <w:top w:val="single" w:sz="8" w:color="E5E5E5"/>
            </w:tcBorders>
            <w:shd w:val="clear" w:color="auto" w:fill="E5E5E5"/>
          </w:tcPr>
          <w:p>
            <w:pPr>
              <w:spacing w:after="0"/>
              <w:rPr>
                <w:sz w:val="12"/>
                <w:szCs w:val="12"/>
                <w:color w:val="auto"/>
              </w:rPr>
            </w:pPr>
          </w:p>
        </w:tc>
        <w:tc>
          <w:tcPr>
            <w:tcW w:w="140" w:type="dxa"/>
            <w:vAlign w:val="bottom"/>
            <w:tcBorders>
              <w:top w:val="single" w:sz="8" w:color="E5E5E5"/>
            </w:tcBorders>
            <w:shd w:val="clear" w:color="auto" w:fill="E5E5E5"/>
          </w:tcPr>
          <w:p>
            <w:pPr>
              <w:spacing w:after="0"/>
              <w:rPr>
                <w:sz w:val="12"/>
                <w:szCs w:val="12"/>
                <w:color w:val="auto"/>
              </w:rPr>
            </w:pPr>
          </w:p>
        </w:tc>
        <w:tc>
          <w:tcPr>
            <w:tcW w:w="4120" w:type="dxa"/>
            <w:vAlign w:val="bottom"/>
            <w:tcBorders>
              <w:top w:val="single" w:sz="8" w:color="0000EE"/>
            </w:tcBorders>
            <w:gridSpan w:val="32"/>
            <w:shd w:val="clear" w:color="auto" w:fill="E5E5E5"/>
          </w:tcPr>
          <w:p>
            <w:pPr>
              <w:spacing w:after="0" w:line="140" w:lineRule="exact"/>
              <w:rPr>
                <w:rFonts w:ascii="Arial" w:cs="Arial" w:eastAsia="Arial" w:hAnsi="Arial"/>
                <w:sz w:val="15"/>
                <w:szCs w:val="15"/>
                <w:color w:val="0000EE"/>
              </w:rPr>
            </w:pPr>
            <w:hyperlink w:anchor="page49">
              <w:r>
                <w:rPr>
                  <w:rFonts w:ascii="Arial" w:cs="Arial" w:eastAsia="Arial" w:hAnsi="Arial"/>
                  <w:sz w:val="15"/>
                  <w:szCs w:val="15"/>
                  <w:color w:val="0000EE"/>
                </w:rPr>
                <w:t>Summary Compensation Table</w:t>
              </w:r>
            </w:hyperlink>
          </w:p>
        </w:tc>
        <w:tc>
          <w:tcPr>
            <w:tcW w:w="80" w:type="dxa"/>
            <w:vAlign w:val="bottom"/>
            <w:tcBorders>
              <w:top w:val="single" w:sz="8" w:color="E5E5E5"/>
            </w:tcBorders>
            <w:gridSpan w:val="2"/>
            <w:shd w:val="clear" w:color="auto" w:fill="E5E5E5"/>
          </w:tcPr>
          <w:p>
            <w:pPr>
              <w:spacing w:after="0"/>
              <w:rPr>
                <w:sz w:val="12"/>
                <w:szCs w:val="12"/>
                <w:color w:val="auto"/>
              </w:rPr>
            </w:pPr>
          </w:p>
        </w:tc>
        <w:tc>
          <w:tcPr>
            <w:tcW w:w="220" w:type="dxa"/>
            <w:vAlign w:val="bottom"/>
            <w:tcBorders>
              <w:top w:val="single" w:sz="8" w:color="E5E5E5"/>
            </w:tcBorders>
            <w:gridSpan w:val="2"/>
            <w:shd w:val="clear" w:color="auto" w:fill="E5E5E5"/>
          </w:tcPr>
          <w:p>
            <w:pPr>
              <w:spacing w:after="0"/>
              <w:rPr>
                <w:sz w:val="12"/>
                <w:szCs w:val="12"/>
                <w:color w:val="auto"/>
              </w:rPr>
            </w:pPr>
          </w:p>
        </w:tc>
        <w:tc>
          <w:tcPr>
            <w:tcW w:w="80" w:type="dxa"/>
            <w:vAlign w:val="bottom"/>
            <w:tcBorders>
              <w:top w:val="single" w:sz="8" w:color="E5E5E5"/>
            </w:tcBorders>
            <w:shd w:val="clear" w:color="auto" w:fill="E5E5E5"/>
          </w:tcPr>
          <w:p>
            <w:pPr>
              <w:spacing w:after="0"/>
              <w:rPr>
                <w:sz w:val="12"/>
                <w:szCs w:val="12"/>
                <w:color w:val="auto"/>
              </w:rPr>
            </w:pPr>
          </w:p>
        </w:tc>
        <w:tc>
          <w:tcPr>
            <w:tcW w:w="160" w:type="dxa"/>
            <w:vAlign w:val="bottom"/>
            <w:tcBorders>
              <w:top w:val="single" w:sz="8" w:color="E5E5E5"/>
            </w:tcBorders>
            <w:shd w:val="clear" w:color="auto" w:fill="E5E5E5"/>
          </w:tcPr>
          <w:p>
            <w:pPr>
              <w:spacing w:after="0"/>
              <w:rPr>
                <w:sz w:val="12"/>
                <w:szCs w:val="12"/>
                <w:color w:val="auto"/>
              </w:rPr>
            </w:pPr>
          </w:p>
        </w:tc>
        <w:tc>
          <w:tcPr>
            <w:tcW w:w="40" w:type="dxa"/>
            <w:vAlign w:val="bottom"/>
            <w:tcBorders>
              <w:top w:val="single" w:sz="8" w:color="E5E5E5"/>
            </w:tcBorders>
            <w:shd w:val="clear" w:color="auto" w:fill="E5E5E5"/>
          </w:tcPr>
          <w:p>
            <w:pPr>
              <w:spacing w:after="0"/>
              <w:rPr>
                <w:sz w:val="12"/>
                <w:szCs w:val="12"/>
                <w:color w:val="auto"/>
              </w:rPr>
            </w:pPr>
          </w:p>
        </w:tc>
        <w:tc>
          <w:tcPr>
            <w:tcW w:w="200" w:type="dxa"/>
            <w:vAlign w:val="bottom"/>
            <w:tcBorders>
              <w:top w:val="single" w:sz="8" w:color="E5E5E5"/>
            </w:tcBorders>
            <w:shd w:val="clear" w:color="auto" w:fill="E5E5E5"/>
          </w:tcPr>
          <w:p>
            <w:pPr>
              <w:jc w:val="right"/>
              <w:spacing w:after="0" w:line="140" w:lineRule="exact"/>
              <w:rPr>
                <w:sz w:val="20"/>
                <w:szCs w:val="20"/>
                <w:color w:val="auto"/>
              </w:rPr>
            </w:pPr>
            <w:r>
              <w:rPr>
                <w:rFonts w:ascii="Arial" w:cs="Arial" w:eastAsia="Arial" w:hAnsi="Arial"/>
                <w:sz w:val="15"/>
                <w:szCs w:val="15"/>
                <w:color w:val="auto"/>
              </w:rPr>
              <w:t>37</w:t>
            </w:r>
          </w:p>
        </w:tc>
        <w:tc>
          <w:tcPr>
            <w:tcW w:w="100" w:type="dxa"/>
            <w:vAlign w:val="bottom"/>
            <w:tcBorders>
              <w:top w:val="single" w:sz="8" w:color="E5E5E5"/>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 w:type="dxa"/>
            <w:vAlign w:val="bottom"/>
            <w:tcBorders>
              <w:right w:val="single" w:sz="8" w:color="E5E5E5"/>
            </w:tcBorders>
          </w:tcPr>
          <w:p>
            <w:pPr>
              <w:spacing w:after="0"/>
              <w:rPr>
                <w:sz w:val="12"/>
                <w:szCs w:val="12"/>
                <w:color w:val="auto"/>
              </w:rPr>
            </w:pPr>
          </w:p>
        </w:tc>
        <w:tc>
          <w:tcPr>
            <w:tcW w:w="100" w:type="dxa"/>
            <w:vAlign w:val="bottom"/>
            <w:tcBorders>
              <w:top w:val="single" w:sz="8" w:color="E5E5E5"/>
            </w:tcBorders>
            <w:shd w:val="clear" w:color="auto" w:fill="E5E5E5"/>
          </w:tcPr>
          <w:p>
            <w:pPr>
              <w:spacing w:after="0"/>
              <w:rPr>
                <w:sz w:val="12"/>
                <w:szCs w:val="12"/>
                <w:color w:val="auto"/>
              </w:rPr>
            </w:pPr>
          </w:p>
        </w:tc>
        <w:tc>
          <w:tcPr>
            <w:tcW w:w="140" w:type="dxa"/>
            <w:vAlign w:val="bottom"/>
            <w:tcBorders>
              <w:top w:val="single" w:sz="8" w:color="E5E5E5"/>
            </w:tcBorders>
            <w:shd w:val="clear" w:color="auto" w:fill="E5E5E5"/>
          </w:tcPr>
          <w:p>
            <w:pPr>
              <w:spacing w:after="0"/>
              <w:rPr>
                <w:sz w:val="12"/>
                <w:szCs w:val="12"/>
                <w:color w:val="auto"/>
              </w:rPr>
            </w:pPr>
          </w:p>
        </w:tc>
        <w:tc>
          <w:tcPr>
            <w:tcW w:w="2060" w:type="dxa"/>
            <w:vAlign w:val="bottom"/>
            <w:tcBorders>
              <w:top w:val="single" w:sz="8" w:color="0000EE"/>
            </w:tcBorders>
            <w:gridSpan w:val="16"/>
            <w:shd w:val="clear" w:color="auto" w:fill="E5E5E5"/>
          </w:tcPr>
          <w:p>
            <w:pPr>
              <w:spacing w:after="0" w:line="140" w:lineRule="exact"/>
              <w:rPr>
                <w:rFonts w:ascii="Arial" w:cs="Arial" w:eastAsia="Arial" w:hAnsi="Arial"/>
                <w:sz w:val="15"/>
                <w:szCs w:val="15"/>
                <w:color w:val="0000EE"/>
              </w:rPr>
            </w:pPr>
            <w:hyperlink w:anchor="page50">
              <w:r>
                <w:rPr>
                  <w:rFonts w:ascii="Arial" w:cs="Arial" w:eastAsia="Arial" w:hAnsi="Arial"/>
                  <w:sz w:val="15"/>
                  <w:szCs w:val="15"/>
                  <w:color w:val="0000EE"/>
                </w:rPr>
                <w:t>Grants of Plan-Based Awards</w:t>
              </w:r>
            </w:hyperlink>
          </w:p>
        </w:tc>
        <w:tc>
          <w:tcPr>
            <w:tcW w:w="20" w:type="dxa"/>
            <w:vAlign w:val="bottom"/>
            <w:tcBorders>
              <w:top w:val="single" w:sz="8" w:color="E5E5E5"/>
            </w:tcBorders>
            <w:shd w:val="clear" w:color="auto" w:fill="E5E5E5"/>
          </w:tcPr>
          <w:p>
            <w:pPr>
              <w:spacing w:after="0"/>
              <w:rPr>
                <w:sz w:val="12"/>
                <w:szCs w:val="12"/>
                <w:color w:val="auto"/>
              </w:rPr>
            </w:pPr>
          </w:p>
        </w:tc>
        <w:tc>
          <w:tcPr>
            <w:tcW w:w="280" w:type="dxa"/>
            <w:vAlign w:val="bottom"/>
            <w:tcBorders>
              <w:top w:val="single" w:sz="8" w:color="E5E5E5"/>
            </w:tcBorders>
            <w:gridSpan w:val="4"/>
            <w:shd w:val="clear" w:color="auto" w:fill="E5E5E5"/>
          </w:tcPr>
          <w:p>
            <w:pPr>
              <w:spacing w:after="0"/>
              <w:rPr>
                <w:sz w:val="12"/>
                <w:szCs w:val="12"/>
                <w:color w:val="auto"/>
              </w:rPr>
            </w:pPr>
          </w:p>
        </w:tc>
        <w:tc>
          <w:tcPr>
            <w:tcW w:w="120" w:type="dxa"/>
            <w:vAlign w:val="bottom"/>
            <w:tcBorders>
              <w:top w:val="single" w:sz="8" w:color="E5E5E5"/>
            </w:tcBorders>
            <w:gridSpan w:val="2"/>
            <w:shd w:val="clear" w:color="auto" w:fill="E5E5E5"/>
          </w:tcPr>
          <w:p>
            <w:pPr>
              <w:spacing w:after="0"/>
              <w:rPr>
                <w:sz w:val="12"/>
                <w:szCs w:val="12"/>
                <w:color w:val="auto"/>
              </w:rPr>
            </w:pPr>
          </w:p>
        </w:tc>
        <w:tc>
          <w:tcPr>
            <w:tcW w:w="200" w:type="dxa"/>
            <w:vAlign w:val="bottom"/>
            <w:tcBorders>
              <w:top w:val="single" w:sz="8" w:color="E5E5E5"/>
            </w:tcBorders>
            <w:shd w:val="clear" w:color="auto" w:fill="E5E5E5"/>
          </w:tcPr>
          <w:p>
            <w:pPr>
              <w:spacing w:after="0"/>
              <w:rPr>
                <w:sz w:val="12"/>
                <w:szCs w:val="12"/>
                <w:color w:val="auto"/>
              </w:rPr>
            </w:pPr>
          </w:p>
        </w:tc>
        <w:tc>
          <w:tcPr>
            <w:tcW w:w="400" w:type="dxa"/>
            <w:vAlign w:val="bottom"/>
            <w:tcBorders>
              <w:top w:val="single" w:sz="8" w:color="E5E5E5"/>
            </w:tcBorders>
            <w:gridSpan w:val="2"/>
            <w:shd w:val="clear" w:color="auto" w:fill="E5E5E5"/>
          </w:tcPr>
          <w:p>
            <w:pPr>
              <w:spacing w:after="0"/>
              <w:rPr>
                <w:sz w:val="12"/>
                <w:szCs w:val="12"/>
                <w:color w:val="auto"/>
              </w:rPr>
            </w:pPr>
          </w:p>
        </w:tc>
        <w:tc>
          <w:tcPr>
            <w:tcW w:w="60" w:type="dxa"/>
            <w:vAlign w:val="bottom"/>
            <w:tcBorders>
              <w:top w:val="single" w:sz="8" w:color="E5E5E5"/>
            </w:tcBorders>
            <w:shd w:val="clear" w:color="auto" w:fill="E5E5E5"/>
          </w:tcPr>
          <w:p>
            <w:pPr>
              <w:spacing w:after="0"/>
              <w:rPr>
                <w:sz w:val="12"/>
                <w:szCs w:val="12"/>
                <w:color w:val="auto"/>
              </w:rPr>
            </w:pPr>
          </w:p>
        </w:tc>
        <w:tc>
          <w:tcPr>
            <w:tcW w:w="520" w:type="dxa"/>
            <w:vAlign w:val="bottom"/>
            <w:tcBorders>
              <w:top w:val="single" w:sz="8" w:color="E5E5E5"/>
            </w:tcBorders>
            <w:shd w:val="clear" w:color="auto" w:fill="E5E5E5"/>
          </w:tcPr>
          <w:p>
            <w:pPr>
              <w:spacing w:after="0"/>
              <w:rPr>
                <w:sz w:val="12"/>
                <w:szCs w:val="12"/>
                <w:color w:val="auto"/>
              </w:rPr>
            </w:pPr>
          </w:p>
        </w:tc>
        <w:tc>
          <w:tcPr>
            <w:tcW w:w="100" w:type="dxa"/>
            <w:vAlign w:val="bottom"/>
            <w:tcBorders>
              <w:top w:val="single" w:sz="8" w:color="E5E5E5"/>
            </w:tcBorders>
            <w:shd w:val="clear" w:color="auto" w:fill="E5E5E5"/>
          </w:tcPr>
          <w:p>
            <w:pPr>
              <w:spacing w:after="0"/>
              <w:rPr>
                <w:sz w:val="12"/>
                <w:szCs w:val="12"/>
                <w:color w:val="auto"/>
              </w:rPr>
            </w:pPr>
          </w:p>
        </w:tc>
        <w:tc>
          <w:tcPr>
            <w:tcW w:w="20" w:type="dxa"/>
            <w:vAlign w:val="bottom"/>
            <w:tcBorders>
              <w:top w:val="single" w:sz="8" w:color="E5E5E5"/>
            </w:tcBorders>
            <w:shd w:val="clear" w:color="auto" w:fill="E5E5E5"/>
          </w:tcPr>
          <w:p>
            <w:pPr>
              <w:spacing w:after="0"/>
              <w:rPr>
                <w:sz w:val="12"/>
                <w:szCs w:val="12"/>
                <w:color w:val="auto"/>
              </w:rPr>
            </w:pPr>
          </w:p>
        </w:tc>
        <w:tc>
          <w:tcPr>
            <w:tcW w:w="220" w:type="dxa"/>
            <w:vAlign w:val="bottom"/>
            <w:tcBorders>
              <w:top w:val="single" w:sz="8" w:color="E5E5E5"/>
            </w:tcBorders>
            <w:shd w:val="clear" w:color="auto" w:fill="E5E5E5"/>
          </w:tcPr>
          <w:p>
            <w:pPr>
              <w:spacing w:after="0"/>
              <w:rPr>
                <w:sz w:val="12"/>
                <w:szCs w:val="12"/>
                <w:color w:val="auto"/>
              </w:rPr>
            </w:pPr>
          </w:p>
        </w:tc>
        <w:tc>
          <w:tcPr>
            <w:tcW w:w="200" w:type="dxa"/>
            <w:vAlign w:val="bottom"/>
            <w:tcBorders>
              <w:top w:val="single" w:sz="8" w:color="E5E5E5"/>
            </w:tcBorders>
            <w:gridSpan w:val="3"/>
            <w:shd w:val="clear" w:color="auto" w:fill="E5E5E5"/>
          </w:tcPr>
          <w:p>
            <w:pPr>
              <w:spacing w:after="0"/>
              <w:rPr>
                <w:sz w:val="12"/>
                <w:szCs w:val="12"/>
                <w:color w:val="auto"/>
              </w:rPr>
            </w:pPr>
          </w:p>
        </w:tc>
        <w:tc>
          <w:tcPr>
            <w:tcW w:w="220" w:type="dxa"/>
            <w:vAlign w:val="bottom"/>
            <w:tcBorders>
              <w:top w:val="single" w:sz="8" w:color="E5E5E5"/>
            </w:tcBorders>
            <w:gridSpan w:val="2"/>
            <w:shd w:val="clear" w:color="auto" w:fill="E5E5E5"/>
          </w:tcPr>
          <w:p>
            <w:pPr>
              <w:spacing w:after="0"/>
              <w:rPr>
                <w:sz w:val="12"/>
                <w:szCs w:val="12"/>
                <w:color w:val="auto"/>
              </w:rPr>
            </w:pPr>
          </w:p>
        </w:tc>
        <w:tc>
          <w:tcPr>
            <w:tcW w:w="80" w:type="dxa"/>
            <w:vAlign w:val="bottom"/>
            <w:tcBorders>
              <w:top w:val="single" w:sz="8" w:color="E5E5E5"/>
            </w:tcBorders>
            <w:shd w:val="clear" w:color="auto" w:fill="E5E5E5"/>
          </w:tcPr>
          <w:p>
            <w:pPr>
              <w:spacing w:after="0"/>
              <w:rPr>
                <w:sz w:val="12"/>
                <w:szCs w:val="12"/>
                <w:color w:val="auto"/>
              </w:rPr>
            </w:pPr>
          </w:p>
        </w:tc>
        <w:tc>
          <w:tcPr>
            <w:tcW w:w="160" w:type="dxa"/>
            <w:vAlign w:val="bottom"/>
            <w:tcBorders>
              <w:top w:val="single" w:sz="8" w:color="E5E5E5"/>
            </w:tcBorders>
            <w:shd w:val="clear" w:color="auto" w:fill="E5E5E5"/>
          </w:tcPr>
          <w:p>
            <w:pPr>
              <w:spacing w:after="0"/>
              <w:rPr>
                <w:sz w:val="12"/>
                <w:szCs w:val="12"/>
                <w:color w:val="auto"/>
              </w:rPr>
            </w:pPr>
          </w:p>
        </w:tc>
        <w:tc>
          <w:tcPr>
            <w:tcW w:w="40" w:type="dxa"/>
            <w:vAlign w:val="bottom"/>
            <w:tcBorders>
              <w:top w:val="single" w:sz="8" w:color="E5E5E5"/>
            </w:tcBorders>
            <w:shd w:val="clear" w:color="auto" w:fill="E5E5E5"/>
          </w:tcPr>
          <w:p>
            <w:pPr>
              <w:spacing w:after="0"/>
              <w:rPr>
                <w:sz w:val="12"/>
                <w:szCs w:val="12"/>
                <w:color w:val="auto"/>
              </w:rPr>
            </w:pPr>
          </w:p>
        </w:tc>
        <w:tc>
          <w:tcPr>
            <w:tcW w:w="200" w:type="dxa"/>
            <w:vAlign w:val="bottom"/>
            <w:tcBorders>
              <w:top w:val="single" w:sz="8" w:color="E5E5E5"/>
            </w:tcBorders>
            <w:shd w:val="clear" w:color="auto" w:fill="E5E5E5"/>
          </w:tcPr>
          <w:p>
            <w:pPr>
              <w:jc w:val="right"/>
              <w:spacing w:after="0" w:line="140" w:lineRule="exact"/>
              <w:rPr>
                <w:sz w:val="20"/>
                <w:szCs w:val="20"/>
                <w:color w:val="auto"/>
              </w:rPr>
            </w:pPr>
            <w:r>
              <w:rPr>
                <w:rFonts w:ascii="Arial" w:cs="Arial" w:eastAsia="Arial" w:hAnsi="Arial"/>
                <w:sz w:val="15"/>
                <w:szCs w:val="15"/>
                <w:color w:val="auto"/>
              </w:rPr>
              <w:t>38</w:t>
            </w:r>
          </w:p>
        </w:tc>
        <w:tc>
          <w:tcPr>
            <w:tcW w:w="100" w:type="dxa"/>
            <w:vAlign w:val="bottom"/>
            <w:tcBorders>
              <w:top w:val="single" w:sz="8" w:color="E5E5E5"/>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 w:type="dxa"/>
            <w:vAlign w:val="bottom"/>
            <w:tcBorders>
              <w:right w:val="single" w:sz="8" w:color="E5E5E5"/>
            </w:tcBorders>
          </w:tcPr>
          <w:p>
            <w:pPr>
              <w:spacing w:after="0"/>
              <w:rPr>
                <w:sz w:val="12"/>
                <w:szCs w:val="12"/>
                <w:color w:val="auto"/>
              </w:rPr>
            </w:pPr>
          </w:p>
        </w:tc>
        <w:tc>
          <w:tcPr>
            <w:tcW w:w="100" w:type="dxa"/>
            <w:vAlign w:val="bottom"/>
            <w:tcBorders>
              <w:top w:val="single" w:sz="8" w:color="E5E5E5"/>
            </w:tcBorders>
            <w:shd w:val="clear" w:color="auto" w:fill="E5E5E5"/>
          </w:tcPr>
          <w:p>
            <w:pPr>
              <w:spacing w:after="0"/>
              <w:rPr>
                <w:sz w:val="12"/>
                <w:szCs w:val="12"/>
                <w:color w:val="auto"/>
              </w:rPr>
            </w:pPr>
          </w:p>
        </w:tc>
        <w:tc>
          <w:tcPr>
            <w:tcW w:w="140" w:type="dxa"/>
            <w:vAlign w:val="bottom"/>
            <w:tcBorders>
              <w:top w:val="single" w:sz="8" w:color="E5E5E5"/>
            </w:tcBorders>
            <w:shd w:val="clear" w:color="auto" w:fill="E5E5E5"/>
          </w:tcPr>
          <w:p>
            <w:pPr>
              <w:spacing w:after="0"/>
              <w:rPr>
                <w:sz w:val="12"/>
                <w:szCs w:val="12"/>
                <w:color w:val="auto"/>
              </w:rPr>
            </w:pPr>
          </w:p>
        </w:tc>
        <w:tc>
          <w:tcPr>
            <w:tcW w:w="1980" w:type="dxa"/>
            <w:vAlign w:val="bottom"/>
            <w:tcBorders>
              <w:top w:val="single" w:sz="8" w:color="0000EE"/>
            </w:tcBorders>
            <w:gridSpan w:val="15"/>
            <w:shd w:val="clear" w:color="auto" w:fill="E5E5E5"/>
          </w:tcPr>
          <w:p>
            <w:pPr>
              <w:spacing w:after="0" w:line="140" w:lineRule="exact"/>
              <w:rPr>
                <w:rFonts w:ascii="Arial" w:cs="Arial" w:eastAsia="Arial" w:hAnsi="Arial"/>
                <w:sz w:val="15"/>
                <w:szCs w:val="15"/>
                <w:color w:val="0000EE"/>
                <w:w w:val="99"/>
              </w:rPr>
            </w:pPr>
            <w:hyperlink w:anchor="page51">
              <w:r>
                <w:rPr>
                  <w:rFonts w:ascii="Arial" w:cs="Arial" w:eastAsia="Arial" w:hAnsi="Arial"/>
                  <w:sz w:val="15"/>
                  <w:szCs w:val="15"/>
                  <w:color w:val="0000EE"/>
                  <w:w w:val="99"/>
                </w:rPr>
                <w:t>Outstanding Equity Awards at</w:t>
              </w:r>
            </w:hyperlink>
          </w:p>
        </w:tc>
        <w:tc>
          <w:tcPr>
            <w:tcW w:w="2520" w:type="dxa"/>
            <w:vAlign w:val="bottom"/>
            <w:tcBorders>
              <w:top w:val="single" w:sz="8" w:color="E5E5E5"/>
            </w:tcBorders>
            <w:gridSpan w:val="22"/>
            <w:shd w:val="clear" w:color="auto" w:fill="E5E5E5"/>
          </w:tcPr>
          <w:p>
            <w:pPr>
              <w:ind w:left="40"/>
              <w:spacing w:after="0" w:line="140" w:lineRule="exact"/>
              <w:rPr>
                <w:rFonts w:ascii="Arial" w:cs="Arial" w:eastAsia="Arial" w:hAnsi="Arial"/>
                <w:sz w:val="15"/>
                <w:szCs w:val="15"/>
                <w:color w:val="0000EE"/>
              </w:rPr>
            </w:pPr>
            <w:hyperlink w:anchor="page51">
              <w:r>
                <w:rPr>
                  <w:rFonts w:ascii="Arial" w:cs="Arial" w:eastAsia="Arial" w:hAnsi="Arial"/>
                  <w:sz w:val="15"/>
                  <w:szCs w:val="15"/>
                  <w:color w:val="0000EE"/>
                </w:rPr>
                <w:t>Fiscal Year End</w:t>
              </w:r>
            </w:hyperlink>
          </w:p>
        </w:tc>
        <w:tc>
          <w:tcPr>
            <w:tcW w:w="160" w:type="dxa"/>
            <w:vAlign w:val="bottom"/>
            <w:tcBorders>
              <w:top w:val="single" w:sz="8" w:color="E5E5E5"/>
            </w:tcBorders>
            <w:shd w:val="clear" w:color="auto" w:fill="E5E5E5"/>
          </w:tcPr>
          <w:p>
            <w:pPr>
              <w:spacing w:after="0"/>
              <w:rPr>
                <w:sz w:val="12"/>
                <w:szCs w:val="12"/>
                <w:color w:val="auto"/>
              </w:rPr>
            </w:pPr>
          </w:p>
        </w:tc>
        <w:tc>
          <w:tcPr>
            <w:tcW w:w="40" w:type="dxa"/>
            <w:vAlign w:val="bottom"/>
            <w:tcBorders>
              <w:top w:val="single" w:sz="8" w:color="E5E5E5"/>
            </w:tcBorders>
            <w:shd w:val="clear" w:color="auto" w:fill="E5E5E5"/>
          </w:tcPr>
          <w:p>
            <w:pPr>
              <w:spacing w:after="0"/>
              <w:rPr>
                <w:sz w:val="12"/>
                <w:szCs w:val="12"/>
                <w:color w:val="auto"/>
              </w:rPr>
            </w:pPr>
          </w:p>
        </w:tc>
        <w:tc>
          <w:tcPr>
            <w:tcW w:w="200" w:type="dxa"/>
            <w:vAlign w:val="bottom"/>
            <w:tcBorders>
              <w:top w:val="single" w:sz="8" w:color="E5E5E5"/>
            </w:tcBorders>
            <w:shd w:val="clear" w:color="auto" w:fill="E5E5E5"/>
          </w:tcPr>
          <w:p>
            <w:pPr>
              <w:jc w:val="right"/>
              <w:spacing w:after="0" w:line="140" w:lineRule="exact"/>
              <w:rPr>
                <w:sz w:val="20"/>
                <w:szCs w:val="20"/>
                <w:color w:val="auto"/>
              </w:rPr>
            </w:pPr>
            <w:r>
              <w:rPr>
                <w:rFonts w:ascii="Arial" w:cs="Arial" w:eastAsia="Arial" w:hAnsi="Arial"/>
                <w:sz w:val="15"/>
                <w:szCs w:val="15"/>
                <w:color w:val="auto"/>
              </w:rPr>
              <w:t>39</w:t>
            </w:r>
          </w:p>
        </w:tc>
        <w:tc>
          <w:tcPr>
            <w:tcW w:w="100" w:type="dxa"/>
            <w:vAlign w:val="bottom"/>
            <w:tcBorders>
              <w:top w:val="single" w:sz="8" w:color="E5E5E5"/>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 w:type="dxa"/>
            <w:vAlign w:val="bottom"/>
            <w:tcBorders>
              <w:right w:val="single" w:sz="8" w:color="E5E5E5"/>
            </w:tcBorders>
          </w:tcPr>
          <w:p>
            <w:pPr>
              <w:spacing w:after="0"/>
              <w:rPr>
                <w:sz w:val="12"/>
                <w:szCs w:val="12"/>
                <w:color w:val="auto"/>
              </w:rPr>
            </w:pPr>
          </w:p>
        </w:tc>
        <w:tc>
          <w:tcPr>
            <w:tcW w:w="100" w:type="dxa"/>
            <w:vAlign w:val="bottom"/>
            <w:tcBorders>
              <w:top w:val="single" w:sz="8" w:color="E5E5E5"/>
            </w:tcBorders>
            <w:shd w:val="clear" w:color="auto" w:fill="E5E5E5"/>
          </w:tcPr>
          <w:p>
            <w:pPr>
              <w:spacing w:after="0"/>
              <w:rPr>
                <w:sz w:val="12"/>
                <w:szCs w:val="12"/>
                <w:color w:val="auto"/>
              </w:rPr>
            </w:pPr>
          </w:p>
        </w:tc>
        <w:tc>
          <w:tcPr>
            <w:tcW w:w="140" w:type="dxa"/>
            <w:vAlign w:val="bottom"/>
            <w:tcBorders>
              <w:top w:val="single" w:sz="8" w:color="E5E5E5"/>
            </w:tcBorders>
            <w:shd w:val="clear" w:color="auto" w:fill="E5E5E5"/>
          </w:tcPr>
          <w:p>
            <w:pPr>
              <w:spacing w:after="0"/>
              <w:rPr>
                <w:sz w:val="12"/>
                <w:szCs w:val="12"/>
                <w:color w:val="auto"/>
              </w:rPr>
            </w:pPr>
          </w:p>
        </w:tc>
        <w:tc>
          <w:tcPr>
            <w:tcW w:w="3080" w:type="dxa"/>
            <w:vAlign w:val="bottom"/>
            <w:tcBorders>
              <w:top w:val="single" w:sz="8" w:color="0000EE"/>
            </w:tcBorders>
            <w:gridSpan w:val="26"/>
            <w:shd w:val="clear" w:color="auto" w:fill="E5E5E5"/>
          </w:tcPr>
          <w:p>
            <w:pPr>
              <w:spacing w:after="0" w:line="140" w:lineRule="exact"/>
              <w:rPr>
                <w:rFonts w:ascii="Arial" w:cs="Arial" w:eastAsia="Arial" w:hAnsi="Arial"/>
                <w:sz w:val="15"/>
                <w:szCs w:val="15"/>
                <w:color w:val="0000EE"/>
              </w:rPr>
            </w:pPr>
            <w:hyperlink w:anchor="page53">
              <w:r>
                <w:rPr>
                  <w:rFonts w:ascii="Arial" w:cs="Arial" w:eastAsia="Arial" w:hAnsi="Arial"/>
                  <w:sz w:val="15"/>
                  <w:szCs w:val="15"/>
                  <w:color w:val="0000EE"/>
                </w:rPr>
                <w:t>Option Exercises and Stock Vested</w:t>
              </w:r>
            </w:hyperlink>
          </w:p>
        </w:tc>
        <w:tc>
          <w:tcPr>
            <w:tcW w:w="60" w:type="dxa"/>
            <w:vAlign w:val="bottom"/>
            <w:tcBorders>
              <w:top w:val="single" w:sz="8" w:color="E5E5E5"/>
            </w:tcBorders>
            <w:shd w:val="clear" w:color="auto" w:fill="E5E5E5"/>
          </w:tcPr>
          <w:p>
            <w:pPr>
              <w:spacing w:after="0"/>
              <w:rPr>
                <w:sz w:val="12"/>
                <w:szCs w:val="12"/>
                <w:color w:val="auto"/>
              </w:rPr>
            </w:pPr>
          </w:p>
        </w:tc>
        <w:tc>
          <w:tcPr>
            <w:tcW w:w="520" w:type="dxa"/>
            <w:vAlign w:val="bottom"/>
            <w:tcBorders>
              <w:top w:val="single" w:sz="8" w:color="E5E5E5"/>
            </w:tcBorders>
            <w:shd w:val="clear" w:color="auto" w:fill="E5E5E5"/>
          </w:tcPr>
          <w:p>
            <w:pPr>
              <w:spacing w:after="0"/>
              <w:rPr>
                <w:sz w:val="12"/>
                <w:szCs w:val="12"/>
                <w:color w:val="auto"/>
              </w:rPr>
            </w:pPr>
          </w:p>
        </w:tc>
        <w:tc>
          <w:tcPr>
            <w:tcW w:w="100" w:type="dxa"/>
            <w:vAlign w:val="bottom"/>
            <w:tcBorders>
              <w:top w:val="single" w:sz="8" w:color="E5E5E5"/>
            </w:tcBorders>
            <w:shd w:val="clear" w:color="auto" w:fill="E5E5E5"/>
          </w:tcPr>
          <w:p>
            <w:pPr>
              <w:spacing w:after="0"/>
              <w:rPr>
                <w:sz w:val="12"/>
                <w:szCs w:val="12"/>
                <w:color w:val="auto"/>
              </w:rPr>
            </w:pPr>
          </w:p>
        </w:tc>
        <w:tc>
          <w:tcPr>
            <w:tcW w:w="20" w:type="dxa"/>
            <w:vAlign w:val="bottom"/>
            <w:tcBorders>
              <w:top w:val="single" w:sz="8" w:color="E5E5E5"/>
            </w:tcBorders>
            <w:shd w:val="clear" w:color="auto" w:fill="E5E5E5"/>
          </w:tcPr>
          <w:p>
            <w:pPr>
              <w:spacing w:after="0"/>
              <w:rPr>
                <w:sz w:val="12"/>
                <w:szCs w:val="12"/>
                <w:color w:val="auto"/>
              </w:rPr>
            </w:pPr>
          </w:p>
        </w:tc>
        <w:tc>
          <w:tcPr>
            <w:tcW w:w="220" w:type="dxa"/>
            <w:vAlign w:val="bottom"/>
            <w:tcBorders>
              <w:top w:val="single" w:sz="8" w:color="E5E5E5"/>
            </w:tcBorders>
            <w:shd w:val="clear" w:color="auto" w:fill="E5E5E5"/>
          </w:tcPr>
          <w:p>
            <w:pPr>
              <w:spacing w:after="0"/>
              <w:rPr>
                <w:sz w:val="12"/>
                <w:szCs w:val="12"/>
                <w:color w:val="auto"/>
              </w:rPr>
            </w:pPr>
          </w:p>
        </w:tc>
        <w:tc>
          <w:tcPr>
            <w:tcW w:w="200" w:type="dxa"/>
            <w:vAlign w:val="bottom"/>
            <w:tcBorders>
              <w:top w:val="single" w:sz="8" w:color="E5E5E5"/>
            </w:tcBorders>
            <w:gridSpan w:val="3"/>
            <w:shd w:val="clear" w:color="auto" w:fill="E5E5E5"/>
          </w:tcPr>
          <w:p>
            <w:pPr>
              <w:spacing w:after="0"/>
              <w:rPr>
                <w:sz w:val="12"/>
                <w:szCs w:val="12"/>
                <w:color w:val="auto"/>
              </w:rPr>
            </w:pPr>
          </w:p>
        </w:tc>
        <w:tc>
          <w:tcPr>
            <w:tcW w:w="220" w:type="dxa"/>
            <w:vAlign w:val="bottom"/>
            <w:tcBorders>
              <w:top w:val="single" w:sz="8" w:color="E5E5E5"/>
            </w:tcBorders>
            <w:gridSpan w:val="2"/>
            <w:shd w:val="clear" w:color="auto" w:fill="E5E5E5"/>
          </w:tcPr>
          <w:p>
            <w:pPr>
              <w:spacing w:after="0"/>
              <w:rPr>
                <w:sz w:val="12"/>
                <w:szCs w:val="12"/>
                <w:color w:val="auto"/>
              </w:rPr>
            </w:pPr>
          </w:p>
        </w:tc>
        <w:tc>
          <w:tcPr>
            <w:tcW w:w="80" w:type="dxa"/>
            <w:vAlign w:val="bottom"/>
            <w:tcBorders>
              <w:top w:val="single" w:sz="8" w:color="E5E5E5"/>
            </w:tcBorders>
            <w:shd w:val="clear" w:color="auto" w:fill="E5E5E5"/>
          </w:tcPr>
          <w:p>
            <w:pPr>
              <w:spacing w:after="0"/>
              <w:rPr>
                <w:sz w:val="12"/>
                <w:szCs w:val="12"/>
                <w:color w:val="auto"/>
              </w:rPr>
            </w:pPr>
          </w:p>
        </w:tc>
        <w:tc>
          <w:tcPr>
            <w:tcW w:w="160" w:type="dxa"/>
            <w:vAlign w:val="bottom"/>
            <w:tcBorders>
              <w:top w:val="single" w:sz="8" w:color="E5E5E5"/>
            </w:tcBorders>
            <w:shd w:val="clear" w:color="auto" w:fill="E5E5E5"/>
          </w:tcPr>
          <w:p>
            <w:pPr>
              <w:spacing w:after="0"/>
              <w:rPr>
                <w:sz w:val="12"/>
                <w:szCs w:val="12"/>
                <w:color w:val="auto"/>
              </w:rPr>
            </w:pPr>
          </w:p>
        </w:tc>
        <w:tc>
          <w:tcPr>
            <w:tcW w:w="40" w:type="dxa"/>
            <w:vAlign w:val="bottom"/>
            <w:tcBorders>
              <w:top w:val="single" w:sz="8" w:color="E5E5E5"/>
            </w:tcBorders>
            <w:shd w:val="clear" w:color="auto" w:fill="E5E5E5"/>
          </w:tcPr>
          <w:p>
            <w:pPr>
              <w:spacing w:after="0"/>
              <w:rPr>
                <w:sz w:val="12"/>
                <w:szCs w:val="12"/>
                <w:color w:val="auto"/>
              </w:rPr>
            </w:pPr>
          </w:p>
        </w:tc>
        <w:tc>
          <w:tcPr>
            <w:tcW w:w="200" w:type="dxa"/>
            <w:vAlign w:val="bottom"/>
            <w:tcBorders>
              <w:top w:val="single" w:sz="8" w:color="E5E5E5"/>
            </w:tcBorders>
            <w:shd w:val="clear" w:color="auto" w:fill="E5E5E5"/>
          </w:tcPr>
          <w:p>
            <w:pPr>
              <w:jc w:val="right"/>
              <w:spacing w:after="0" w:line="140" w:lineRule="exact"/>
              <w:rPr>
                <w:sz w:val="20"/>
                <w:szCs w:val="20"/>
                <w:color w:val="auto"/>
              </w:rPr>
            </w:pPr>
            <w:r>
              <w:rPr>
                <w:rFonts w:ascii="Arial" w:cs="Arial" w:eastAsia="Arial" w:hAnsi="Arial"/>
                <w:sz w:val="15"/>
                <w:szCs w:val="15"/>
                <w:color w:val="auto"/>
              </w:rPr>
              <w:t>41</w:t>
            </w:r>
          </w:p>
        </w:tc>
        <w:tc>
          <w:tcPr>
            <w:tcW w:w="100" w:type="dxa"/>
            <w:vAlign w:val="bottom"/>
            <w:tcBorders>
              <w:top w:val="single" w:sz="8" w:color="E5E5E5"/>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 w:type="dxa"/>
            <w:vAlign w:val="bottom"/>
            <w:tcBorders>
              <w:right w:val="single" w:sz="8" w:color="E5E5E5"/>
            </w:tcBorders>
          </w:tcPr>
          <w:p>
            <w:pPr>
              <w:spacing w:after="0"/>
              <w:rPr>
                <w:sz w:val="12"/>
                <w:szCs w:val="12"/>
                <w:color w:val="auto"/>
              </w:rPr>
            </w:pPr>
          </w:p>
        </w:tc>
        <w:tc>
          <w:tcPr>
            <w:tcW w:w="100" w:type="dxa"/>
            <w:vAlign w:val="bottom"/>
            <w:tcBorders>
              <w:top w:val="single" w:sz="8" w:color="E5E5E5"/>
            </w:tcBorders>
            <w:shd w:val="clear" w:color="auto" w:fill="E5E5E5"/>
          </w:tcPr>
          <w:p>
            <w:pPr>
              <w:spacing w:after="0"/>
              <w:rPr>
                <w:sz w:val="12"/>
                <w:szCs w:val="12"/>
                <w:color w:val="auto"/>
              </w:rPr>
            </w:pPr>
          </w:p>
        </w:tc>
        <w:tc>
          <w:tcPr>
            <w:tcW w:w="140" w:type="dxa"/>
            <w:vAlign w:val="bottom"/>
            <w:tcBorders>
              <w:top w:val="single" w:sz="8" w:color="E5E5E5"/>
            </w:tcBorders>
            <w:shd w:val="clear" w:color="auto" w:fill="E5E5E5"/>
          </w:tcPr>
          <w:p>
            <w:pPr>
              <w:spacing w:after="0"/>
              <w:rPr>
                <w:sz w:val="12"/>
                <w:szCs w:val="12"/>
                <w:color w:val="auto"/>
              </w:rPr>
            </w:pPr>
          </w:p>
        </w:tc>
        <w:tc>
          <w:tcPr>
            <w:tcW w:w="2360" w:type="dxa"/>
            <w:vAlign w:val="bottom"/>
            <w:tcBorders>
              <w:top w:val="single" w:sz="8" w:color="0000EE"/>
            </w:tcBorders>
            <w:gridSpan w:val="21"/>
            <w:shd w:val="clear" w:color="auto" w:fill="E5E5E5"/>
          </w:tcPr>
          <w:p>
            <w:pPr>
              <w:spacing w:after="0" w:line="140" w:lineRule="exact"/>
              <w:rPr>
                <w:rFonts w:ascii="Arial" w:cs="Arial" w:eastAsia="Arial" w:hAnsi="Arial"/>
                <w:sz w:val="15"/>
                <w:szCs w:val="15"/>
                <w:color w:val="0000EE"/>
              </w:rPr>
            </w:pPr>
            <w:hyperlink w:anchor="page53">
              <w:r>
                <w:rPr>
                  <w:rFonts w:ascii="Arial" w:cs="Arial" w:eastAsia="Arial" w:hAnsi="Arial"/>
                  <w:sz w:val="15"/>
                  <w:szCs w:val="15"/>
                  <w:color w:val="0000EE"/>
                </w:rPr>
                <w:t>Pension Benefits</w:t>
              </w:r>
            </w:hyperlink>
          </w:p>
        </w:tc>
        <w:tc>
          <w:tcPr>
            <w:tcW w:w="120" w:type="dxa"/>
            <w:vAlign w:val="bottom"/>
            <w:tcBorders>
              <w:top w:val="single" w:sz="8" w:color="E5E5E5"/>
            </w:tcBorders>
            <w:gridSpan w:val="2"/>
            <w:shd w:val="clear" w:color="auto" w:fill="E5E5E5"/>
          </w:tcPr>
          <w:p>
            <w:pPr>
              <w:spacing w:after="0"/>
              <w:rPr>
                <w:sz w:val="12"/>
                <w:szCs w:val="12"/>
                <w:color w:val="auto"/>
              </w:rPr>
            </w:pPr>
          </w:p>
        </w:tc>
        <w:tc>
          <w:tcPr>
            <w:tcW w:w="200" w:type="dxa"/>
            <w:vAlign w:val="bottom"/>
            <w:tcBorders>
              <w:top w:val="single" w:sz="8" w:color="E5E5E5"/>
            </w:tcBorders>
            <w:shd w:val="clear" w:color="auto" w:fill="E5E5E5"/>
          </w:tcPr>
          <w:p>
            <w:pPr>
              <w:spacing w:after="0"/>
              <w:rPr>
                <w:sz w:val="12"/>
                <w:szCs w:val="12"/>
                <w:color w:val="auto"/>
              </w:rPr>
            </w:pPr>
          </w:p>
        </w:tc>
        <w:tc>
          <w:tcPr>
            <w:tcW w:w="460" w:type="dxa"/>
            <w:vAlign w:val="bottom"/>
            <w:tcBorders>
              <w:top w:val="single" w:sz="8" w:color="E5E5E5"/>
            </w:tcBorders>
            <w:gridSpan w:val="3"/>
            <w:shd w:val="clear" w:color="auto" w:fill="E5E5E5"/>
          </w:tcPr>
          <w:p>
            <w:pPr>
              <w:spacing w:after="0"/>
              <w:rPr>
                <w:sz w:val="12"/>
                <w:szCs w:val="12"/>
                <w:color w:val="auto"/>
              </w:rPr>
            </w:pPr>
          </w:p>
        </w:tc>
        <w:tc>
          <w:tcPr>
            <w:tcW w:w="520" w:type="dxa"/>
            <w:vAlign w:val="bottom"/>
            <w:tcBorders>
              <w:top w:val="single" w:sz="8" w:color="E5E5E5"/>
            </w:tcBorders>
            <w:shd w:val="clear" w:color="auto" w:fill="E5E5E5"/>
          </w:tcPr>
          <w:p>
            <w:pPr>
              <w:spacing w:after="0"/>
              <w:rPr>
                <w:sz w:val="12"/>
                <w:szCs w:val="12"/>
                <w:color w:val="auto"/>
              </w:rPr>
            </w:pPr>
          </w:p>
        </w:tc>
        <w:tc>
          <w:tcPr>
            <w:tcW w:w="100" w:type="dxa"/>
            <w:vAlign w:val="bottom"/>
            <w:tcBorders>
              <w:top w:val="single" w:sz="8" w:color="E5E5E5"/>
            </w:tcBorders>
            <w:shd w:val="clear" w:color="auto" w:fill="E5E5E5"/>
          </w:tcPr>
          <w:p>
            <w:pPr>
              <w:spacing w:after="0"/>
              <w:rPr>
                <w:sz w:val="12"/>
                <w:szCs w:val="12"/>
                <w:color w:val="auto"/>
              </w:rPr>
            </w:pPr>
          </w:p>
        </w:tc>
        <w:tc>
          <w:tcPr>
            <w:tcW w:w="20" w:type="dxa"/>
            <w:vAlign w:val="bottom"/>
            <w:tcBorders>
              <w:top w:val="single" w:sz="8" w:color="E5E5E5"/>
            </w:tcBorders>
            <w:shd w:val="clear" w:color="auto" w:fill="E5E5E5"/>
          </w:tcPr>
          <w:p>
            <w:pPr>
              <w:spacing w:after="0"/>
              <w:rPr>
                <w:sz w:val="12"/>
                <w:szCs w:val="12"/>
                <w:color w:val="auto"/>
              </w:rPr>
            </w:pPr>
          </w:p>
        </w:tc>
        <w:tc>
          <w:tcPr>
            <w:tcW w:w="220" w:type="dxa"/>
            <w:vAlign w:val="bottom"/>
            <w:tcBorders>
              <w:top w:val="single" w:sz="8" w:color="E5E5E5"/>
            </w:tcBorders>
            <w:shd w:val="clear" w:color="auto" w:fill="E5E5E5"/>
          </w:tcPr>
          <w:p>
            <w:pPr>
              <w:spacing w:after="0"/>
              <w:rPr>
                <w:sz w:val="12"/>
                <w:szCs w:val="12"/>
                <w:color w:val="auto"/>
              </w:rPr>
            </w:pPr>
          </w:p>
        </w:tc>
        <w:tc>
          <w:tcPr>
            <w:tcW w:w="200" w:type="dxa"/>
            <w:vAlign w:val="bottom"/>
            <w:tcBorders>
              <w:top w:val="single" w:sz="8" w:color="E5E5E5"/>
            </w:tcBorders>
            <w:gridSpan w:val="3"/>
            <w:shd w:val="clear" w:color="auto" w:fill="E5E5E5"/>
          </w:tcPr>
          <w:p>
            <w:pPr>
              <w:spacing w:after="0"/>
              <w:rPr>
                <w:sz w:val="12"/>
                <w:szCs w:val="12"/>
                <w:color w:val="auto"/>
              </w:rPr>
            </w:pPr>
          </w:p>
        </w:tc>
        <w:tc>
          <w:tcPr>
            <w:tcW w:w="220" w:type="dxa"/>
            <w:vAlign w:val="bottom"/>
            <w:tcBorders>
              <w:top w:val="single" w:sz="8" w:color="E5E5E5"/>
            </w:tcBorders>
            <w:gridSpan w:val="2"/>
            <w:shd w:val="clear" w:color="auto" w:fill="E5E5E5"/>
          </w:tcPr>
          <w:p>
            <w:pPr>
              <w:spacing w:after="0"/>
              <w:rPr>
                <w:sz w:val="12"/>
                <w:szCs w:val="12"/>
                <w:color w:val="auto"/>
              </w:rPr>
            </w:pPr>
          </w:p>
        </w:tc>
        <w:tc>
          <w:tcPr>
            <w:tcW w:w="80" w:type="dxa"/>
            <w:vAlign w:val="bottom"/>
            <w:tcBorders>
              <w:top w:val="single" w:sz="8" w:color="E5E5E5"/>
            </w:tcBorders>
            <w:shd w:val="clear" w:color="auto" w:fill="E5E5E5"/>
          </w:tcPr>
          <w:p>
            <w:pPr>
              <w:spacing w:after="0"/>
              <w:rPr>
                <w:sz w:val="12"/>
                <w:szCs w:val="12"/>
                <w:color w:val="auto"/>
              </w:rPr>
            </w:pPr>
          </w:p>
        </w:tc>
        <w:tc>
          <w:tcPr>
            <w:tcW w:w="160" w:type="dxa"/>
            <w:vAlign w:val="bottom"/>
            <w:tcBorders>
              <w:top w:val="single" w:sz="8" w:color="E5E5E5"/>
            </w:tcBorders>
            <w:shd w:val="clear" w:color="auto" w:fill="E5E5E5"/>
          </w:tcPr>
          <w:p>
            <w:pPr>
              <w:spacing w:after="0"/>
              <w:rPr>
                <w:sz w:val="12"/>
                <w:szCs w:val="12"/>
                <w:color w:val="auto"/>
              </w:rPr>
            </w:pPr>
          </w:p>
        </w:tc>
        <w:tc>
          <w:tcPr>
            <w:tcW w:w="40" w:type="dxa"/>
            <w:vAlign w:val="bottom"/>
            <w:tcBorders>
              <w:top w:val="single" w:sz="8" w:color="E5E5E5"/>
            </w:tcBorders>
            <w:shd w:val="clear" w:color="auto" w:fill="E5E5E5"/>
          </w:tcPr>
          <w:p>
            <w:pPr>
              <w:spacing w:after="0"/>
              <w:rPr>
                <w:sz w:val="12"/>
                <w:szCs w:val="12"/>
                <w:color w:val="auto"/>
              </w:rPr>
            </w:pPr>
          </w:p>
        </w:tc>
        <w:tc>
          <w:tcPr>
            <w:tcW w:w="200" w:type="dxa"/>
            <w:vAlign w:val="bottom"/>
            <w:tcBorders>
              <w:top w:val="single" w:sz="8" w:color="E5E5E5"/>
            </w:tcBorders>
            <w:shd w:val="clear" w:color="auto" w:fill="E5E5E5"/>
          </w:tcPr>
          <w:p>
            <w:pPr>
              <w:jc w:val="right"/>
              <w:spacing w:after="0" w:line="140" w:lineRule="exact"/>
              <w:rPr>
                <w:sz w:val="20"/>
                <w:szCs w:val="20"/>
                <w:color w:val="auto"/>
              </w:rPr>
            </w:pPr>
            <w:r>
              <w:rPr>
                <w:rFonts w:ascii="Arial" w:cs="Arial" w:eastAsia="Arial" w:hAnsi="Arial"/>
                <w:sz w:val="15"/>
                <w:szCs w:val="15"/>
                <w:color w:val="auto"/>
              </w:rPr>
              <w:t>41</w:t>
            </w:r>
          </w:p>
        </w:tc>
        <w:tc>
          <w:tcPr>
            <w:tcW w:w="100" w:type="dxa"/>
            <w:vAlign w:val="bottom"/>
            <w:tcBorders>
              <w:top w:val="single" w:sz="8" w:color="E5E5E5"/>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 w:type="dxa"/>
            <w:vAlign w:val="bottom"/>
            <w:tcBorders>
              <w:right w:val="single" w:sz="8" w:color="E5E5E5"/>
            </w:tcBorders>
          </w:tcPr>
          <w:p>
            <w:pPr>
              <w:spacing w:after="0" w:line="20" w:lineRule="exact"/>
              <w:rPr>
                <w:sz w:val="1"/>
                <w:szCs w:val="1"/>
                <w:color w:val="auto"/>
              </w:rPr>
            </w:pPr>
          </w:p>
        </w:tc>
        <w:tc>
          <w:tcPr>
            <w:tcW w:w="100" w:type="dxa"/>
            <w:vAlign w:val="bottom"/>
            <w:shd w:val="clear" w:color="auto" w:fill="E5E5E5"/>
          </w:tcPr>
          <w:p>
            <w:pPr>
              <w:spacing w:after="0" w:line="20" w:lineRule="exact"/>
              <w:rPr>
                <w:sz w:val="1"/>
                <w:szCs w:val="1"/>
                <w:color w:val="auto"/>
              </w:rPr>
            </w:pPr>
          </w:p>
        </w:tc>
        <w:tc>
          <w:tcPr>
            <w:tcW w:w="140" w:type="dxa"/>
            <w:vAlign w:val="bottom"/>
            <w:shd w:val="clear" w:color="auto" w:fill="E5E5E5"/>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E5E5E5"/>
          </w:tcPr>
          <w:p>
            <w:pPr>
              <w:spacing w:after="0" w:line="20" w:lineRule="exact"/>
              <w:rPr>
                <w:sz w:val="1"/>
                <w:szCs w:val="1"/>
                <w:color w:val="auto"/>
              </w:rPr>
            </w:pPr>
          </w:p>
        </w:tc>
        <w:tc>
          <w:tcPr>
            <w:tcW w:w="160" w:type="dxa"/>
            <w:vAlign w:val="bottom"/>
            <w:gridSpan w:val="2"/>
            <w:shd w:val="clear" w:color="auto" w:fill="E5E5E5"/>
          </w:tcPr>
          <w:p>
            <w:pPr>
              <w:spacing w:after="0" w:line="20" w:lineRule="exact"/>
              <w:rPr>
                <w:sz w:val="1"/>
                <w:szCs w:val="1"/>
                <w:color w:val="auto"/>
              </w:rPr>
            </w:pPr>
          </w:p>
        </w:tc>
        <w:tc>
          <w:tcPr>
            <w:tcW w:w="240" w:type="dxa"/>
            <w:vAlign w:val="bottom"/>
            <w:gridSpan w:val="3"/>
            <w:shd w:val="clear" w:color="auto" w:fill="E5E5E5"/>
          </w:tcPr>
          <w:p>
            <w:pPr>
              <w:spacing w:after="0" w:line="20" w:lineRule="exact"/>
              <w:rPr>
                <w:sz w:val="1"/>
                <w:szCs w:val="1"/>
                <w:color w:val="auto"/>
              </w:rPr>
            </w:pPr>
          </w:p>
        </w:tc>
        <w:tc>
          <w:tcPr>
            <w:tcW w:w="240" w:type="dxa"/>
            <w:vAlign w:val="bottom"/>
            <w:shd w:val="clear" w:color="auto" w:fill="E5E5E5"/>
          </w:tcPr>
          <w:p>
            <w:pPr>
              <w:spacing w:after="0" w:line="20" w:lineRule="exact"/>
              <w:rPr>
                <w:sz w:val="1"/>
                <w:szCs w:val="1"/>
                <w:color w:val="auto"/>
              </w:rPr>
            </w:pPr>
          </w:p>
        </w:tc>
        <w:tc>
          <w:tcPr>
            <w:tcW w:w="240" w:type="dxa"/>
            <w:vAlign w:val="bottom"/>
            <w:gridSpan w:val="3"/>
            <w:shd w:val="clear" w:color="auto" w:fill="E5E5E5"/>
          </w:tcPr>
          <w:p>
            <w:pPr>
              <w:spacing w:after="0" w:line="20" w:lineRule="exact"/>
              <w:rPr>
                <w:sz w:val="1"/>
                <w:szCs w:val="1"/>
                <w:color w:val="auto"/>
              </w:rPr>
            </w:pPr>
          </w:p>
        </w:tc>
        <w:tc>
          <w:tcPr>
            <w:tcW w:w="400" w:type="dxa"/>
            <w:vAlign w:val="bottom"/>
            <w:gridSpan w:val="6"/>
            <w:shd w:val="clear" w:color="auto" w:fill="E5E5E5"/>
          </w:tcPr>
          <w:p>
            <w:pPr>
              <w:spacing w:after="0" w:line="20" w:lineRule="exact"/>
              <w:rPr>
                <w:sz w:val="1"/>
                <w:szCs w:val="1"/>
                <w:color w:val="auto"/>
              </w:rPr>
            </w:pPr>
          </w:p>
        </w:tc>
        <w:tc>
          <w:tcPr>
            <w:tcW w:w="200" w:type="dxa"/>
            <w:vAlign w:val="bottom"/>
            <w:shd w:val="clear" w:color="auto" w:fill="E5E5E5"/>
          </w:tcPr>
          <w:p>
            <w:pPr>
              <w:spacing w:after="0" w:line="20" w:lineRule="exact"/>
              <w:rPr>
                <w:sz w:val="1"/>
                <w:szCs w:val="1"/>
                <w:color w:val="auto"/>
              </w:rPr>
            </w:pPr>
          </w:p>
        </w:tc>
        <w:tc>
          <w:tcPr>
            <w:tcW w:w="460" w:type="dxa"/>
            <w:vAlign w:val="bottom"/>
            <w:gridSpan w:val="3"/>
            <w:shd w:val="clear" w:color="auto" w:fill="E5E5E5"/>
          </w:tcPr>
          <w:p>
            <w:pPr>
              <w:spacing w:after="0" w:line="20" w:lineRule="exact"/>
              <w:rPr>
                <w:sz w:val="1"/>
                <w:szCs w:val="1"/>
                <w:color w:val="auto"/>
              </w:rPr>
            </w:pPr>
          </w:p>
        </w:tc>
        <w:tc>
          <w:tcPr>
            <w:tcW w:w="520" w:type="dxa"/>
            <w:vAlign w:val="bottom"/>
            <w:shd w:val="clear" w:color="auto" w:fill="E5E5E5"/>
          </w:tcPr>
          <w:p>
            <w:pPr>
              <w:spacing w:after="0" w:line="20" w:lineRule="exact"/>
              <w:rPr>
                <w:sz w:val="1"/>
                <w:szCs w:val="1"/>
                <w:color w:val="auto"/>
              </w:rPr>
            </w:pPr>
          </w:p>
        </w:tc>
        <w:tc>
          <w:tcPr>
            <w:tcW w:w="100" w:type="dxa"/>
            <w:vAlign w:val="bottom"/>
            <w:shd w:val="clear" w:color="auto" w:fill="E5E5E5"/>
          </w:tcPr>
          <w:p>
            <w:pPr>
              <w:spacing w:after="0" w:line="20" w:lineRule="exact"/>
              <w:rPr>
                <w:sz w:val="1"/>
                <w:szCs w:val="1"/>
                <w:color w:val="auto"/>
              </w:rPr>
            </w:pPr>
          </w:p>
        </w:tc>
        <w:tc>
          <w:tcPr>
            <w:tcW w:w="20" w:type="dxa"/>
            <w:vAlign w:val="bottom"/>
            <w:shd w:val="clear" w:color="auto" w:fill="E5E5E5"/>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200" w:type="dxa"/>
            <w:vAlign w:val="bottom"/>
            <w:gridSpan w:val="3"/>
            <w:shd w:val="clear" w:color="auto" w:fill="E5E5E5"/>
          </w:tcPr>
          <w:p>
            <w:pPr>
              <w:spacing w:after="0" w:line="20" w:lineRule="exact"/>
              <w:rPr>
                <w:sz w:val="1"/>
                <w:szCs w:val="1"/>
                <w:color w:val="auto"/>
              </w:rPr>
            </w:pPr>
          </w:p>
        </w:tc>
        <w:tc>
          <w:tcPr>
            <w:tcW w:w="220" w:type="dxa"/>
            <w:vAlign w:val="bottom"/>
            <w:gridSpan w:val="2"/>
            <w:shd w:val="clear" w:color="auto" w:fill="E5E5E5"/>
          </w:tcPr>
          <w:p>
            <w:pPr>
              <w:spacing w:after="0" w:line="20" w:lineRule="exact"/>
              <w:rPr>
                <w:sz w:val="1"/>
                <w:szCs w:val="1"/>
                <w:color w:val="auto"/>
              </w:rPr>
            </w:pPr>
          </w:p>
        </w:tc>
        <w:tc>
          <w:tcPr>
            <w:tcW w:w="80" w:type="dxa"/>
            <w:vAlign w:val="bottom"/>
            <w:shd w:val="clear" w:color="auto" w:fill="E5E5E5"/>
          </w:tcPr>
          <w:p>
            <w:pPr>
              <w:spacing w:after="0" w:line="20" w:lineRule="exact"/>
              <w:rPr>
                <w:sz w:val="1"/>
                <w:szCs w:val="1"/>
                <w:color w:val="auto"/>
              </w:rPr>
            </w:pPr>
          </w:p>
        </w:tc>
        <w:tc>
          <w:tcPr>
            <w:tcW w:w="160" w:type="dxa"/>
            <w:vAlign w:val="bottom"/>
            <w:shd w:val="clear" w:color="auto" w:fill="E5E5E5"/>
          </w:tcPr>
          <w:p>
            <w:pPr>
              <w:spacing w:after="0" w:line="20" w:lineRule="exact"/>
              <w:rPr>
                <w:sz w:val="1"/>
                <w:szCs w:val="1"/>
                <w:color w:val="auto"/>
              </w:rPr>
            </w:pPr>
          </w:p>
        </w:tc>
        <w:tc>
          <w:tcPr>
            <w:tcW w:w="40" w:type="dxa"/>
            <w:vAlign w:val="bottom"/>
            <w:shd w:val="clear" w:color="auto" w:fill="E5E5E5"/>
          </w:tcPr>
          <w:p>
            <w:pPr>
              <w:spacing w:after="0" w:line="20" w:lineRule="exact"/>
              <w:rPr>
                <w:sz w:val="1"/>
                <w:szCs w:val="1"/>
                <w:color w:val="auto"/>
              </w:rPr>
            </w:pPr>
          </w:p>
        </w:tc>
        <w:tc>
          <w:tcPr>
            <w:tcW w:w="200" w:type="dxa"/>
            <w:vAlign w:val="bottom"/>
            <w:vMerge w:val="restart"/>
            <w:shd w:val="clear" w:color="auto" w:fill="E5E5E5"/>
          </w:tcPr>
          <w:p>
            <w:pPr>
              <w:jc w:val="right"/>
              <w:spacing w:after="0" w:line="160" w:lineRule="exact"/>
              <w:rPr>
                <w:sz w:val="20"/>
                <w:szCs w:val="20"/>
                <w:color w:val="auto"/>
              </w:rPr>
            </w:pPr>
            <w:r>
              <w:rPr>
                <w:rFonts w:ascii="Arial" w:cs="Arial" w:eastAsia="Arial" w:hAnsi="Arial"/>
                <w:sz w:val="15"/>
                <w:szCs w:val="15"/>
                <w:color w:val="auto"/>
              </w:rPr>
              <w:t>42</w:t>
            </w:r>
          </w:p>
        </w:tc>
        <w:tc>
          <w:tcPr>
            <w:tcW w:w="10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80" w:type="dxa"/>
            <w:vAlign w:val="bottom"/>
            <w:tcBorders>
              <w:right w:val="single" w:sz="8" w:color="E5E5E5"/>
            </w:tcBorders>
          </w:tcPr>
          <w:p>
            <w:pPr>
              <w:spacing w:after="0"/>
              <w:rPr>
                <w:sz w:val="12"/>
                <w:szCs w:val="12"/>
                <w:color w:val="auto"/>
              </w:rPr>
            </w:pPr>
          </w:p>
        </w:tc>
        <w:tc>
          <w:tcPr>
            <w:tcW w:w="100" w:type="dxa"/>
            <w:vAlign w:val="bottom"/>
            <w:tcBorders>
              <w:bottom w:val="single" w:sz="8" w:color="E5E5E5"/>
            </w:tcBorders>
            <w:shd w:val="clear" w:color="auto" w:fill="E5E5E5"/>
          </w:tcPr>
          <w:p>
            <w:pPr>
              <w:spacing w:after="0"/>
              <w:rPr>
                <w:sz w:val="12"/>
                <w:szCs w:val="12"/>
                <w:color w:val="auto"/>
              </w:rPr>
            </w:pPr>
          </w:p>
        </w:tc>
        <w:tc>
          <w:tcPr>
            <w:tcW w:w="140" w:type="dxa"/>
            <w:vAlign w:val="bottom"/>
            <w:tcBorders>
              <w:bottom w:val="single" w:sz="8" w:color="E5E5E5"/>
            </w:tcBorders>
            <w:shd w:val="clear" w:color="auto" w:fill="E5E5E5"/>
          </w:tcPr>
          <w:p>
            <w:pPr>
              <w:spacing w:after="0"/>
              <w:rPr>
                <w:sz w:val="12"/>
                <w:szCs w:val="12"/>
                <w:color w:val="auto"/>
              </w:rPr>
            </w:pPr>
          </w:p>
        </w:tc>
        <w:tc>
          <w:tcPr>
            <w:tcW w:w="2480" w:type="dxa"/>
            <w:vAlign w:val="bottom"/>
            <w:tcBorders>
              <w:bottom w:val="single" w:sz="8" w:color="0000EE"/>
            </w:tcBorders>
            <w:gridSpan w:val="23"/>
            <w:shd w:val="clear" w:color="auto" w:fill="E5E5E5"/>
          </w:tcPr>
          <w:p>
            <w:pPr>
              <w:spacing w:after="0" w:line="140" w:lineRule="exact"/>
              <w:rPr>
                <w:rFonts w:ascii="Arial" w:cs="Arial" w:eastAsia="Arial" w:hAnsi="Arial"/>
                <w:sz w:val="15"/>
                <w:szCs w:val="15"/>
                <w:color w:val="0000EE"/>
                <w:w w:val="99"/>
              </w:rPr>
            </w:pPr>
            <w:hyperlink w:anchor="page54">
              <w:r>
                <w:rPr>
                  <w:rFonts w:ascii="Arial" w:cs="Arial" w:eastAsia="Arial" w:hAnsi="Arial"/>
                  <w:sz w:val="15"/>
                  <w:szCs w:val="15"/>
                  <w:color w:val="0000EE"/>
                  <w:w w:val="99"/>
                </w:rPr>
                <w:t>Nonqualified Deferred Compensation</w:t>
              </w:r>
            </w:hyperlink>
          </w:p>
        </w:tc>
        <w:tc>
          <w:tcPr>
            <w:tcW w:w="2020" w:type="dxa"/>
            <w:vAlign w:val="bottom"/>
            <w:tcBorders>
              <w:bottom w:val="single" w:sz="8" w:color="E5E5E5"/>
            </w:tcBorders>
            <w:gridSpan w:val="14"/>
            <w:shd w:val="clear" w:color="auto" w:fill="E5E5E5"/>
          </w:tcPr>
          <w:p>
            <w:pPr>
              <w:spacing w:after="0"/>
              <w:rPr>
                <w:sz w:val="12"/>
                <w:szCs w:val="12"/>
                <w:color w:val="auto"/>
              </w:rPr>
            </w:pPr>
          </w:p>
        </w:tc>
        <w:tc>
          <w:tcPr>
            <w:tcW w:w="160" w:type="dxa"/>
            <w:vAlign w:val="bottom"/>
            <w:tcBorders>
              <w:bottom w:val="single" w:sz="8" w:color="E5E5E5"/>
            </w:tcBorders>
            <w:shd w:val="clear" w:color="auto" w:fill="E5E5E5"/>
          </w:tcPr>
          <w:p>
            <w:pPr>
              <w:spacing w:after="0"/>
              <w:rPr>
                <w:sz w:val="12"/>
                <w:szCs w:val="12"/>
                <w:color w:val="auto"/>
              </w:rPr>
            </w:pPr>
          </w:p>
        </w:tc>
        <w:tc>
          <w:tcPr>
            <w:tcW w:w="40" w:type="dxa"/>
            <w:vAlign w:val="bottom"/>
            <w:tcBorders>
              <w:bottom w:val="single" w:sz="8" w:color="E5E5E5"/>
            </w:tcBorders>
            <w:shd w:val="clear" w:color="auto" w:fill="E5E5E5"/>
          </w:tcPr>
          <w:p>
            <w:pPr>
              <w:spacing w:after="0"/>
              <w:rPr>
                <w:sz w:val="12"/>
                <w:szCs w:val="12"/>
                <w:color w:val="auto"/>
              </w:rPr>
            </w:pPr>
          </w:p>
        </w:tc>
        <w:tc>
          <w:tcPr>
            <w:tcW w:w="200" w:type="dxa"/>
            <w:vAlign w:val="bottom"/>
            <w:tcBorders>
              <w:bottom w:val="single" w:sz="8" w:color="E5E5E5"/>
            </w:tcBorders>
            <w:vMerge w:val="continue"/>
            <w:shd w:val="clear" w:color="auto" w:fill="E5E5E5"/>
          </w:tcPr>
          <w:p>
            <w:pPr>
              <w:spacing w:after="0"/>
              <w:rPr>
                <w:sz w:val="12"/>
                <w:szCs w:val="12"/>
                <w:color w:val="auto"/>
              </w:rPr>
            </w:pPr>
          </w:p>
        </w:tc>
        <w:tc>
          <w:tcPr>
            <w:tcW w:w="100" w:type="dxa"/>
            <w:vAlign w:val="bottom"/>
            <w:tcBorders>
              <w:bottom w:val="single" w:sz="8" w:color="E5E5E5"/>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 w:type="dxa"/>
            <w:vAlign w:val="bottom"/>
            <w:tcBorders>
              <w:right w:val="single" w:sz="8" w:color="E5E5E5"/>
            </w:tcBorders>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4500" w:type="dxa"/>
            <w:vAlign w:val="bottom"/>
            <w:gridSpan w:val="37"/>
            <w:shd w:val="clear" w:color="auto" w:fill="E5E5E5"/>
          </w:tcPr>
          <w:p>
            <w:pPr>
              <w:spacing w:after="0" w:line="140" w:lineRule="exact"/>
              <w:rPr>
                <w:rFonts w:ascii="Arial" w:cs="Arial" w:eastAsia="Arial" w:hAnsi="Arial"/>
                <w:sz w:val="15"/>
                <w:szCs w:val="15"/>
                <w:color w:val="0000EE"/>
              </w:rPr>
            </w:pPr>
            <w:hyperlink w:anchor="page54">
              <w:r>
                <w:rPr>
                  <w:rFonts w:ascii="Arial" w:cs="Arial" w:eastAsia="Arial" w:hAnsi="Arial"/>
                  <w:sz w:val="15"/>
                  <w:szCs w:val="15"/>
                  <w:color w:val="0000EE"/>
                </w:rPr>
                <w:t>Employment Agreements and Termination Agreements</w:t>
              </w:r>
            </w:hyperlink>
          </w:p>
        </w:tc>
        <w:tc>
          <w:tcPr>
            <w:tcW w:w="16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200" w:type="dxa"/>
            <w:vAlign w:val="bottom"/>
            <w:shd w:val="clear" w:color="auto" w:fill="E5E5E5"/>
          </w:tcPr>
          <w:p>
            <w:pPr>
              <w:jc w:val="right"/>
              <w:spacing w:after="0" w:line="140" w:lineRule="exact"/>
              <w:rPr>
                <w:sz w:val="20"/>
                <w:szCs w:val="20"/>
                <w:color w:val="auto"/>
              </w:rPr>
            </w:pPr>
            <w:r>
              <w:rPr>
                <w:rFonts w:ascii="Arial" w:cs="Arial" w:eastAsia="Arial" w:hAnsi="Arial"/>
                <w:sz w:val="15"/>
                <w:szCs w:val="15"/>
                <w:color w:val="auto"/>
              </w:rPr>
              <w:t>42</w:t>
            </w:r>
          </w:p>
        </w:tc>
        <w:tc>
          <w:tcPr>
            <w:tcW w:w="10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 w:type="dxa"/>
            <w:vAlign w:val="bottom"/>
            <w:tcBorders>
              <w:right w:val="single" w:sz="8" w:color="E5E5E5"/>
            </w:tcBorders>
          </w:tcPr>
          <w:p>
            <w:pPr>
              <w:spacing w:after="0"/>
              <w:rPr>
                <w:sz w:val="12"/>
                <w:szCs w:val="12"/>
                <w:color w:val="auto"/>
              </w:rPr>
            </w:pPr>
          </w:p>
        </w:tc>
        <w:tc>
          <w:tcPr>
            <w:tcW w:w="100" w:type="dxa"/>
            <w:vAlign w:val="bottom"/>
            <w:tcBorders>
              <w:top w:val="single" w:sz="8" w:color="E5E5E5"/>
            </w:tcBorders>
            <w:shd w:val="clear" w:color="auto" w:fill="E5E5E5"/>
          </w:tcPr>
          <w:p>
            <w:pPr>
              <w:spacing w:after="0"/>
              <w:rPr>
                <w:sz w:val="12"/>
                <w:szCs w:val="12"/>
                <w:color w:val="auto"/>
              </w:rPr>
            </w:pPr>
          </w:p>
        </w:tc>
        <w:tc>
          <w:tcPr>
            <w:tcW w:w="140" w:type="dxa"/>
            <w:vAlign w:val="bottom"/>
            <w:tcBorders>
              <w:top w:val="single" w:sz="8" w:color="E5E5E5"/>
            </w:tcBorders>
            <w:shd w:val="clear" w:color="auto" w:fill="E5E5E5"/>
          </w:tcPr>
          <w:p>
            <w:pPr>
              <w:spacing w:after="0"/>
              <w:rPr>
                <w:sz w:val="12"/>
                <w:szCs w:val="12"/>
                <w:color w:val="auto"/>
              </w:rPr>
            </w:pPr>
          </w:p>
        </w:tc>
        <w:tc>
          <w:tcPr>
            <w:tcW w:w="3660" w:type="dxa"/>
            <w:vAlign w:val="bottom"/>
            <w:tcBorders>
              <w:top w:val="single" w:sz="8" w:color="0000EE"/>
            </w:tcBorders>
            <w:gridSpan w:val="28"/>
            <w:shd w:val="clear" w:color="auto" w:fill="E5E5E5"/>
          </w:tcPr>
          <w:p>
            <w:pPr>
              <w:spacing w:after="0" w:line="140" w:lineRule="exact"/>
              <w:rPr>
                <w:rFonts w:ascii="Arial" w:cs="Arial" w:eastAsia="Arial" w:hAnsi="Arial"/>
                <w:sz w:val="15"/>
                <w:szCs w:val="15"/>
                <w:color w:val="0000EE"/>
              </w:rPr>
            </w:pPr>
            <w:hyperlink w:anchor="page55">
              <w:r>
                <w:rPr>
                  <w:rFonts w:ascii="Arial" w:cs="Arial" w:eastAsia="Arial" w:hAnsi="Arial"/>
                  <w:sz w:val="15"/>
                  <w:szCs w:val="15"/>
                  <w:color w:val="0000EE"/>
                </w:rPr>
                <w:t>Potential Payments upon Termination or</w:t>
              </w:r>
            </w:hyperlink>
          </w:p>
        </w:tc>
        <w:tc>
          <w:tcPr>
            <w:tcW w:w="100" w:type="dxa"/>
            <w:vAlign w:val="bottom"/>
            <w:tcBorders>
              <w:top w:val="single" w:sz="8" w:color="E5E5E5"/>
            </w:tcBorders>
            <w:shd w:val="clear" w:color="auto" w:fill="E5E5E5"/>
          </w:tcPr>
          <w:p>
            <w:pPr>
              <w:spacing w:after="0"/>
              <w:rPr>
                <w:sz w:val="12"/>
                <w:szCs w:val="12"/>
                <w:color w:val="auto"/>
              </w:rPr>
            </w:pPr>
          </w:p>
        </w:tc>
        <w:tc>
          <w:tcPr>
            <w:tcW w:w="20" w:type="dxa"/>
            <w:vAlign w:val="bottom"/>
            <w:tcBorders>
              <w:top w:val="single" w:sz="8" w:color="E5E5E5"/>
            </w:tcBorders>
            <w:shd w:val="clear" w:color="auto" w:fill="E5E5E5"/>
          </w:tcPr>
          <w:p>
            <w:pPr>
              <w:spacing w:after="0"/>
              <w:rPr>
                <w:sz w:val="12"/>
                <w:szCs w:val="12"/>
                <w:color w:val="auto"/>
              </w:rPr>
            </w:pPr>
          </w:p>
        </w:tc>
        <w:tc>
          <w:tcPr>
            <w:tcW w:w="220" w:type="dxa"/>
            <w:vAlign w:val="bottom"/>
            <w:tcBorders>
              <w:top w:val="single" w:sz="8" w:color="E5E5E5"/>
            </w:tcBorders>
            <w:shd w:val="clear" w:color="auto" w:fill="E5E5E5"/>
          </w:tcPr>
          <w:p>
            <w:pPr>
              <w:spacing w:after="0"/>
              <w:rPr>
                <w:sz w:val="12"/>
                <w:szCs w:val="12"/>
                <w:color w:val="auto"/>
              </w:rPr>
            </w:pPr>
          </w:p>
        </w:tc>
        <w:tc>
          <w:tcPr>
            <w:tcW w:w="200" w:type="dxa"/>
            <w:vAlign w:val="bottom"/>
            <w:tcBorders>
              <w:top w:val="single" w:sz="8" w:color="E5E5E5"/>
            </w:tcBorders>
            <w:gridSpan w:val="3"/>
            <w:shd w:val="clear" w:color="auto" w:fill="E5E5E5"/>
          </w:tcPr>
          <w:p>
            <w:pPr>
              <w:spacing w:after="0"/>
              <w:rPr>
                <w:sz w:val="12"/>
                <w:szCs w:val="12"/>
                <w:color w:val="auto"/>
              </w:rPr>
            </w:pPr>
          </w:p>
        </w:tc>
        <w:tc>
          <w:tcPr>
            <w:tcW w:w="220" w:type="dxa"/>
            <w:vAlign w:val="bottom"/>
            <w:tcBorders>
              <w:top w:val="single" w:sz="8" w:color="E5E5E5"/>
            </w:tcBorders>
            <w:gridSpan w:val="2"/>
            <w:shd w:val="clear" w:color="auto" w:fill="E5E5E5"/>
          </w:tcPr>
          <w:p>
            <w:pPr>
              <w:spacing w:after="0"/>
              <w:rPr>
                <w:sz w:val="12"/>
                <w:szCs w:val="12"/>
                <w:color w:val="auto"/>
              </w:rPr>
            </w:pPr>
          </w:p>
        </w:tc>
        <w:tc>
          <w:tcPr>
            <w:tcW w:w="80" w:type="dxa"/>
            <w:vAlign w:val="bottom"/>
            <w:tcBorders>
              <w:top w:val="single" w:sz="8" w:color="E5E5E5"/>
            </w:tcBorders>
            <w:shd w:val="clear" w:color="auto" w:fill="E5E5E5"/>
          </w:tcPr>
          <w:p>
            <w:pPr>
              <w:spacing w:after="0"/>
              <w:rPr>
                <w:sz w:val="12"/>
                <w:szCs w:val="12"/>
                <w:color w:val="auto"/>
              </w:rPr>
            </w:pPr>
          </w:p>
        </w:tc>
        <w:tc>
          <w:tcPr>
            <w:tcW w:w="160" w:type="dxa"/>
            <w:vAlign w:val="bottom"/>
            <w:tcBorders>
              <w:top w:val="single" w:sz="8" w:color="E5E5E5"/>
            </w:tcBorders>
            <w:shd w:val="clear" w:color="auto" w:fill="E5E5E5"/>
          </w:tcPr>
          <w:p>
            <w:pPr>
              <w:spacing w:after="0"/>
              <w:rPr>
                <w:sz w:val="12"/>
                <w:szCs w:val="12"/>
                <w:color w:val="auto"/>
              </w:rPr>
            </w:pPr>
          </w:p>
        </w:tc>
        <w:tc>
          <w:tcPr>
            <w:tcW w:w="40" w:type="dxa"/>
            <w:vAlign w:val="bottom"/>
            <w:tcBorders>
              <w:top w:val="single" w:sz="8" w:color="E5E5E5"/>
            </w:tcBorders>
            <w:shd w:val="clear" w:color="auto" w:fill="E5E5E5"/>
          </w:tcPr>
          <w:p>
            <w:pPr>
              <w:spacing w:after="0"/>
              <w:rPr>
                <w:sz w:val="12"/>
                <w:szCs w:val="12"/>
                <w:color w:val="auto"/>
              </w:rPr>
            </w:pPr>
          </w:p>
        </w:tc>
        <w:tc>
          <w:tcPr>
            <w:tcW w:w="200" w:type="dxa"/>
            <w:vAlign w:val="bottom"/>
            <w:tcBorders>
              <w:top w:val="single" w:sz="8" w:color="E5E5E5"/>
            </w:tcBorders>
            <w:vMerge w:val="restart"/>
            <w:shd w:val="clear" w:color="auto" w:fill="E5E5E5"/>
          </w:tcPr>
          <w:p>
            <w:pPr>
              <w:jc w:val="right"/>
              <w:spacing w:after="0"/>
              <w:rPr>
                <w:sz w:val="20"/>
                <w:szCs w:val="20"/>
                <w:color w:val="auto"/>
              </w:rPr>
            </w:pPr>
            <w:r>
              <w:rPr>
                <w:rFonts w:ascii="Arial" w:cs="Arial" w:eastAsia="Arial" w:hAnsi="Arial"/>
                <w:sz w:val="15"/>
                <w:szCs w:val="15"/>
                <w:color w:val="auto"/>
              </w:rPr>
              <w:t>43</w:t>
            </w:r>
          </w:p>
        </w:tc>
        <w:tc>
          <w:tcPr>
            <w:tcW w:w="100" w:type="dxa"/>
            <w:vAlign w:val="bottom"/>
            <w:tcBorders>
              <w:top w:val="single" w:sz="8" w:color="E5E5E5"/>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 w:type="dxa"/>
            <w:vAlign w:val="bottom"/>
            <w:tcBorders>
              <w:right w:val="single" w:sz="8" w:color="E5E5E5"/>
            </w:tcBorders>
          </w:tcPr>
          <w:p>
            <w:pPr>
              <w:spacing w:after="0"/>
              <w:rPr>
                <w:sz w:val="12"/>
                <w:szCs w:val="12"/>
                <w:color w:val="auto"/>
              </w:rPr>
            </w:pPr>
          </w:p>
        </w:tc>
        <w:tc>
          <w:tcPr>
            <w:tcW w:w="100" w:type="dxa"/>
            <w:vAlign w:val="bottom"/>
            <w:tcBorders>
              <w:top w:val="single" w:sz="8" w:color="E5E5E5"/>
            </w:tcBorders>
            <w:shd w:val="clear" w:color="auto" w:fill="E5E5E5"/>
          </w:tcPr>
          <w:p>
            <w:pPr>
              <w:spacing w:after="0"/>
              <w:rPr>
                <w:sz w:val="12"/>
                <w:szCs w:val="12"/>
                <w:color w:val="auto"/>
              </w:rPr>
            </w:pPr>
          </w:p>
        </w:tc>
        <w:tc>
          <w:tcPr>
            <w:tcW w:w="140" w:type="dxa"/>
            <w:vAlign w:val="bottom"/>
            <w:tcBorders>
              <w:top w:val="single" w:sz="8" w:color="E5E5E5"/>
            </w:tcBorders>
            <w:shd w:val="clear" w:color="auto" w:fill="E5E5E5"/>
          </w:tcPr>
          <w:p>
            <w:pPr>
              <w:spacing w:after="0"/>
              <w:rPr>
                <w:sz w:val="12"/>
                <w:szCs w:val="12"/>
                <w:color w:val="auto"/>
              </w:rPr>
            </w:pPr>
          </w:p>
        </w:tc>
        <w:tc>
          <w:tcPr>
            <w:tcW w:w="140" w:type="dxa"/>
            <w:vAlign w:val="bottom"/>
            <w:tcBorders>
              <w:top w:val="single" w:sz="8" w:color="0000EE"/>
            </w:tcBorders>
            <w:shd w:val="clear" w:color="auto" w:fill="E5E5E5"/>
          </w:tcPr>
          <w:p>
            <w:pPr>
              <w:spacing w:after="0"/>
              <w:rPr>
                <w:sz w:val="12"/>
                <w:szCs w:val="12"/>
                <w:color w:val="auto"/>
              </w:rPr>
            </w:pPr>
          </w:p>
        </w:tc>
        <w:tc>
          <w:tcPr>
            <w:tcW w:w="2540" w:type="dxa"/>
            <w:vAlign w:val="bottom"/>
            <w:tcBorders>
              <w:top w:val="single" w:sz="8" w:color="0000EE"/>
            </w:tcBorders>
            <w:gridSpan w:val="23"/>
            <w:shd w:val="clear" w:color="auto" w:fill="E5E5E5"/>
          </w:tcPr>
          <w:p>
            <w:pPr>
              <w:spacing w:after="0" w:line="140" w:lineRule="exact"/>
              <w:rPr>
                <w:rFonts w:ascii="Arial" w:cs="Arial" w:eastAsia="Arial" w:hAnsi="Arial"/>
                <w:sz w:val="15"/>
                <w:szCs w:val="15"/>
                <w:color w:val="0000EE"/>
              </w:rPr>
            </w:pPr>
            <w:hyperlink w:anchor="page55">
              <w:r>
                <w:rPr>
                  <w:rFonts w:ascii="Arial" w:cs="Arial" w:eastAsia="Arial" w:hAnsi="Arial"/>
                  <w:sz w:val="15"/>
                  <w:szCs w:val="15"/>
                  <w:color w:val="0000EE"/>
                </w:rPr>
                <w:t>Change in Control</w:t>
              </w:r>
            </w:hyperlink>
          </w:p>
        </w:tc>
        <w:tc>
          <w:tcPr>
            <w:tcW w:w="460" w:type="dxa"/>
            <w:vAlign w:val="bottom"/>
            <w:tcBorders>
              <w:top w:val="single" w:sz="8" w:color="E5E5E5"/>
            </w:tcBorders>
            <w:gridSpan w:val="3"/>
            <w:shd w:val="clear" w:color="auto" w:fill="E5E5E5"/>
          </w:tcPr>
          <w:p>
            <w:pPr>
              <w:spacing w:after="0"/>
              <w:rPr>
                <w:sz w:val="12"/>
                <w:szCs w:val="12"/>
                <w:color w:val="auto"/>
              </w:rPr>
            </w:pPr>
          </w:p>
        </w:tc>
        <w:tc>
          <w:tcPr>
            <w:tcW w:w="620" w:type="dxa"/>
            <w:vAlign w:val="bottom"/>
            <w:tcBorders>
              <w:top w:val="single" w:sz="8" w:color="E5E5E5"/>
            </w:tcBorders>
            <w:gridSpan w:val="2"/>
            <w:shd w:val="clear" w:color="auto" w:fill="E5E5E5"/>
          </w:tcPr>
          <w:p>
            <w:pPr>
              <w:spacing w:after="0"/>
              <w:rPr>
                <w:sz w:val="12"/>
                <w:szCs w:val="12"/>
                <w:color w:val="auto"/>
              </w:rPr>
            </w:pPr>
          </w:p>
        </w:tc>
        <w:tc>
          <w:tcPr>
            <w:tcW w:w="20" w:type="dxa"/>
            <w:vAlign w:val="bottom"/>
            <w:tcBorders>
              <w:top w:val="single" w:sz="8" w:color="E5E5E5"/>
            </w:tcBorders>
            <w:shd w:val="clear" w:color="auto" w:fill="E5E5E5"/>
          </w:tcPr>
          <w:p>
            <w:pPr>
              <w:spacing w:after="0"/>
              <w:rPr>
                <w:sz w:val="12"/>
                <w:szCs w:val="12"/>
                <w:color w:val="auto"/>
              </w:rPr>
            </w:pPr>
          </w:p>
        </w:tc>
        <w:tc>
          <w:tcPr>
            <w:tcW w:w="220" w:type="dxa"/>
            <w:vAlign w:val="bottom"/>
            <w:tcBorders>
              <w:top w:val="single" w:sz="8" w:color="E5E5E5"/>
            </w:tcBorders>
            <w:shd w:val="clear" w:color="auto" w:fill="E5E5E5"/>
          </w:tcPr>
          <w:p>
            <w:pPr>
              <w:spacing w:after="0"/>
              <w:rPr>
                <w:sz w:val="12"/>
                <w:szCs w:val="12"/>
                <w:color w:val="auto"/>
              </w:rPr>
            </w:pPr>
          </w:p>
        </w:tc>
        <w:tc>
          <w:tcPr>
            <w:tcW w:w="200" w:type="dxa"/>
            <w:vAlign w:val="bottom"/>
            <w:tcBorders>
              <w:top w:val="single" w:sz="8" w:color="E5E5E5"/>
            </w:tcBorders>
            <w:gridSpan w:val="3"/>
            <w:shd w:val="clear" w:color="auto" w:fill="E5E5E5"/>
          </w:tcPr>
          <w:p>
            <w:pPr>
              <w:spacing w:after="0"/>
              <w:rPr>
                <w:sz w:val="12"/>
                <w:szCs w:val="12"/>
                <w:color w:val="auto"/>
              </w:rPr>
            </w:pPr>
          </w:p>
        </w:tc>
        <w:tc>
          <w:tcPr>
            <w:tcW w:w="220" w:type="dxa"/>
            <w:vAlign w:val="bottom"/>
            <w:tcBorders>
              <w:top w:val="single" w:sz="8" w:color="E5E5E5"/>
            </w:tcBorders>
            <w:gridSpan w:val="2"/>
            <w:shd w:val="clear" w:color="auto" w:fill="E5E5E5"/>
          </w:tcPr>
          <w:p>
            <w:pPr>
              <w:spacing w:after="0"/>
              <w:rPr>
                <w:sz w:val="12"/>
                <w:szCs w:val="12"/>
                <w:color w:val="auto"/>
              </w:rPr>
            </w:pPr>
          </w:p>
        </w:tc>
        <w:tc>
          <w:tcPr>
            <w:tcW w:w="80" w:type="dxa"/>
            <w:vAlign w:val="bottom"/>
            <w:tcBorders>
              <w:top w:val="single" w:sz="8" w:color="E5E5E5"/>
            </w:tcBorders>
            <w:shd w:val="clear" w:color="auto" w:fill="E5E5E5"/>
          </w:tcPr>
          <w:p>
            <w:pPr>
              <w:spacing w:after="0"/>
              <w:rPr>
                <w:sz w:val="12"/>
                <w:szCs w:val="12"/>
                <w:color w:val="auto"/>
              </w:rPr>
            </w:pPr>
          </w:p>
        </w:tc>
        <w:tc>
          <w:tcPr>
            <w:tcW w:w="160" w:type="dxa"/>
            <w:vAlign w:val="bottom"/>
            <w:tcBorders>
              <w:top w:val="single" w:sz="8" w:color="E5E5E5"/>
            </w:tcBorders>
            <w:shd w:val="clear" w:color="auto" w:fill="E5E5E5"/>
          </w:tcPr>
          <w:p>
            <w:pPr>
              <w:spacing w:after="0"/>
              <w:rPr>
                <w:sz w:val="12"/>
                <w:szCs w:val="12"/>
                <w:color w:val="auto"/>
              </w:rPr>
            </w:pPr>
          </w:p>
        </w:tc>
        <w:tc>
          <w:tcPr>
            <w:tcW w:w="40" w:type="dxa"/>
            <w:vAlign w:val="bottom"/>
            <w:tcBorders>
              <w:top w:val="single" w:sz="8" w:color="E5E5E5"/>
            </w:tcBorders>
            <w:shd w:val="clear" w:color="auto" w:fill="E5E5E5"/>
          </w:tcPr>
          <w:p>
            <w:pPr>
              <w:spacing w:after="0"/>
              <w:rPr>
                <w:sz w:val="12"/>
                <w:szCs w:val="12"/>
                <w:color w:val="auto"/>
              </w:rPr>
            </w:pPr>
          </w:p>
        </w:tc>
        <w:tc>
          <w:tcPr>
            <w:tcW w:w="200" w:type="dxa"/>
            <w:vAlign w:val="bottom"/>
            <w:tcBorders>
              <w:top w:val="single" w:sz="8" w:color="E5E5E5"/>
            </w:tcBorders>
            <w:vMerge w:val="continue"/>
            <w:shd w:val="clear" w:color="auto" w:fill="E5E5E5"/>
          </w:tcPr>
          <w:p>
            <w:pPr>
              <w:spacing w:after="0"/>
              <w:rPr>
                <w:sz w:val="12"/>
                <w:szCs w:val="12"/>
                <w:color w:val="auto"/>
              </w:rPr>
            </w:pPr>
          </w:p>
        </w:tc>
        <w:tc>
          <w:tcPr>
            <w:tcW w:w="100" w:type="dxa"/>
            <w:vAlign w:val="bottom"/>
            <w:tcBorders>
              <w:top w:val="single" w:sz="8" w:color="E5E5E5"/>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 w:type="dxa"/>
            <w:vAlign w:val="bottom"/>
            <w:tcBorders>
              <w:right w:val="single" w:sz="8" w:color="E5E5E5"/>
            </w:tcBorders>
          </w:tcPr>
          <w:p>
            <w:pPr>
              <w:spacing w:after="0" w:line="20" w:lineRule="exact"/>
              <w:rPr>
                <w:sz w:val="1"/>
                <w:szCs w:val="1"/>
                <w:color w:val="auto"/>
              </w:rPr>
            </w:pPr>
          </w:p>
        </w:tc>
        <w:tc>
          <w:tcPr>
            <w:tcW w:w="100" w:type="dxa"/>
            <w:vAlign w:val="bottom"/>
            <w:shd w:val="clear" w:color="auto" w:fill="E5E5E5"/>
          </w:tcPr>
          <w:p>
            <w:pPr>
              <w:spacing w:after="0" w:line="20" w:lineRule="exact"/>
              <w:rPr>
                <w:sz w:val="1"/>
                <w:szCs w:val="1"/>
                <w:color w:val="auto"/>
              </w:rPr>
            </w:pPr>
          </w:p>
        </w:tc>
        <w:tc>
          <w:tcPr>
            <w:tcW w:w="140" w:type="dxa"/>
            <w:vAlign w:val="bottom"/>
            <w:shd w:val="clear" w:color="auto" w:fill="E5E5E5"/>
          </w:tcPr>
          <w:p>
            <w:pPr>
              <w:spacing w:after="0" w:line="20" w:lineRule="exact"/>
              <w:rPr>
                <w:sz w:val="1"/>
                <w:szCs w:val="1"/>
                <w:color w:val="auto"/>
              </w:rPr>
            </w:pPr>
          </w:p>
        </w:tc>
        <w:tc>
          <w:tcPr>
            <w:tcW w:w="140" w:type="dxa"/>
            <w:vAlign w:val="bottom"/>
            <w:shd w:val="clear" w:color="auto" w:fill="E5E5E5"/>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gridSpan w:val="3"/>
            <w:vMerge w:val="restart"/>
            <w:shd w:val="clear" w:color="auto" w:fill="E5E5E5"/>
          </w:tcPr>
          <w:p>
            <w:pPr>
              <w:spacing w:after="0" w:line="20" w:lineRule="exact"/>
              <w:rPr>
                <w:sz w:val="1"/>
                <w:szCs w:val="1"/>
                <w:color w:val="auto"/>
              </w:rPr>
            </w:pPr>
          </w:p>
        </w:tc>
        <w:tc>
          <w:tcPr>
            <w:tcW w:w="240" w:type="dxa"/>
            <w:vAlign w:val="bottom"/>
            <w:vMerge w:val="restart"/>
            <w:shd w:val="clear" w:color="auto" w:fill="E5E5E5"/>
          </w:tcPr>
          <w:p>
            <w:pPr>
              <w:spacing w:after="0" w:line="20" w:lineRule="exact"/>
              <w:rPr>
                <w:sz w:val="1"/>
                <w:szCs w:val="1"/>
                <w:color w:val="auto"/>
              </w:rPr>
            </w:pPr>
          </w:p>
        </w:tc>
        <w:tc>
          <w:tcPr>
            <w:tcW w:w="240" w:type="dxa"/>
            <w:vAlign w:val="bottom"/>
            <w:gridSpan w:val="3"/>
            <w:vMerge w:val="restart"/>
            <w:shd w:val="clear" w:color="auto" w:fill="E5E5E5"/>
          </w:tcPr>
          <w:p>
            <w:pPr>
              <w:spacing w:after="0" w:line="20" w:lineRule="exact"/>
              <w:rPr>
                <w:sz w:val="1"/>
                <w:szCs w:val="1"/>
                <w:color w:val="auto"/>
              </w:rPr>
            </w:pPr>
          </w:p>
        </w:tc>
        <w:tc>
          <w:tcPr>
            <w:tcW w:w="1060" w:type="dxa"/>
            <w:vAlign w:val="bottom"/>
            <w:gridSpan w:val="10"/>
            <w:vMerge w:val="restart"/>
            <w:shd w:val="clear" w:color="auto" w:fill="E5E5E5"/>
          </w:tcPr>
          <w:p>
            <w:pPr>
              <w:spacing w:after="0" w:line="20" w:lineRule="exact"/>
              <w:rPr>
                <w:sz w:val="1"/>
                <w:szCs w:val="1"/>
                <w:color w:val="auto"/>
              </w:rPr>
            </w:pPr>
          </w:p>
        </w:tc>
        <w:tc>
          <w:tcPr>
            <w:tcW w:w="620" w:type="dxa"/>
            <w:vAlign w:val="bottom"/>
            <w:gridSpan w:val="2"/>
            <w:vMerge w:val="restart"/>
            <w:shd w:val="clear" w:color="auto" w:fill="E5E5E5"/>
          </w:tcPr>
          <w:p>
            <w:pPr>
              <w:spacing w:after="0" w:line="20" w:lineRule="exact"/>
              <w:rPr>
                <w:sz w:val="1"/>
                <w:szCs w:val="1"/>
                <w:color w:val="auto"/>
              </w:rPr>
            </w:pPr>
          </w:p>
        </w:tc>
        <w:tc>
          <w:tcPr>
            <w:tcW w:w="20" w:type="dxa"/>
            <w:vAlign w:val="bottom"/>
            <w:vMerge w:val="restart"/>
            <w:shd w:val="clear" w:color="auto" w:fill="E5E5E5"/>
          </w:tcPr>
          <w:p>
            <w:pPr>
              <w:spacing w:after="0" w:line="20" w:lineRule="exact"/>
              <w:rPr>
                <w:sz w:val="1"/>
                <w:szCs w:val="1"/>
                <w:color w:val="auto"/>
              </w:rPr>
            </w:pPr>
          </w:p>
        </w:tc>
        <w:tc>
          <w:tcPr>
            <w:tcW w:w="220" w:type="dxa"/>
            <w:vAlign w:val="bottom"/>
            <w:vMerge w:val="restart"/>
            <w:shd w:val="clear" w:color="auto" w:fill="E5E5E5"/>
          </w:tcPr>
          <w:p>
            <w:pPr>
              <w:spacing w:after="0" w:line="20" w:lineRule="exact"/>
              <w:rPr>
                <w:sz w:val="1"/>
                <w:szCs w:val="1"/>
                <w:color w:val="auto"/>
              </w:rPr>
            </w:pPr>
          </w:p>
        </w:tc>
        <w:tc>
          <w:tcPr>
            <w:tcW w:w="200" w:type="dxa"/>
            <w:vAlign w:val="bottom"/>
            <w:gridSpan w:val="3"/>
            <w:vMerge w:val="restart"/>
            <w:shd w:val="clear" w:color="auto" w:fill="E5E5E5"/>
          </w:tcPr>
          <w:p>
            <w:pPr>
              <w:spacing w:after="0" w:line="20" w:lineRule="exact"/>
              <w:rPr>
                <w:sz w:val="1"/>
                <w:szCs w:val="1"/>
                <w:color w:val="auto"/>
              </w:rPr>
            </w:pPr>
          </w:p>
        </w:tc>
        <w:tc>
          <w:tcPr>
            <w:tcW w:w="220" w:type="dxa"/>
            <w:vAlign w:val="bottom"/>
            <w:gridSpan w:val="2"/>
            <w:vMerge w:val="restart"/>
            <w:shd w:val="clear" w:color="auto" w:fill="E5E5E5"/>
          </w:tcPr>
          <w:p>
            <w:pPr>
              <w:spacing w:after="0" w:line="20" w:lineRule="exact"/>
              <w:rPr>
                <w:sz w:val="1"/>
                <w:szCs w:val="1"/>
                <w:color w:val="auto"/>
              </w:rPr>
            </w:pPr>
          </w:p>
        </w:tc>
        <w:tc>
          <w:tcPr>
            <w:tcW w:w="80" w:type="dxa"/>
            <w:vAlign w:val="bottom"/>
            <w:vMerge w:val="restart"/>
            <w:shd w:val="clear" w:color="auto" w:fill="E5E5E5"/>
          </w:tcPr>
          <w:p>
            <w:pPr>
              <w:spacing w:after="0" w:line="20" w:lineRule="exact"/>
              <w:rPr>
                <w:sz w:val="1"/>
                <w:szCs w:val="1"/>
                <w:color w:val="auto"/>
              </w:rPr>
            </w:pPr>
          </w:p>
        </w:tc>
        <w:tc>
          <w:tcPr>
            <w:tcW w:w="160" w:type="dxa"/>
            <w:vAlign w:val="bottom"/>
            <w:shd w:val="clear" w:color="auto" w:fill="E5E5E5"/>
          </w:tcPr>
          <w:p>
            <w:pPr>
              <w:spacing w:after="0" w:line="20" w:lineRule="exact"/>
              <w:rPr>
                <w:sz w:val="1"/>
                <w:szCs w:val="1"/>
                <w:color w:val="auto"/>
              </w:rPr>
            </w:pPr>
          </w:p>
        </w:tc>
        <w:tc>
          <w:tcPr>
            <w:tcW w:w="40" w:type="dxa"/>
            <w:vAlign w:val="bottom"/>
            <w:shd w:val="clear" w:color="auto" w:fill="E5E5E5"/>
          </w:tcPr>
          <w:p>
            <w:pPr>
              <w:spacing w:after="0" w:line="20" w:lineRule="exact"/>
              <w:rPr>
                <w:sz w:val="1"/>
                <w:szCs w:val="1"/>
                <w:color w:val="auto"/>
              </w:rPr>
            </w:pPr>
          </w:p>
        </w:tc>
        <w:tc>
          <w:tcPr>
            <w:tcW w:w="200" w:type="dxa"/>
            <w:vAlign w:val="bottom"/>
            <w:vMerge w:val="restart"/>
            <w:shd w:val="clear" w:color="auto" w:fill="E5E5E5"/>
          </w:tcPr>
          <w:p>
            <w:pPr>
              <w:jc w:val="right"/>
              <w:spacing w:after="0" w:line="160" w:lineRule="exact"/>
              <w:rPr>
                <w:sz w:val="20"/>
                <w:szCs w:val="20"/>
                <w:color w:val="auto"/>
              </w:rPr>
            </w:pPr>
            <w:r>
              <w:rPr>
                <w:rFonts w:ascii="Arial" w:cs="Arial" w:eastAsia="Arial" w:hAnsi="Arial"/>
                <w:sz w:val="15"/>
                <w:szCs w:val="15"/>
                <w:color w:val="auto"/>
              </w:rPr>
              <w:t>46</w:t>
            </w:r>
          </w:p>
        </w:tc>
        <w:tc>
          <w:tcPr>
            <w:tcW w:w="10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80" w:type="dxa"/>
            <w:vAlign w:val="bottom"/>
            <w:tcBorders>
              <w:right w:val="single" w:sz="8" w:color="E5E5E5"/>
            </w:tcBorders>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1360" w:type="dxa"/>
            <w:vAlign w:val="bottom"/>
            <w:gridSpan w:val="10"/>
            <w:shd w:val="clear" w:color="auto" w:fill="E5E5E5"/>
          </w:tcPr>
          <w:p>
            <w:pPr>
              <w:spacing w:after="0" w:line="140" w:lineRule="exact"/>
              <w:rPr>
                <w:rFonts w:ascii="Arial" w:cs="Arial" w:eastAsia="Arial" w:hAnsi="Arial"/>
                <w:sz w:val="15"/>
                <w:szCs w:val="15"/>
                <w:color w:val="0000EE"/>
              </w:rPr>
            </w:pPr>
            <w:hyperlink w:anchor="page58">
              <w:r>
                <w:rPr>
                  <w:rFonts w:ascii="Arial" w:cs="Arial" w:eastAsia="Arial" w:hAnsi="Arial"/>
                  <w:sz w:val="15"/>
                  <w:szCs w:val="15"/>
                  <w:color w:val="0000EE"/>
                </w:rPr>
                <w:t>CEO Pay Ratio</w:t>
              </w:r>
            </w:hyperlink>
          </w:p>
        </w:tc>
        <w:tc>
          <w:tcPr>
            <w:tcW w:w="240" w:type="dxa"/>
            <w:vAlign w:val="bottom"/>
            <w:gridSpan w:val="3"/>
            <w:vMerge w:val="continue"/>
            <w:shd w:val="clear" w:color="auto" w:fill="E5E5E5"/>
          </w:tcPr>
          <w:p>
            <w:pPr>
              <w:spacing w:after="0"/>
              <w:rPr>
                <w:sz w:val="12"/>
                <w:szCs w:val="12"/>
                <w:color w:val="auto"/>
              </w:rPr>
            </w:pPr>
          </w:p>
        </w:tc>
        <w:tc>
          <w:tcPr>
            <w:tcW w:w="240" w:type="dxa"/>
            <w:vAlign w:val="bottom"/>
            <w:vMerge w:val="continue"/>
            <w:shd w:val="clear" w:color="auto" w:fill="E5E5E5"/>
          </w:tcPr>
          <w:p>
            <w:pPr>
              <w:spacing w:after="0"/>
              <w:rPr>
                <w:sz w:val="12"/>
                <w:szCs w:val="12"/>
                <w:color w:val="auto"/>
              </w:rPr>
            </w:pPr>
          </w:p>
        </w:tc>
        <w:tc>
          <w:tcPr>
            <w:tcW w:w="240" w:type="dxa"/>
            <w:vAlign w:val="bottom"/>
            <w:gridSpan w:val="3"/>
            <w:vMerge w:val="continue"/>
            <w:shd w:val="clear" w:color="auto" w:fill="E5E5E5"/>
          </w:tcPr>
          <w:p>
            <w:pPr>
              <w:spacing w:after="0"/>
              <w:rPr>
                <w:sz w:val="12"/>
                <w:szCs w:val="12"/>
                <w:color w:val="auto"/>
              </w:rPr>
            </w:pPr>
          </w:p>
        </w:tc>
        <w:tc>
          <w:tcPr>
            <w:tcW w:w="1060" w:type="dxa"/>
            <w:vAlign w:val="bottom"/>
            <w:gridSpan w:val="10"/>
            <w:vMerge w:val="continue"/>
            <w:shd w:val="clear" w:color="auto" w:fill="E5E5E5"/>
          </w:tcPr>
          <w:p>
            <w:pPr>
              <w:spacing w:after="0"/>
              <w:rPr>
                <w:sz w:val="12"/>
                <w:szCs w:val="12"/>
                <w:color w:val="auto"/>
              </w:rPr>
            </w:pPr>
          </w:p>
        </w:tc>
        <w:tc>
          <w:tcPr>
            <w:tcW w:w="620" w:type="dxa"/>
            <w:vAlign w:val="bottom"/>
            <w:gridSpan w:val="2"/>
            <w:vMerge w:val="continue"/>
            <w:shd w:val="clear" w:color="auto" w:fill="E5E5E5"/>
          </w:tcPr>
          <w:p>
            <w:pPr>
              <w:spacing w:after="0"/>
              <w:rPr>
                <w:sz w:val="12"/>
                <w:szCs w:val="12"/>
                <w:color w:val="auto"/>
              </w:rPr>
            </w:pPr>
          </w:p>
        </w:tc>
        <w:tc>
          <w:tcPr>
            <w:tcW w:w="20" w:type="dxa"/>
            <w:vAlign w:val="bottom"/>
            <w:vMerge w:val="continue"/>
            <w:shd w:val="clear" w:color="auto" w:fill="E5E5E5"/>
          </w:tcPr>
          <w:p>
            <w:pPr>
              <w:spacing w:after="0"/>
              <w:rPr>
                <w:sz w:val="12"/>
                <w:szCs w:val="12"/>
                <w:color w:val="auto"/>
              </w:rPr>
            </w:pPr>
          </w:p>
        </w:tc>
        <w:tc>
          <w:tcPr>
            <w:tcW w:w="220" w:type="dxa"/>
            <w:vAlign w:val="bottom"/>
            <w:vMerge w:val="continue"/>
            <w:shd w:val="clear" w:color="auto" w:fill="E5E5E5"/>
          </w:tcPr>
          <w:p>
            <w:pPr>
              <w:spacing w:after="0"/>
              <w:rPr>
                <w:sz w:val="12"/>
                <w:szCs w:val="12"/>
                <w:color w:val="auto"/>
              </w:rPr>
            </w:pPr>
          </w:p>
        </w:tc>
        <w:tc>
          <w:tcPr>
            <w:tcW w:w="200" w:type="dxa"/>
            <w:vAlign w:val="bottom"/>
            <w:gridSpan w:val="3"/>
            <w:vMerge w:val="continue"/>
            <w:shd w:val="clear" w:color="auto" w:fill="E5E5E5"/>
          </w:tcPr>
          <w:p>
            <w:pPr>
              <w:spacing w:after="0"/>
              <w:rPr>
                <w:sz w:val="12"/>
                <w:szCs w:val="12"/>
                <w:color w:val="auto"/>
              </w:rPr>
            </w:pPr>
          </w:p>
        </w:tc>
        <w:tc>
          <w:tcPr>
            <w:tcW w:w="220" w:type="dxa"/>
            <w:vAlign w:val="bottom"/>
            <w:gridSpan w:val="2"/>
            <w:vMerge w:val="continue"/>
            <w:shd w:val="clear" w:color="auto" w:fill="E5E5E5"/>
          </w:tcPr>
          <w:p>
            <w:pPr>
              <w:spacing w:after="0"/>
              <w:rPr>
                <w:sz w:val="12"/>
                <w:szCs w:val="12"/>
                <w:color w:val="auto"/>
              </w:rPr>
            </w:pPr>
          </w:p>
        </w:tc>
        <w:tc>
          <w:tcPr>
            <w:tcW w:w="80" w:type="dxa"/>
            <w:vAlign w:val="bottom"/>
            <w:vMerge w:val="continue"/>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200" w:type="dxa"/>
            <w:vAlign w:val="bottom"/>
            <w:vMerge w:val="continue"/>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 w:type="dxa"/>
            <w:vAlign w:val="bottom"/>
            <w:tcBorders>
              <w:right w:val="single" w:sz="8" w:color="E5E5E5"/>
            </w:tcBorders>
          </w:tcPr>
          <w:p>
            <w:pPr>
              <w:spacing w:after="0"/>
              <w:rPr>
                <w:sz w:val="12"/>
                <w:szCs w:val="12"/>
                <w:color w:val="auto"/>
              </w:rPr>
            </w:pPr>
          </w:p>
        </w:tc>
        <w:tc>
          <w:tcPr>
            <w:tcW w:w="100" w:type="dxa"/>
            <w:vAlign w:val="bottom"/>
            <w:tcBorders>
              <w:top w:val="single" w:sz="8" w:color="E5E5E5"/>
              <w:bottom w:val="single" w:sz="8" w:color="E5E5E5"/>
            </w:tcBorders>
            <w:shd w:val="clear" w:color="auto" w:fill="E5E5E5"/>
          </w:tcPr>
          <w:p>
            <w:pPr>
              <w:spacing w:after="0"/>
              <w:rPr>
                <w:sz w:val="12"/>
                <w:szCs w:val="12"/>
                <w:color w:val="auto"/>
              </w:rPr>
            </w:pPr>
          </w:p>
        </w:tc>
        <w:tc>
          <w:tcPr>
            <w:tcW w:w="140" w:type="dxa"/>
            <w:vAlign w:val="bottom"/>
            <w:tcBorders>
              <w:top w:val="single" w:sz="8" w:color="E5E5E5"/>
              <w:bottom w:val="single" w:sz="8" w:color="E5E5E5"/>
            </w:tcBorders>
            <w:shd w:val="clear" w:color="auto" w:fill="E5E5E5"/>
          </w:tcPr>
          <w:p>
            <w:pPr>
              <w:spacing w:after="0"/>
              <w:rPr>
                <w:sz w:val="12"/>
                <w:szCs w:val="12"/>
                <w:color w:val="auto"/>
              </w:rPr>
            </w:pPr>
          </w:p>
        </w:tc>
        <w:tc>
          <w:tcPr>
            <w:tcW w:w="1020" w:type="dxa"/>
            <w:vAlign w:val="bottom"/>
            <w:tcBorders>
              <w:top w:val="single" w:sz="8" w:color="0000EE"/>
              <w:bottom w:val="single" w:sz="8" w:color="0000EE"/>
            </w:tcBorders>
            <w:gridSpan w:val="6"/>
            <w:shd w:val="clear" w:color="auto" w:fill="E5E5E5"/>
          </w:tcPr>
          <w:p>
            <w:pPr>
              <w:spacing w:after="0" w:line="140" w:lineRule="exact"/>
              <w:rPr>
                <w:rFonts w:ascii="Arial" w:cs="Arial" w:eastAsia="Arial" w:hAnsi="Arial"/>
                <w:sz w:val="15"/>
                <w:szCs w:val="15"/>
                <w:color w:val="0000EE"/>
              </w:rPr>
            </w:pPr>
            <w:hyperlink w:anchor="page59">
              <w:r>
                <w:rPr>
                  <w:rFonts w:ascii="Arial" w:cs="Arial" w:eastAsia="Arial" w:hAnsi="Arial"/>
                  <w:sz w:val="15"/>
                  <w:szCs w:val="15"/>
                  <w:color w:val="0000EE"/>
                </w:rPr>
                <w:t>Compensation</w:t>
              </w:r>
            </w:hyperlink>
          </w:p>
        </w:tc>
        <w:tc>
          <w:tcPr>
            <w:tcW w:w="580" w:type="dxa"/>
            <w:vAlign w:val="bottom"/>
            <w:tcBorders>
              <w:top w:val="single" w:sz="8" w:color="E5E5E5"/>
              <w:bottom w:val="single" w:sz="8" w:color="0000EE"/>
            </w:tcBorders>
            <w:gridSpan w:val="7"/>
            <w:shd w:val="clear" w:color="auto" w:fill="E5E5E5"/>
          </w:tcPr>
          <w:p>
            <w:pPr>
              <w:spacing w:after="0" w:line="140" w:lineRule="exact"/>
              <w:rPr>
                <w:rFonts w:ascii="Arial" w:cs="Arial" w:eastAsia="Arial" w:hAnsi="Arial"/>
                <w:sz w:val="15"/>
                <w:szCs w:val="15"/>
                <w:color w:val="0000EE"/>
                <w:w w:val="95"/>
              </w:rPr>
            </w:pPr>
            <w:hyperlink w:anchor="page59">
              <w:r>
                <w:rPr>
                  <w:rFonts w:ascii="Arial" w:cs="Arial" w:eastAsia="Arial" w:hAnsi="Arial"/>
                  <w:sz w:val="15"/>
                  <w:szCs w:val="15"/>
                  <w:color w:val="0000EE"/>
                  <w:w w:val="95"/>
                </w:rPr>
                <w:t>and Risk</w:t>
              </w:r>
            </w:hyperlink>
          </w:p>
        </w:tc>
        <w:tc>
          <w:tcPr>
            <w:tcW w:w="2900" w:type="dxa"/>
            <w:vAlign w:val="bottom"/>
            <w:tcBorders>
              <w:top w:val="single" w:sz="8" w:color="E5E5E5"/>
              <w:bottom w:val="single" w:sz="8" w:color="E5E5E5"/>
            </w:tcBorders>
            <w:gridSpan w:val="24"/>
            <w:shd w:val="clear" w:color="auto" w:fill="E5E5E5"/>
          </w:tcPr>
          <w:p>
            <w:pPr>
              <w:spacing w:after="0"/>
              <w:rPr>
                <w:sz w:val="12"/>
                <w:szCs w:val="12"/>
                <w:color w:val="auto"/>
              </w:rPr>
            </w:pPr>
          </w:p>
        </w:tc>
        <w:tc>
          <w:tcPr>
            <w:tcW w:w="160" w:type="dxa"/>
            <w:vAlign w:val="bottom"/>
            <w:tcBorders>
              <w:top w:val="single" w:sz="8" w:color="E5E5E5"/>
              <w:bottom w:val="single" w:sz="8" w:color="E5E5E5"/>
            </w:tcBorders>
            <w:shd w:val="clear" w:color="auto" w:fill="E5E5E5"/>
          </w:tcPr>
          <w:p>
            <w:pPr>
              <w:spacing w:after="0"/>
              <w:rPr>
                <w:sz w:val="12"/>
                <w:szCs w:val="12"/>
                <w:color w:val="auto"/>
              </w:rPr>
            </w:pPr>
          </w:p>
        </w:tc>
        <w:tc>
          <w:tcPr>
            <w:tcW w:w="40" w:type="dxa"/>
            <w:vAlign w:val="bottom"/>
            <w:tcBorders>
              <w:top w:val="single" w:sz="8" w:color="E5E5E5"/>
              <w:bottom w:val="single" w:sz="8" w:color="E5E5E5"/>
            </w:tcBorders>
            <w:shd w:val="clear" w:color="auto" w:fill="E5E5E5"/>
          </w:tcPr>
          <w:p>
            <w:pPr>
              <w:spacing w:after="0"/>
              <w:rPr>
                <w:sz w:val="12"/>
                <w:szCs w:val="12"/>
                <w:color w:val="auto"/>
              </w:rPr>
            </w:pPr>
          </w:p>
        </w:tc>
        <w:tc>
          <w:tcPr>
            <w:tcW w:w="200" w:type="dxa"/>
            <w:vAlign w:val="bottom"/>
            <w:tcBorders>
              <w:top w:val="single" w:sz="8" w:color="E5E5E5"/>
              <w:bottom w:val="single" w:sz="8" w:color="E5E5E5"/>
            </w:tcBorders>
            <w:shd w:val="clear" w:color="auto" w:fill="E5E5E5"/>
          </w:tcPr>
          <w:p>
            <w:pPr>
              <w:jc w:val="right"/>
              <w:spacing w:after="0" w:line="140" w:lineRule="exact"/>
              <w:rPr>
                <w:sz w:val="20"/>
                <w:szCs w:val="20"/>
                <w:color w:val="auto"/>
              </w:rPr>
            </w:pPr>
            <w:r>
              <w:rPr>
                <w:rFonts w:ascii="Arial" w:cs="Arial" w:eastAsia="Arial" w:hAnsi="Arial"/>
                <w:sz w:val="15"/>
                <w:szCs w:val="15"/>
                <w:color w:val="auto"/>
              </w:rPr>
              <w:t>47</w:t>
            </w:r>
          </w:p>
        </w:tc>
        <w:tc>
          <w:tcPr>
            <w:tcW w:w="100" w:type="dxa"/>
            <w:vAlign w:val="bottom"/>
            <w:tcBorders>
              <w:top w:val="single" w:sz="8" w:color="E5E5E5"/>
              <w:bottom w:val="single" w:sz="8" w:color="E5E5E5"/>
            </w:tcBorders>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4820" w:type="dxa"/>
            <w:vAlign w:val="bottom"/>
            <w:gridSpan w:val="40"/>
          </w:tcPr>
          <w:p>
            <w:pPr>
              <w:spacing w:after="0"/>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PROPOSAL 2:   ADVISORY VOTE TO APPROVE THE</w:t>
              </w:r>
            </w:hyperlink>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340" w:type="dxa"/>
            <w:vAlign w:val="bottom"/>
            <w:tcBorders>
              <w:top w:val="single" w:sz="8" w:color="0000EE"/>
            </w:tcBorders>
            <w:gridSpan w:val="35"/>
          </w:tcPr>
          <w:p>
            <w:pPr>
              <w:spacing w:after="0" w:line="180" w:lineRule="exact"/>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COMPENSATION OF THE NAMED EXECUTIVE</w:t>
              </w:r>
            </w:hyperlink>
          </w:p>
        </w:tc>
        <w:tc>
          <w:tcPr>
            <w:tcW w:w="22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900" w:type="dxa"/>
            <w:vAlign w:val="bottom"/>
            <w:tcBorders>
              <w:top w:val="single" w:sz="8" w:color="0000EE"/>
            </w:tcBorders>
            <w:gridSpan w:val="30"/>
          </w:tcPr>
          <w:p>
            <w:pPr>
              <w:spacing w:after="0" w:line="180" w:lineRule="exact"/>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OFFICERS</w:t>
              </w:r>
            </w:hyperlink>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gridSpan w:val="5"/>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gridSpan w:val="3"/>
          </w:tcPr>
          <w:p>
            <w:pPr>
              <w:jc w:val="right"/>
              <w:spacing w:after="0" w:line="180" w:lineRule="exact"/>
              <w:rPr>
                <w:sz w:val="20"/>
                <w:szCs w:val="20"/>
                <w:color w:val="auto"/>
              </w:rPr>
            </w:pPr>
            <w:r>
              <w:rPr>
                <w:rFonts w:ascii="Arial" w:cs="Arial" w:eastAsia="Arial" w:hAnsi="Arial"/>
                <w:sz w:val="18"/>
                <w:szCs w:val="18"/>
                <w:color w:val="auto"/>
              </w:rPr>
              <w:t>48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0" w:type="dxa"/>
            <w:vAlign w:val="bottom"/>
            <w:tcBorders>
              <w:bottom w:val="single" w:sz="8" w:color="007549"/>
            </w:tcBorders>
          </w:tcPr>
          <w:p>
            <w:pPr>
              <w:spacing w:after="0" w:line="20" w:lineRule="exact"/>
              <w:rPr>
                <w:sz w:val="1"/>
                <w:szCs w:val="1"/>
                <w:color w:val="auto"/>
              </w:rPr>
            </w:pPr>
          </w:p>
        </w:tc>
        <w:tc>
          <w:tcPr>
            <w:tcW w:w="140" w:type="dxa"/>
            <w:vAlign w:val="bottom"/>
            <w:tcBorders>
              <w:top w:val="single" w:sz="8" w:color="0000EE"/>
              <w:bottom w:val="single" w:sz="8" w:color="007549"/>
            </w:tcBorders>
          </w:tcPr>
          <w:p>
            <w:pPr>
              <w:spacing w:after="0" w:line="20" w:lineRule="exact"/>
              <w:rPr>
                <w:sz w:val="1"/>
                <w:szCs w:val="1"/>
                <w:color w:val="auto"/>
              </w:rPr>
            </w:pPr>
          </w:p>
        </w:tc>
        <w:tc>
          <w:tcPr>
            <w:tcW w:w="140" w:type="dxa"/>
            <w:vAlign w:val="bottom"/>
            <w:tcBorders>
              <w:top w:val="single" w:sz="8" w:color="0000EE"/>
              <w:bottom w:val="single" w:sz="8" w:color="007549"/>
            </w:tcBorders>
          </w:tcPr>
          <w:p>
            <w:pPr>
              <w:spacing w:after="0" w:line="20" w:lineRule="exact"/>
              <w:rPr>
                <w:sz w:val="1"/>
                <w:szCs w:val="1"/>
                <w:color w:val="auto"/>
              </w:rPr>
            </w:pPr>
          </w:p>
        </w:tc>
        <w:tc>
          <w:tcPr>
            <w:tcW w:w="620" w:type="dxa"/>
            <w:vAlign w:val="bottom"/>
            <w:tcBorders>
              <w:top w:val="single" w:sz="8" w:color="0000EE"/>
              <w:bottom w:val="single" w:sz="8" w:color="007549"/>
            </w:tcBorders>
          </w:tcPr>
          <w:p>
            <w:pPr>
              <w:spacing w:after="0" w:line="20" w:lineRule="exact"/>
              <w:rPr>
                <w:sz w:val="1"/>
                <w:szCs w:val="1"/>
                <w:color w:val="auto"/>
              </w:rPr>
            </w:pPr>
          </w:p>
        </w:tc>
        <w:tc>
          <w:tcPr>
            <w:tcW w:w="20" w:type="dxa"/>
            <w:vAlign w:val="bottom"/>
            <w:tcBorders>
              <w:bottom w:val="single" w:sz="8" w:color="007549"/>
            </w:tcBorders>
          </w:tcPr>
          <w:p>
            <w:pPr>
              <w:spacing w:after="0" w:line="20" w:lineRule="exact"/>
              <w:rPr>
                <w:sz w:val="1"/>
                <w:szCs w:val="1"/>
                <w:color w:val="auto"/>
              </w:rPr>
            </w:pPr>
          </w:p>
        </w:tc>
        <w:tc>
          <w:tcPr>
            <w:tcW w:w="160" w:type="dxa"/>
            <w:vAlign w:val="bottom"/>
            <w:tcBorders>
              <w:bottom w:val="single" w:sz="8" w:color="007549"/>
            </w:tcBorders>
          </w:tcPr>
          <w:p>
            <w:pPr>
              <w:spacing w:after="0" w:line="20" w:lineRule="exact"/>
              <w:rPr>
                <w:sz w:val="1"/>
                <w:szCs w:val="1"/>
                <w:color w:val="auto"/>
              </w:rPr>
            </w:pPr>
          </w:p>
        </w:tc>
        <w:tc>
          <w:tcPr>
            <w:tcW w:w="60" w:type="dxa"/>
            <w:vAlign w:val="bottom"/>
            <w:tcBorders>
              <w:bottom w:val="single" w:sz="8" w:color="007549"/>
            </w:tcBorders>
          </w:tcPr>
          <w:p>
            <w:pPr>
              <w:spacing w:after="0" w:line="20" w:lineRule="exact"/>
              <w:rPr>
                <w:sz w:val="1"/>
                <w:szCs w:val="1"/>
                <w:color w:val="auto"/>
              </w:rPr>
            </w:pPr>
          </w:p>
        </w:tc>
        <w:tc>
          <w:tcPr>
            <w:tcW w:w="20" w:type="dxa"/>
            <w:vAlign w:val="bottom"/>
            <w:tcBorders>
              <w:bottom w:val="single" w:sz="8" w:color="007549"/>
            </w:tcBorders>
          </w:tcPr>
          <w:p>
            <w:pPr>
              <w:spacing w:after="0" w:line="20" w:lineRule="exact"/>
              <w:rPr>
                <w:sz w:val="1"/>
                <w:szCs w:val="1"/>
                <w:color w:val="auto"/>
              </w:rPr>
            </w:pPr>
          </w:p>
        </w:tc>
        <w:tc>
          <w:tcPr>
            <w:tcW w:w="100" w:type="dxa"/>
            <w:vAlign w:val="bottom"/>
            <w:tcBorders>
              <w:bottom w:val="single" w:sz="8" w:color="007549"/>
            </w:tcBorders>
          </w:tcPr>
          <w:p>
            <w:pPr>
              <w:spacing w:after="0" w:line="20" w:lineRule="exact"/>
              <w:rPr>
                <w:sz w:val="1"/>
                <w:szCs w:val="1"/>
                <w:color w:val="auto"/>
              </w:rPr>
            </w:pPr>
          </w:p>
        </w:tc>
        <w:tc>
          <w:tcPr>
            <w:tcW w:w="80" w:type="dxa"/>
            <w:vAlign w:val="bottom"/>
            <w:tcBorders>
              <w:bottom w:val="single" w:sz="8" w:color="007549"/>
            </w:tcBorders>
          </w:tcPr>
          <w:p>
            <w:pPr>
              <w:spacing w:after="0" w:line="20" w:lineRule="exact"/>
              <w:rPr>
                <w:sz w:val="1"/>
                <w:szCs w:val="1"/>
                <w:color w:val="auto"/>
              </w:rPr>
            </w:pPr>
          </w:p>
        </w:tc>
        <w:tc>
          <w:tcPr>
            <w:tcW w:w="140" w:type="dxa"/>
            <w:vAlign w:val="bottom"/>
            <w:tcBorders>
              <w:bottom w:val="single" w:sz="8" w:color="007549"/>
            </w:tcBorders>
          </w:tcPr>
          <w:p>
            <w:pPr>
              <w:spacing w:after="0" w:line="20" w:lineRule="exact"/>
              <w:rPr>
                <w:sz w:val="1"/>
                <w:szCs w:val="1"/>
                <w:color w:val="auto"/>
              </w:rPr>
            </w:pPr>
          </w:p>
        </w:tc>
        <w:tc>
          <w:tcPr>
            <w:tcW w:w="20" w:type="dxa"/>
            <w:vAlign w:val="bottom"/>
            <w:tcBorders>
              <w:bottom w:val="single" w:sz="8" w:color="007549"/>
            </w:tcBorders>
          </w:tcPr>
          <w:p>
            <w:pPr>
              <w:spacing w:after="0" w:line="20" w:lineRule="exact"/>
              <w:rPr>
                <w:sz w:val="1"/>
                <w:szCs w:val="1"/>
                <w:color w:val="auto"/>
              </w:rPr>
            </w:pPr>
          </w:p>
        </w:tc>
        <w:tc>
          <w:tcPr>
            <w:tcW w:w="100" w:type="dxa"/>
            <w:vAlign w:val="bottom"/>
            <w:tcBorders>
              <w:bottom w:val="single" w:sz="8" w:color="007549"/>
            </w:tcBorders>
          </w:tcPr>
          <w:p>
            <w:pPr>
              <w:spacing w:after="0" w:line="20" w:lineRule="exact"/>
              <w:rPr>
                <w:sz w:val="1"/>
                <w:szCs w:val="1"/>
                <w:color w:val="auto"/>
              </w:rPr>
            </w:pPr>
          </w:p>
        </w:tc>
        <w:tc>
          <w:tcPr>
            <w:tcW w:w="100" w:type="dxa"/>
            <w:vAlign w:val="bottom"/>
            <w:tcBorders>
              <w:bottom w:val="single" w:sz="8" w:color="007549"/>
            </w:tcBorders>
          </w:tcPr>
          <w:p>
            <w:pPr>
              <w:spacing w:after="0" w:line="20" w:lineRule="exact"/>
              <w:rPr>
                <w:sz w:val="1"/>
                <w:szCs w:val="1"/>
                <w:color w:val="auto"/>
              </w:rPr>
            </w:pPr>
          </w:p>
        </w:tc>
        <w:tc>
          <w:tcPr>
            <w:tcW w:w="40" w:type="dxa"/>
            <w:vAlign w:val="bottom"/>
            <w:tcBorders>
              <w:bottom w:val="single" w:sz="8" w:color="007549"/>
            </w:tcBorders>
          </w:tcPr>
          <w:p>
            <w:pPr>
              <w:spacing w:after="0" w:line="20" w:lineRule="exact"/>
              <w:rPr>
                <w:sz w:val="1"/>
                <w:szCs w:val="1"/>
                <w:color w:val="auto"/>
              </w:rPr>
            </w:pPr>
          </w:p>
        </w:tc>
        <w:tc>
          <w:tcPr>
            <w:tcW w:w="240" w:type="dxa"/>
            <w:vAlign w:val="bottom"/>
            <w:tcBorders>
              <w:bottom w:val="single" w:sz="8" w:color="007549"/>
            </w:tcBorders>
          </w:tcPr>
          <w:p>
            <w:pPr>
              <w:spacing w:after="0" w:line="20" w:lineRule="exact"/>
              <w:rPr>
                <w:sz w:val="1"/>
                <w:szCs w:val="1"/>
                <w:color w:val="auto"/>
              </w:rPr>
            </w:pPr>
          </w:p>
        </w:tc>
        <w:tc>
          <w:tcPr>
            <w:tcW w:w="140" w:type="dxa"/>
            <w:vAlign w:val="bottom"/>
            <w:tcBorders>
              <w:bottom w:val="single" w:sz="8" w:color="007549"/>
            </w:tcBorders>
          </w:tcPr>
          <w:p>
            <w:pPr>
              <w:spacing w:after="0" w:line="20" w:lineRule="exact"/>
              <w:rPr>
                <w:sz w:val="1"/>
                <w:szCs w:val="1"/>
                <w:color w:val="auto"/>
              </w:rPr>
            </w:pPr>
          </w:p>
        </w:tc>
        <w:tc>
          <w:tcPr>
            <w:tcW w:w="80" w:type="dxa"/>
            <w:vAlign w:val="bottom"/>
            <w:tcBorders>
              <w:bottom w:val="single" w:sz="8" w:color="007549"/>
            </w:tcBorders>
          </w:tcPr>
          <w:p>
            <w:pPr>
              <w:spacing w:after="0" w:line="20" w:lineRule="exact"/>
              <w:rPr>
                <w:sz w:val="1"/>
                <w:szCs w:val="1"/>
                <w:color w:val="auto"/>
              </w:rPr>
            </w:pPr>
          </w:p>
        </w:tc>
        <w:tc>
          <w:tcPr>
            <w:tcW w:w="20" w:type="dxa"/>
            <w:vAlign w:val="bottom"/>
            <w:tcBorders>
              <w:bottom w:val="single" w:sz="8" w:color="007549"/>
            </w:tcBorders>
          </w:tcPr>
          <w:p>
            <w:pPr>
              <w:spacing w:after="0" w:line="20" w:lineRule="exact"/>
              <w:rPr>
                <w:sz w:val="1"/>
                <w:szCs w:val="1"/>
                <w:color w:val="auto"/>
              </w:rPr>
            </w:pPr>
          </w:p>
        </w:tc>
        <w:tc>
          <w:tcPr>
            <w:tcW w:w="60" w:type="dxa"/>
            <w:vAlign w:val="bottom"/>
            <w:tcBorders>
              <w:bottom w:val="single" w:sz="8" w:color="007549"/>
            </w:tcBorders>
          </w:tcPr>
          <w:p>
            <w:pPr>
              <w:spacing w:after="0" w:line="20" w:lineRule="exact"/>
              <w:rPr>
                <w:sz w:val="1"/>
                <w:szCs w:val="1"/>
                <w:color w:val="auto"/>
              </w:rPr>
            </w:pPr>
          </w:p>
        </w:tc>
        <w:tc>
          <w:tcPr>
            <w:tcW w:w="40" w:type="dxa"/>
            <w:vAlign w:val="bottom"/>
            <w:tcBorders>
              <w:bottom w:val="single" w:sz="8" w:color="007549"/>
            </w:tcBorders>
          </w:tcPr>
          <w:p>
            <w:pPr>
              <w:spacing w:after="0" w:line="20" w:lineRule="exact"/>
              <w:rPr>
                <w:sz w:val="1"/>
                <w:szCs w:val="1"/>
                <w:color w:val="auto"/>
              </w:rPr>
            </w:pPr>
          </w:p>
        </w:tc>
        <w:tc>
          <w:tcPr>
            <w:tcW w:w="60" w:type="dxa"/>
            <w:vAlign w:val="bottom"/>
            <w:tcBorders>
              <w:bottom w:val="single" w:sz="8" w:color="007549"/>
            </w:tcBorders>
          </w:tcPr>
          <w:p>
            <w:pPr>
              <w:spacing w:after="0" w:line="20" w:lineRule="exact"/>
              <w:rPr>
                <w:sz w:val="1"/>
                <w:szCs w:val="1"/>
                <w:color w:val="auto"/>
              </w:rPr>
            </w:pPr>
          </w:p>
        </w:tc>
        <w:tc>
          <w:tcPr>
            <w:tcW w:w="120" w:type="dxa"/>
            <w:vAlign w:val="bottom"/>
            <w:tcBorders>
              <w:bottom w:val="single" w:sz="8" w:color="007549"/>
            </w:tcBorders>
          </w:tcPr>
          <w:p>
            <w:pPr>
              <w:spacing w:after="0" w:line="20" w:lineRule="exact"/>
              <w:rPr>
                <w:sz w:val="1"/>
                <w:szCs w:val="1"/>
                <w:color w:val="auto"/>
              </w:rPr>
            </w:pPr>
          </w:p>
        </w:tc>
        <w:tc>
          <w:tcPr>
            <w:tcW w:w="40" w:type="dxa"/>
            <w:vAlign w:val="bottom"/>
            <w:tcBorders>
              <w:bottom w:val="single" w:sz="8" w:color="007549"/>
            </w:tcBorders>
          </w:tcPr>
          <w:p>
            <w:pPr>
              <w:spacing w:after="0" w:line="20" w:lineRule="exact"/>
              <w:rPr>
                <w:sz w:val="1"/>
                <w:szCs w:val="1"/>
                <w:color w:val="auto"/>
              </w:rPr>
            </w:pPr>
          </w:p>
        </w:tc>
        <w:tc>
          <w:tcPr>
            <w:tcW w:w="80" w:type="dxa"/>
            <w:vAlign w:val="bottom"/>
            <w:tcBorders>
              <w:bottom w:val="single" w:sz="8" w:color="007549"/>
            </w:tcBorders>
          </w:tcPr>
          <w:p>
            <w:pPr>
              <w:spacing w:after="0" w:line="20" w:lineRule="exact"/>
              <w:rPr>
                <w:sz w:val="1"/>
                <w:szCs w:val="1"/>
                <w:color w:val="auto"/>
              </w:rPr>
            </w:pPr>
          </w:p>
        </w:tc>
        <w:tc>
          <w:tcPr>
            <w:tcW w:w="200" w:type="dxa"/>
            <w:vAlign w:val="bottom"/>
            <w:tcBorders>
              <w:bottom w:val="single" w:sz="8" w:color="007549"/>
            </w:tcBorders>
          </w:tcPr>
          <w:p>
            <w:pPr>
              <w:spacing w:after="0" w:line="20" w:lineRule="exact"/>
              <w:rPr>
                <w:sz w:val="1"/>
                <w:szCs w:val="1"/>
                <w:color w:val="auto"/>
              </w:rPr>
            </w:pPr>
          </w:p>
        </w:tc>
        <w:tc>
          <w:tcPr>
            <w:tcW w:w="40" w:type="dxa"/>
            <w:vAlign w:val="bottom"/>
            <w:tcBorders>
              <w:bottom w:val="single" w:sz="8" w:color="007549"/>
            </w:tcBorders>
          </w:tcPr>
          <w:p>
            <w:pPr>
              <w:spacing w:after="0" w:line="20" w:lineRule="exact"/>
              <w:rPr>
                <w:sz w:val="1"/>
                <w:szCs w:val="1"/>
                <w:color w:val="auto"/>
              </w:rPr>
            </w:pPr>
          </w:p>
        </w:tc>
        <w:tc>
          <w:tcPr>
            <w:tcW w:w="360" w:type="dxa"/>
            <w:vAlign w:val="bottom"/>
            <w:tcBorders>
              <w:bottom w:val="single" w:sz="8" w:color="007549"/>
            </w:tcBorders>
          </w:tcPr>
          <w:p>
            <w:pPr>
              <w:spacing w:after="0" w:line="20" w:lineRule="exact"/>
              <w:rPr>
                <w:sz w:val="1"/>
                <w:szCs w:val="1"/>
                <w:color w:val="auto"/>
              </w:rPr>
            </w:pPr>
          </w:p>
        </w:tc>
        <w:tc>
          <w:tcPr>
            <w:tcW w:w="60" w:type="dxa"/>
            <w:vAlign w:val="bottom"/>
            <w:tcBorders>
              <w:bottom w:val="single" w:sz="8" w:color="007549"/>
            </w:tcBorders>
          </w:tcPr>
          <w:p>
            <w:pPr>
              <w:spacing w:after="0" w:line="20" w:lineRule="exact"/>
              <w:rPr>
                <w:sz w:val="1"/>
                <w:szCs w:val="1"/>
                <w:color w:val="auto"/>
              </w:rPr>
            </w:pPr>
          </w:p>
        </w:tc>
        <w:tc>
          <w:tcPr>
            <w:tcW w:w="520" w:type="dxa"/>
            <w:vAlign w:val="bottom"/>
            <w:tcBorders>
              <w:bottom w:val="single" w:sz="8" w:color="007549"/>
            </w:tcBorders>
          </w:tcPr>
          <w:p>
            <w:pPr>
              <w:spacing w:after="0" w:line="20" w:lineRule="exact"/>
              <w:rPr>
                <w:sz w:val="1"/>
                <w:szCs w:val="1"/>
                <w:color w:val="auto"/>
              </w:rPr>
            </w:pPr>
          </w:p>
        </w:tc>
        <w:tc>
          <w:tcPr>
            <w:tcW w:w="100" w:type="dxa"/>
            <w:vAlign w:val="bottom"/>
            <w:tcBorders>
              <w:bottom w:val="single" w:sz="8" w:color="007549"/>
            </w:tcBorders>
          </w:tcPr>
          <w:p>
            <w:pPr>
              <w:spacing w:after="0" w:line="20" w:lineRule="exact"/>
              <w:rPr>
                <w:sz w:val="1"/>
                <w:szCs w:val="1"/>
                <w:color w:val="auto"/>
              </w:rPr>
            </w:pPr>
          </w:p>
        </w:tc>
        <w:tc>
          <w:tcPr>
            <w:tcW w:w="20" w:type="dxa"/>
            <w:vAlign w:val="bottom"/>
            <w:tcBorders>
              <w:bottom w:val="single" w:sz="8" w:color="007549"/>
            </w:tcBorders>
          </w:tcPr>
          <w:p>
            <w:pPr>
              <w:spacing w:after="0" w:line="20" w:lineRule="exact"/>
              <w:rPr>
                <w:sz w:val="1"/>
                <w:szCs w:val="1"/>
                <w:color w:val="auto"/>
              </w:rPr>
            </w:pPr>
          </w:p>
        </w:tc>
        <w:tc>
          <w:tcPr>
            <w:tcW w:w="220" w:type="dxa"/>
            <w:vAlign w:val="bottom"/>
            <w:tcBorders>
              <w:bottom w:val="single" w:sz="8" w:color="007549"/>
            </w:tcBorders>
          </w:tcPr>
          <w:p>
            <w:pPr>
              <w:spacing w:after="0" w:line="20" w:lineRule="exact"/>
              <w:rPr>
                <w:sz w:val="1"/>
                <w:szCs w:val="1"/>
                <w:color w:val="auto"/>
              </w:rPr>
            </w:pPr>
          </w:p>
        </w:tc>
        <w:tc>
          <w:tcPr>
            <w:tcW w:w="120" w:type="dxa"/>
            <w:vAlign w:val="bottom"/>
            <w:tcBorders>
              <w:bottom w:val="single" w:sz="8" w:color="007549"/>
            </w:tcBorders>
          </w:tcPr>
          <w:p>
            <w:pPr>
              <w:spacing w:after="0" w:line="20" w:lineRule="exact"/>
              <w:rPr>
                <w:sz w:val="1"/>
                <w:szCs w:val="1"/>
                <w:color w:val="auto"/>
              </w:rPr>
            </w:pPr>
          </w:p>
        </w:tc>
        <w:tc>
          <w:tcPr>
            <w:tcW w:w="60" w:type="dxa"/>
            <w:vAlign w:val="bottom"/>
            <w:tcBorders>
              <w:bottom w:val="single" w:sz="8" w:color="007549"/>
            </w:tcBorders>
          </w:tcPr>
          <w:p>
            <w:pPr>
              <w:spacing w:after="0" w:line="20" w:lineRule="exact"/>
              <w:rPr>
                <w:sz w:val="1"/>
                <w:szCs w:val="1"/>
                <w:color w:val="auto"/>
              </w:rPr>
            </w:pPr>
          </w:p>
        </w:tc>
        <w:tc>
          <w:tcPr>
            <w:tcW w:w="20" w:type="dxa"/>
            <w:vAlign w:val="bottom"/>
            <w:tcBorders>
              <w:bottom w:val="single" w:sz="8" w:color="007549"/>
            </w:tcBorders>
          </w:tcPr>
          <w:p>
            <w:pPr>
              <w:spacing w:after="0" w:line="20" w:lineRule="exact"/>
              <w:rPr>
                <w:sz w:val="1"/>
                <w:szCs w:val="1"/>
                <w:color w:val="auto"/>
              </w:rPr>
            </w:pPr>
          </w:p>
        </w:tc>
        <w:tc>
          <w:tcPr>
            <w:tcW w:w="20" w:type="dxa"/>
            <w:vAlign w:val="bottom"/>
            <w:tcBorders>
              <w:bottom w:val="single" w:sz="8" w:color="007549"/>
            </w:tcBorders>
          </w:tcPr>
          <w:p>
            <w:pPr>
              <w:spacing w:after="0" w:line="20" w:lineRule="exact"/>
              <w:rPr>
                <w:sz w:val="1"/>
                <w:szCs w:val="1"/>
                <w:color w:val="auto"/>
              </w:rPr>
            </w:pPr>
          </w:p>
        </w:tc>
        <w:tc>
          <w:tcPr>
            <w:tcW w:w="200" w:type="dxa"/>
            <w:vAlign w:val="bottom"/>
            <w:tcBorders>
              <w:bottom w:val="single" w:sz="8" w:color="007549"/>
            </w:tcBorders>
          </w:tcPr>
          <w:p>
            <w:pPr>
              <w:spacing w:after="0" w:line="20" w:lineRule="exact"/>
              <w:rPr>
                <w:sz w:val="1"/>
                <w:szCs w:val="1"/>
                <w:color w:val="auto"/>
              </w:rPr>
            </w:pPr>
          </w:p>
        </w:tc>
        <w:tc>
          <w:tcPr>
            <w:tcW w:w="80" w:type="dxa"/>
            <w:vAlign w:val="bottom"/>
            <w:tcBorders>
              <w:bottom w:val="single" w:sz="8" w:color="007549"/>
            </w:tcBorders>
          </w:tcPr>
          <w:p>
            <w:pPr>
              <w:spacing w:after="0" w:line="20" w:lineRule="exact"/>
              <w:rPr>
                <w:sz w:val="1"/>
                <w:szCs w:val="1"/>
                <w:color w:val="auto"/>
              </w:rPr>
            </w:pPr>
          </w:p>
        </w:tc>
        <w:tc>
          <w:tcPr>
            <w:tcW w:w="160" w:type="dxa"/>
            <w:vAlign w:val="bottom"/>
            <w:tcBorders>
              <w:bottom w:val="single" w:sz="8" w:color="007549"/>
            </w:tcBorders>
          </w:tcPr>
          <w:p>
            <w:pPr>
              <w:spacing w:after="0" w:line="20" w:lineRule="exact"/>
              <w:rPr>
                <w:sz w:val="1"/>
                <w:szCs w:val="1"/>
                <w:color w:val="auto"/>
              </w:rPr>
            </w:pPr>
          </w:p>
        </w:tc>
        <w:tc>
          <w:tcPr>
            <w:tcW w:w="40" w:type="dxa"/>
            <w:vAlign w:val="bottom"/>
            <w:tcBorders>
              <w:bottom w:val="single" w:sz="8" w:color="007549"/>
            </w:tcBorders>
          </w:tcPr>
          <w:p>
            <w:pPr>
              <w:spacing w:after="0" w:line="20" w:lineRule="exact"/>
              <w:rPr>
                <w:sz w:val="1"/>
                <w:szCs w:val="1"/>
                <w:color w:val="auto"/>
              </w:rPr>
            </w:pPr>
          </w:p>
        </w:tc>
        <w:tc>
          <w:tcPr>
            <w:tcW w:w="200" w:type="dxa"/>
            <w:vAlign w:val="bottom"/>
            <w:tcBorders>
              <w:bottom w:val="single" w:sz="8" w:color="007549"/>
            </w:tcBorders>
          </w:tcPr>
          <w:p>
            <w:pPr>
              <w:spacing w:after="0" w:line="20" w:lineRule="exact"/>
              <w:rPr>
                <w:sz w:val="1"/>
                <w:szCs w:val="1"/>
                <w:color w:val="auto"/>
              </w:rPr>
            </w:pPr>
          </w:p>
        </w:tc>
        <w:tc>
          <w:tcPr>
            <w:tcW w:w="100" w:type="dxa"/>
            <w:vAlign w:val="bottom"/>
            <w:tcBorders>
              <w:bottom w:val="single" w:sz="8" w:color="0075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4820" w:type="dxa"/>
            <w:vAlign w:val="bottom"/>
            <w:gridSpan w:val="40"/>
          </w:tcPr>
          <w:p>
            <w:pPr>
              <w:spacing w:after="0"/>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PROPOSAL 3:   RATIFICATION OF THE SELECTION OF</w:t>
              </w:r>
            </w:hyperlink>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560" w:type="dxa"/>
            <w:vAlign w:val="bottom"/>
            <w:tcBorders>
              <w:top w:val="single" w:sz="8" w:color="0000EE"/>
            </w:tcBorders>
            <w:gridSpan w:val="37"/>
          </w:tcPr>
          <w:p>
            <w:pPr>
              <w:spacing w:after="0" w:line="180" w:lineRule="exact"/>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ERNST &amp; YOUNG LLP AS OUR INDEPENDENT</w:t>
              </w:r>
            </w:hyperlink>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920" w:type="dxa"/>
            <w:vAlign w:val="bottom"/>
            <w:tcBorders>
              <w:top w:val="single" w:sz="8" w:color="0000EE"/>
            </w:tcBorders>
            <w:gridSpan w:val="31"/>
          </w:tcPr>
          <w:p>
            <w:pPr>
              <w:spacing w:after="0" w:line="180" w:lineRule="exact"/>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REGISTERED PUBLIC ACCOUNTANTS</w:t>
              </w:r>
            </w:hyperlink>
          </w:p>
        </w:tc>
        <w:tc>
          <w:tcPr>
            <w:tcW w:w="220" w:type="dxa"/>
            <w:vAlign w:val="bottom"/>
          </w:tcPr>
          <w:p>
            <w:pPr>
              <w:spacing w:after="0"/>
              <w:rPr>
                <w:sz w:val="15"/>
                <w:szCs w:val="15"/>
                <w:color w:val="auto"/>
              </w:rPr>
            </w:pPr>
          </w:p>
        </w:tc>
        <w:tc>
          <w:tcPr>
            <w:tcW w:w="500" w:type="dxa"/>
            <w:vAlign w:val="bottom"/>
            <w:gridSpan w:val="6"/>
          </w:tcPr>
          <w:p>
            <w:pPr>
              <w:spacing w:after="0"/>
              <w:rPr>
                <w:sz w:val="15"/>
                <w:szCs w:val="15"/>
                <w:color w:val="auto"/>
              </w:rPr>
            </w:pPr>
          </w:p>
        </w:tc>
        <w:tc>
          <w:tcPr>
            <w:tcW w:w="400" w:type="dxa"/>
            <w:vAlign w:val="bottom"/>
            <w:gridSpan w:val="3"/>
          </w:tcPr>
          <w:p>
            <w:pPr>
              <w:jc w:val="right"/>
              <w:spacing w:after="0" w:line="180" w:lineRule="exact"/>
              <w:rPr>
                <w:sz w:val="20"/>
                <w:szCs w:val="20"/>
                <w:color w:val="auto"/>
              </w:rPr>
            </w:pPr>
            <w:r>
              <w:rPr>
                <w:rFonts w:ascii="Arial" w:cs="Arial" w:eastAsia="Arial" w:hAnsi="Arial"/>
                <w:sz w:val="18"/>
                <w:szCs w:val="18"/>
                <w:color w:val="auto"/>
              </w:rPr>
              <w:t>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0" w:type="dxa"/>
            <w:vAlign w:val="bottom"/>
            <w:tcBorders>
              <w:bottom w:val="single" w:sz="8" w:color="007549"/>
            </w:tcBorders>
          </w:tcPr>
          <w:p>
            <w:pPr>
              <w:spacing w:after="0" w:line="20" w:lineRule="exact"/>
              <w:rPr>
                <w:sz w:val="1"/>
                <w:szCs w:val="1"/>
                <w:color w:val="auto"/>
              </w:rPr>
            </w:pPr>
          </w:p>
        </w:tc>
        <w:tc>
          <w:tcPr>
            <w:tcW w:w="140" w:type="dxa"/>
            <w:vAlign w:val="bottom"/>
            <w:tcBorders>
              <w:top w:val="single" w:sz="8" w:color="0000EE"/>
              <w:bottom w:val="single" w:sz="8" w:color="007549"/>
            </w:tcBorders>
          </w:tcPr>
          <w:p>
            <w:pPr>
              <w:spacing w:after="0" w:line="20" w:lineRule="exact"/>
              <w:rPr>
                <w:sz w:val="1"/>
                <w:szCs w:val="1"/>
                <w:color w:val="auto"/>
              </w:rPr>
            </w:pPr>
          </w:p>
        </w:tc>
        <w:tc>
          <w:tcPr>
            <w:tcW w:w="140" w:type="dxa"/>
            <w:vAlign w:val="bottom"/>
            <w:tcBorders>
              <w:top w:val="single" w:sz="8" w:color="0000EE"/>
              <w:bottom w:val="single" w:sz="8" w:color="007549"/>
            </w:tcBorders>
          </w:tcPr>
          <w:p>
            <w:pPr>
              <w:spacing w:after="0" w:line="20" w:lineRule="exact"/>
              <w:rPr>
                <w:sz w:val="1"/>
                <w:szCs w:val="1"/>
                <w:color w:val="auto"/>
              </w:rPr>
            </w:pPr>
          </w:p>
        </w:tc>
        <w:tc>
          <w:tcPr>
            <w:tcW w:w="620" w:type="dxa"/>
            <w:vAlign w:val="bottom"/>
            <w:tcBorders>
              <w:top w:val="single" w:sz="8" w:color="0000EE"/>
              <w:bottom w:val="single" w:sz="8" w:color="007549"/>
            </w:tcBorders>
          </w:tcPr>
          <w:p>
            <w:pPr>
              <w:spacing w:after="0" w:line="20" w:lineRule="exact"/>
              <w:rPr>
                <w:sz w:val="1"/>
                <w:szCs w:val="1"/>
                <w:color w:val="auto"/>
              </w:rPr>
            </w:pPr>
          </w:p>
        </w:tc>
        <w:tc>
          <w:tcPr>
            <w:tcW w:w="20" w:type="dxa"/>
            <w:vAlign w:val="bottom"/>
            <w:tcBorders>
              <w:top w:val="single" w:sz="8" w:color="0000EE"/>
              <w:bottom w:val="single" w:sz="8" w:color="007549"/>
            </w:tcBorders>
          </w:tcPr>
          <w:p>
            <w:pPr>
              <w:spacing w:after="0" w:line="20" w:lineRule="exact"/>
              <w:rPr>
                <w:sz w:val="1"/>
                <w:szCs w:val="1"/>
                <w:color w:val="auto"/>
              </w:rPr>
            </w:pPr>
          </w:p>
        </w:tc>
        <w:tc>
          <w:tcPr>
            <w:tcW w:w="160" w:type="dxa"/>
            <w:vAlign w:val="bottom"/>
            <w:tcBorders>
              <w:top w:val="single" w:sz="8" w:color="0000EE"/>
              <w:bottom w:val="single" w:sz="8" w:color="007549"/>
            </w:tcBorders>
          </w:tcPr>
          <w:p>
            <w:pPr>
              <w:spacing w:after="0" w:line="20" w:lineRule="exact"/>
              <w:rPr>
                <w:sz w:val="1"/>
                <w:szCs w:val="1"/>
                <w:color w:val="auto"/>
              </w:rPr>
            </w:pPr>
          </w:p>
        </w:tc>
        <w:tc>
          <w:tcPr>
            <w:tcW w:w="60" w:type="dxa"/>
            <w:vAlign w:val="bottom"/>
            <w:tcBorders>
              <w:top w:val="single" w:sz="8" w:color="0000EE"/>
              <w:bottom w:val="single" w:sz="8" w:color="007549"/>
            </w:tcBorders>
          </w:tcPr>
          <w:p>
            <w:pPr>
              <w:spacing w:after="0" w:line="20" w:lineRule="exact"/>
              <w:rPr>
                <w:sz w:val="1"/>
                <w:szCs w:val="1"/>
                <w:color w:val="auto"/>
              </w:rPr>
            </w:pPr>
          </w:p>
        </w:tc>
        <w:tc>
          <w:tcPr>
            <w:tcW w:w="20" w:type="dxa"/>
            <w:vAlign w:val="bottom"/>
            <w:tcBorders>
              <w:top w:val="single" w:sz="8" w:color="0000EE"/>
              <w:bottom w:val="single" w:sz="8" w:color="007549"/>
            </w:tcBorders>
          </w:tcPr>
          <w:p>
            <w:pPr>
              <w:spacing w:after="0" w:line="20" w:lineRule="exact"/>
              <w:rPr>
                <w:sz w:val="1"/>
                <w:szCs w:val="1"/>
                <w:color w:val="auto"/>
              </w:rPr>
            </w:pPr>
          </w:p>
        </w:tc>
        <w:tc>
          <w:tcPr>
            <w:tcW w:w="100" w:type="dxa"/>
            <w:vAlign w:val="bottom"/>
            <w:tcBorders>
              <w:top w:val="single" w:sz="8" w:color="0000EE"/>
              <w:bottom w:val="single" w:sz="8" w:color="007549"/>
            </w:tcBorders>
          </w:tcPr>
          <w:p>
            <w:pPr>
              <w:spacing w:after="0" w:line="20" w:lineRule="exact"/>
              <w:rPr>
                <w:sz w:val="1"/>
                <w:szCs w:val="1"/>
                <w:color w:val="auto"/>
              </w:rPr>
            </w:pPr>
          </w:p>
        </w:tc>
        <w:tc>
          <w:tcPr>
            <w:tcW w:w="80" w:type="dxa"/>
            <w:vAlign w:val="bottom"/>
            <w:tcBorders>
              <w:top w:val="single" w:sz="8" w:color="0000EE"/>
              <w:bottom w:val="single" w:sz="8" w:color="007549"/>
            </w:tcBorders>
          </w:tcPr>
          <w:p>
            <w:pPr>
              <w:spacing w:after="0" w:line="20" w:lineRule="exact"/>
              <w:rPr>
                <w:sz w:val="1"/>
                <w:szCs w:val="1"/>
                <w:color w:val="auto"/>
              </w:rPr>
            </w:pPr>
          </w:p>
        </w:tc>
        <w:tc>
          <w:tcPr>
            <w:tcW w:w="140" w:type="dxa"/>
            <w:vAlign w:val="bottom"/>
            <w:tcBorders>
              <w:top w:val="single" w:sz="8" w:color="0000EE"/>
              <w:bottom w:val="single" w:sz="8" w:color="007549"/>
            </w:tcBorders>
          </w:tcPr>
          <w:p>
            <w:pPr>
              <w:spacing w:after="0" w:line="20" w:lineRule="exact"/>
              <w:rPr>
                <w:sz w:val="1"/>
                <w:szCs w:val="1"/>
                <w:color w:val="auto"/>
              </w:rPr>
            </w:pPr>
          </w:p>
        </w:tc>
        <w:tc>
          <w:tcPr>
            <w:tcW w:w="20" w:type="dxa"/>
            <w:vAlign w:val="bottom"/>
            <w:tcBorders>
              <w:top w:val="single" w:sz="8" w:color="0000EE"/>
              <w:bottom w:val="single" w:sz="8" w:color="007549"/>
            </w:tcBorders>
          </w:tcPr>
          <w:p>
            <w:pPr>
              <w:spacing w:after="0" w:line="20" w:lineRule="exact"/>
              <w:rPr>
                <w:sz w:val="1"/>
                <w:szCs w:val="1"/>
                <w:color w:val="auto"/>
              </w:rPr>
            </w:pPr>
          </w:p>
        </w:tc>
        <w:tc>
          <w:tcPr>
            <w:tcW w:w="100" w:type="dxa"/>
            <w:vAlign w:val="bottom"/>
            <w:tcBorders>
              <w:top w:val="single" w:sz="8" w:color="0000EE"/>
              <w:bottom w:val="single" w:sz="8" w:color="007549"/>
            </w:tcBorders>
          </w:tcPr>
          <w:p>
            <w:pPr>
              <w:spacing w:after="0" w:line="20" w:lineRule="exact"/>
              <w:rPr>
                <w:sz w:val="1"/>
                <w:szCs w:val="1"/>
                <w:color w:val="auto"/>
              </w:rPr>
            </w:pPr>
          </w:p>
        </w:tc>
        <w:tc>
          <w:tcPr>
            <w:tcW w:w="100" w:type="dxa"/>
            <w:vAlign w:val="bottom"/>
            <w:tcBorders>
              <w:top w:val="single" w:sz="8" w:color="0000EE"/>
              <w:bottom w:val="single" w:sz="8" w:color="007549"/>
            </w:tcBorders>
          </w:tcPr>
          <w:p>
            <w:pPr>
              <w:spacing w:after="0" w:line="20" w:lineRule="exact"/>
              <w:rPr>
                <w:sz w:val="1"/>
                <w:szCs w:val="1"/>
                <w:color w:val="auto"/>
              </w:rPr>
            </w:pPr>
          </w:p>
        </w:tc>
        <w:tc>
          <w:tcPr>
            <w:tcW w:w="40" w:type="dxa"/>
            <w:vAlign w:val="bottom"/>
            <w:tcBorders>
              <w:top w:val="single" w:sz="8" w:color="0000EE"/>
              <w:bottom w:val="single" w:sz="8" w:color="007549"/>
            </w:tcBorders>
          </w:tcPr>
          <w:p>
            <w:pPr>
              <w:spacing w:after="0" w:line="20" w:lineRule="exact"/>
              <w:rPr>
                <w:sz w:val="1"/>
                <w:szCs w:val="1"/>
                <w:color w:val="auto"/>
              </w:rPr>
            </w:pPr>
          </w:p>
        </w:tc>
        <w:tc>
          <w:tcPr>
            <w:tcW w:w="240" w:type="dxa"/>
            <w:vAlign w:val="bottom"/>
            <w:tcBorders>
              <w:top w:val="single" w:sz="8" w:color="0000EE"/>
              <w:bottom w:val="single" w:sz="8" w:color="007549"/>
            </w:tcBorders>
          </w:tcPr>
          <w:p>
            <w:pPr>
              <w:spacing w:after="0" w:line="20" w:lineRule="exact"/>
              <w:rPr>
                <w:sz w:val="1"/>
                <w:szCs w:val="1"/>
                <w:color w:val="auto"/>
              </w:rPr>
            </w:pPr>
          </w:p>
        </w:tc>
        <w:tc>
          <w:tcPr>
            <w:tcW w:w="140" w:type="dxa"/>
            <w:vAlign w:val="bottom"/>
            <w:tcBorders>
              <w:top w:val="single" w:sz="8" w:color="0000EE"/>
              <w:bottom w:val="single" w:sz="8" w:color="007549"/>
            </w:tcBorders>
          </w:tcPr>
          <w:p>
            <w:pPr>
              <w:spacing w:after="0" w:line="20" w:lineRule="exact"/>
              <w:rPr>
                <w:sz w:val="1"/>
                <w:szCs w:val="1"/>
                <w:color w:val="auto"/>
              </w:rPr>
            </w:pPr>
          </w:p>
        </w:tc>
        <w:tc>
          <w:tcPr>
            <w:tcW w:w="80" w:type="dxa"/>
            <w:vAlign w:val="bottom"/>
            <w:tcBorders>
              <w:top w:val="single" w:sz="8" w:color="0000EE"/>
              <w:bottom w:val="single" w:sz="8" w:color="007549"/>
            </w:tcBorders>
          </w:tcPr>
          <w:p>
            <w:pPr>
              <w:spacing w:after="0" w:line="20" w:lineRule="exact"/>
              <w:rPr>
                <w:sz w:val="1"/>
                <w:szCs w:val="1"/>
                <w:color w:val="auto"/>
              </w:rPr>
            </w:pPr>
          </w:p>
        </w:tc>
        <w:tc>
          <w:tcPr>
            <w:tcW w:w="20" w:type="dxa"/>
            <w:vAlign w:val="bottom"/>
            <w:tcBorders>
              <w:top w:val="single" w:sz="8" w:color="0000EE"/>
              <w:bottom w:val="single" w:sz="8" w:color="007549"/>
            </w:tcBorders>
          </w:tcPr>
          <w:p>
            <w:pPr>
              <w:spacing w:after="0" w:line="20" w:lineRule="exact"/>
              <w:rPr>
                <w:sz w:val="1"/>
                <w:szCs w:val="1"/>
                <w:color w:val="auto"/>
              </w:rPr>
            </w:pPr>
          </w:p>
        </w:tc>
        <w:tc>
          <w:tcPr>
            <w:tcW w:w="60" w:type="dxa"/>
            <w:vAlign w:val="bottom"/>
            <w:tcBorders>
              <w:top w:val="single" w:sz="8" w:color="0000EE"/>
              <w:bottom w:val="single" w:sz="8" w:color="007549"/>
            </w:tcBorders>
          </w:tcPr>
          <w:p>
            <w:pPr>
              <w:spacing w:after="0" w:line="20" w:lineRule="exact"/>
              <w:rPr>
                <w:sz w:val="1"/>
                <w:szCs w:val="1"/>
                <w:color w:val="auto"/>
              </w:rPr>
            </w:pPr>
          </w:p>
        </w:tc>
        <w:tc>
          <w:tcPr>
            <w:tcW w:w="40" w:type="dxa"/>
            <w:vAlign w:val="bottom"/>
            <w:tcBorders>
              <w:top w:val="single" w:sz="8" w:color="0000EE"/>
              <w:bottom w:val="single" w:sz="8" w:color="007549"/>
            </w:tcBorders>
          </w:tcPr>
          <w:p>
            <w:pPr>
              <w:spacing w:after="0" w:line="20" w:lineRule="exact"/>
              <w:rPr>
                <w:sz w:val="1"/>
                <w:szCs w:val="1"/>
                <w:color w:val="auto"/>
              </w:rPr>
            </w:pPr>
          </w:p>
        </w:tc>
        <w:tc>
          <w:tcPr>
            <w:tcW w:w="60" w:type="dxa"/>
            <w:vAlign w:val="bottom"/>
            <w:tcBorders>
              <w:top w:val="single" w:sz="8" w:color="0000EE"/>
              <w:bottom w:val="single" w:sz="8" w:color="007549"/>
            </w:tcBorders>
          </w:tcPr>
          <w:p>
            <w:pPr>
              <w:spacing w:after="0" w:line="20" w:lineRule="exact"/>
              <w:rPr>
                <w:sz w:val="1"/>
                <w:szCs w:val="1"/>
                <w:color w:val="auto"/>
              </w:rPr>
            </w:pPr>
          </w:p>
        </w:tc>
        <w:tc>
          <w:tcPr>
            <w:tcW w:w="120" w:type="dxa"/>
            <w:vAlign w:val="bottom"/>
            <w:tcBorders>
              <w:top w:val="single" w:sz="8" w:color="0000EE"/>
              <w:bottom w:val="single" w:sz="8" w:color="007549"/>
            </w:tcBorders>
          </w:tcPr>
          <w:p>
            <w:pPr>
              <w:spacing w:after="0" w:line="20" w:lineRule="exact"/>
              <w:rPr>
                <w:sz w:val="1"/>
                <w:szCs w:val="1"/>
                <w:color w:val="auto"/>
              </w:rPr>
            </w:pPr>
          </w:p>
        </w:tc>
        <w:tc>
          <w:tcPr>
            <w:tcW w:w="40" w:type="dxa"/>
            <w:vAlign w:val="bottom"/>
            <w:tcBorders>
              <w:top w:val="single" w:sz="8" w:color="0000EE"/>
              <w:bottom w:val="single" w:sz="8" w:color="007549"/>
            </w:tcBorders>
          </w:tcPr>
          <w:p>
            <w:pPr>
              <w:spacing w:after="0" w:line="20" w:lineRule="exact"/>
              <w:rPr>
                <w:sz w:val="1"/>
                <w:szCs w:val="1"/>
                <w:color w:val="auto"/>
              </w:rPr>
            </w:pPr>
          </w:p>
        </w:tc>
        <w:tc>
          <w:tcPr>
            <w:tcW w:w="80" w:type="dxa"/>
            <w:vAlign w:val="bottom"/>
            <w:tcBorders>
              <w:top w:val="single" w:sz="8" w:color="0000EE"/>
              <w:bottom w:val="single" w:sz="8" w:color="007549"/>
            </w:tcBorders>
          </w:tcPr>
          <w:p>
            <w:pPr>
              <w:spacing w:after="0" w:line="20" w:lineRule="exact"/>
              <w:rPr>
                <w:sz w:val="1"/>
                <w:szCs w:val="1"/>
                <w:color w:val="auto"/>
              </w:rPr>
            </w:pPr>
          </w:p>
        </w:tc>
        <w:tc>
          <w:tcPr>
            <w:tcW w:w="200" w:type="dxa"/>
            <w:vAlign w:val="bottom"/>
            <w:tcBorders>
              <w:top w:val="single" w:sz="8" w:color="0000EE"/>
              <w:bottom w:val="single" w:sz="8" w:color="007549"/>
            </w:tcBorders>
          </w:tcPr>
          <w:p>
            <w:pPr>
              <w:spacing w:after="0" w:line="20" w:lineRule="exact"/>
              <w:rPr>
                <w:sz w:val="1"/>
                <w:szCs w:val="1"/>
                <w:color w:val="auto"/>
              </w:rPr>
            </w:pPr>
          </w:p>
        </w:tc>
        <w:tc>
          <w:tcPr>
            <w:tcW w:w="40" w:type="dxa"/>
            <w:vAlign w:val="bottom"/>
            <w:tcBorders>
              <w:top w:val="single" w:sz="8" w:color="0000EE"/>
              <w:bottom w:val="single" w:sz="8" w:color="007549"/>
            </w:tcBorders>
          </w:tcPr>
          <w:p>
            <w:pPr>
              <w:spacing w:after="0" w:line="20" w:lineRule="exact"/>
              <w:rPr>
                <w:sz w:val="1"/>
                <w:szCs w:val="1"/>
                <w:color w:val="auto"/>
              </w:rPr>
            </w:pPr>
          </w:p>
        </w:tc>
        <w:tc>
          <w:tcPr>
            <w:tcW w:w="360" w:type="dxa"/>
            <w:vAlign w:val="bottom"/>
            <w:tcBorders>
              <w:top w:val="single" w:sz="8" w:color="0000EE"/>
              <w:bottom w:val="single" w:sz="8" w:color="007549"/>
            </w:tcBorders>
          </w:tcPr>
          <w:p>
            <w:pPr>
              <w:spacing w:after="0" w:line="20" w:lineRule="exact"/>
              <w:rPr>
                <w:sz w:val="1"/>
                <w:szCs w:val="1"/>
                <w:color w:val="auto"/>
              </w:rPr>
            </w:pPr>
          </w:p>
        </w:tc>
        <w:tc>
          <w:tcPr>
            <w:tcW w:w="60" w:type="dxa"/>
            <w:vAlign w:val="bottom"/>
            <w:tcBorders>
              <w:top w:val="single" w:sz="8" w:color="0000EE"/>
              <w:bottom w:val="single" w:sz="8" w:color="007549"/>
            </w:tcBorders>
          </w:tcPr>
          <w:p>
            <w:pPr>
              <w:spacing w:after="0" w:line="20" w:lineRule="exact"/>
              <w:rPr>
                <w:sz w:val="1"/>
                <w:szCs w:val="1"/>
                <w:color w:val="auto"/>
              </w:rPr>
            </w:pPr>
          </w:p>
        </w:tc>
        <w:tc>
          <w:tcPr>
            <w:tcW w:w="520" w:type="dxa"/>
            <w:vAlign w:val="bottom"/>
            <w:tcBorders>
              <w:bottom w:val="single" w:sz="8" w:color="007549"/>
            </w:tcBorders>
          </w:tcPr>
          <w:p>
            <w:pPr>
              <w:spacing w:after="0" w:line="20" w:lineRule="exact"/>
              <w:rPr>
                <w:sz w:val="1"/>
                <w:szCs w:val="1"/>
                <w:color w:val="auto"/>
              </w:rPr>
            </w:pPr>
          </w:p>
        </w:tc>
        <w:tc>
          <w:tcPr>
            <w:tcW w:w="100" w:type="dxa"/>
            <w:vAlign w:val="bottom"/>
            <w:tcBorders>
              <w:bottom w:val="single" w:sz="8" w:color="007549"/>
            </w:tcBorders>
          </w:tcPr>
          <w:p>
            <w:pPr>
              <w:spacing w:after="0" w:line="20" w:lineRule="exact"/>
              <w:rPr>
                <w:sz w:val="1"/>
                <w:szCs w:val="1"/>
                <w:color w:val="auto"/>
              </w:rPr>
            </w:pPr>
          </w:p>
        </w:tc>
        <w:tc>
          <w:tcPr>
            <w:tcW w:w="20" w:type="dxa"/>
            <w:vAlign w:val="bottom"/>
            <w:tcBorders>
              <w:bottom w:val="single" w:sz="8" w:color="007549"/>
            </w:tcBorders>
          </w:tcPr>
          <w:p>
            <w:pPr>
              <w:spacing w:after="0" w:line="20" w:lineRule="exact"/>
              <w:rPr>
                <w:sz w:val="1"/>
                <w:szCs w:val="1"/>
                <w:color w:val="auto"/>
              </w:rPr>
            </w:pPr>
          </w:p>
        </w:tc>
        <w:tc>
          <w:tcPr>
            <w:tcW w:w="220" w:type="dxa"/>
            <w:vAlign w:val="bottom"/>
            <w:tcBorders>
              <w:bottom w:val="single" w:sz="8" w:color="007549"/>
            </w:tcBorders>
          </w:tcPr>
          <w:p>
            <w:pPr>
              <w:spacing w:after="0" w:line="20" w:lineRule="exact"/>
              <w:rPr>
                <w:sz w:val="1"/>
                <w:szCs w:val="1"/>
                <w:color w:val="auto"/>
              </w:rPr>
            </w:pPr>
          </w:p>
        </w:tc>
        <w:tc>
          <w:tcPr>
            <w:tcW w:w="120" w:type="dxa"/>
            <w:vAlign w:val="bottom"/>
            <w:tcBorders>
              <w:bottom w:val="single" w:sz="8" w:color="007549"/>
            </w:tcBorders>
          </w:tcPr>
          <w:p>
            <w:pPr>
              <w:spacing w:after="0" w:line="20" w:lineRule="exact"/>
              <w:rPr>
                <w:sz w:val="1"/>
                <w:szCs w:val="1"/>
                <w:color w:val="auto"/>
              </w:rPr>
            </w:pPr>
          </w:p>
        </w:tc>
        <w:tc>
          <w:tcPr>
            <w:tcW w:w="60" w:type="dxa"/>
            <w:vAlign w:val="bottom"/>
            <w:tcBorders>
              <w:bottom w:val="single" w:sz="8" w:color="007549"/>
            </w:tcBorders>
          </w:tcPr>
          <w:p>
            <w:pPr>
              <w:spacing w:after="0" w:line="20" w:lineRule="exact"/>
              <w:rPr>
                <w:sz w:val="1"/>
                <w:szCs w:val="1"/>
                <w:color w:val="auto"/>
              </w:rPr>
            </w:pPr>
          </w:p>
        </w:tc>
        <w:tc>
          <w:tcPr>
            <w:tcW w:w="20" w:type="dxa"/>
            <w:vAlign w:val="bottom"/>
            <w:tcBorders>
              <w:bottom w:val="single" w:sz="8" w:color="007549"/>
            </w:tcBorders>
          </w:tcPr>
          <w:p>
            <w:pPr>
              <w:spacing w:after="0" w:line="20" w:lineRule="exact"/>
              <w:rPr>
                <w:sz w:val="1"/>
                <w:szCs w:val="1"/>
                <w:color w:val="auto"/>
              </w:rPr>
            </w:pPr>
          </w:p>
        </w:tc>
        <w:tc>
          <w:tcPr>
            <w:tcW w:w="20" w:type="dxa"/>
            <w:vAlign w:val="bottom"/>
            <w:tcBorders>
              <w:bottom w:val="single" w:sz="8" w:color="007549"/>
            </w:tcBorders>
          </w:tcPr>
          <w:p>
            <w:pPr>
              <w:spacing w:after="0" w:line="20" w:lineRule="exact"/>
              <w:rPr>
                <w:sz w:val="1"/>
                <w:szCs w:val="1"/>
                <w:color w:val="auto"/>
              </w:rPr>
            </w:pPr>
          </w:p>
        </w:tc>
        <w:tc>
          <w:tcPr>
            <w:tcW w:w="200" w:type="dxa"/>
            <w:vAlign w:val="bottom"/>
            <w:tcBorders>
              <w:bottom w:val="single" w:sz="8" w:color="007549"/>
            </w:tcBorders>
          </w:tcPr>
          <w:p>
            <w:pPr>
              <w:spacing w:after="0" w:line="20" w:lineRule="exact"/>
              <w:rPr>
                <w:sz w:val="1"/>
                <w:szCs w:val="1"/>
                <w:color w:val="auto"/>
              </w:rPr>
            </w:pPr>
          </w:p>
        </w:tc>
        <w:tc>
          <w:tcPr>
            <w:tcW w:w="80" w:type="dxa"/>
            <w:vAlign w:val="bottom"/>
            <w:tcBorders>
              <w:bottom w:val="single" w:sz="8" w:color="007549"/>
            </w:tcBorders>
          </w:tcPr>
          <w:p>
            <w:pPr>
              <w:spacing w:after="0" w:line="20" w:lineRule="exact"/>
              <w:rPr>
                <w:sz w:val="1"/>
                <w:szCs w:val="1"/>
                <w:color w:val="auto"/>
              </w:rPr>
            </w:pPr>
          </w:p>
        </w:tc>
        <w:tc>
          <w:tcPr>
            <w:tcW w:w="160" w:type="dxa"/>
            <w:vAlign w:val="bottom"/>
            <w:tcBorders>
              <w:bottom w:val="single" w:sz="8" w:color="007549"/>
            </w:tcBorders>
          </w:tcPr>
          <w:p>
            <w:pPr>
              <w:spacing w:after="0" w:line="20" w:lineRule="exact"/>
              <w:rPr>
                <w:sz w:val="1"/>
                <w:szCs w:val="1"/>
                <w:color w:val="auto"/>
              </w:rPr>
            </w:pPr>
          </w:p>
        </w:tc>
        <w:tc>
          <w:tcPr>
            <w:tcW w:w="40" w:type="dxa"/>
            <w:vAlign w:val="bottom"/>
            <w:tcBorders>
              <w:bottom w:val="single" w:sz="8" w:color="007549"/>
            </w:tcBorders>
          </w:tcPr>
          <w:p>
            <w:pPr>
              <w:spacing w:after="0" w:line="20" w:lineRule="exact"/>
              <w:rPr>
                <w:sz w:val="1"/>
                <w:szCs w:val="1"/>
                <w:color w:val="auto"/>
              </w:rPr>
            </w:pPr>
          </w:p>
        </w:tc>
        <w:tc>
          <w:tcPr>
            <w:tcW w:w="200" w:type="dxa"/>
            <w:vAlign w:val="bottom"/>
            <w:tcBorders>
              <w:bottom w:val="single" w:sz="8" w:color="007549"/>
            </w:tcBorders>
          </w:tcPr>
          <w:p>
            <w:pPr>
              <w:spacing w:after="0" w:line="20" w:lineRule="exact"/>
              <w:rPr>
                <w:sz w:val="1"/>
                <w:szCs w:val="1"/>
                <w:color w:val="auto"/>
              </w:rPr>
            </w:pPr>
          </w:p>
        </w:tc>
        <w:tc>
          <w:tcPr>
            <w:tcW w:w="100" w:type="dxa"/>
            <w:vAlign w:val="bottom"/>
            <w:tcBorders>
              <w:bottom w:val="single" w:sz="8" w:color="0075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4820" w:type="dxa"/>
            <w:vAlign w:val="bottom"/>
            <w:gridSpan w:val="40"/>
          </w:tcPr>
          <w:p>
            <w:pPr>
              <w:spacing w:after="0"/>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QUESTIONS AND ANSWERS ABOUT THE ANNUAL</w:t>
              </w:r>
            </w:hyperlink>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140" w:type="dxa"/>
            <w:vAlign w:val="bottom"/>
            <w:tcBorders>
              <w:top w:val="single" w:sz="8" w:color="0000EE"/>
            </w:tcBorders>
            <w:gridSpan w:val="32"/>
          </w:tcPr>
          <w:p>
            <w:pPr>
              <w:spacing w:after="0" w:line="180" w:lineRule="exact"/>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MEETING AND VOTING</w:t>
              </w:r>
            </w:hyperlink>
          </w:p>
        </w:tc>
        <w:tc>
          <w:tcPr>
            <w:tcW w:w="500" w:type="dxa"/>
            <w:vAlign w:val="bottom"/>
            <w:gridSpan w:val="6"/>
          </w:tcPr>
          <w:p>
            <w:pPr>
              <w:spacing w:after="0"/>
              <w:rPr>
                <w:sz w:val="15"/>
                <w:szCs w:val="15"/>
                <w:color w:val="auto"/>
              </w:rPr>
            </w:pPr>
          </w:p>
        </w:tc>
        <w:tc>
          <w:tcPr>
            <w:tcW w:w="400" w:type="dxa"/>
            <w:vAlign w:val="bottom"/>
            <w:gridSpan w:val="3"/>
          </w:tcPr>
          <w:p>
            <w:pPr>
              <w:jc w:val="right"/>
              <w:spacing w:after="0" w:line="180" w:lineRule="exact"/>
              <w:rPr>
                <w:sz w:val="20"/>
                <w:szCs w:val="20"/>
                <w:color w:val="auto"/>
              </w:rPr>
            </w:pPr>
            <w:r>
              <w:rPr>
                <w:rFonts w:ascii="Arial" w:cs="Arial" w:eastAsia="Arial" w:hAnsi="Arial"/>
                <w:sz w:val="18"/>
                <w:szCs w:val="18"/>
                <w:color w:val="auto"/>
              </w:rPr>
              <w:t>51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0" w:type="dxa"/>
            <w:vAlign w:val="bottom"/>
            <w:tcBorders>
              <w:bottom w:val="single" w:sz="8" w:color="007549"/>
            </w:tcBorders>
          </w:tcPr>
          <w:p>
            <w:pPr>
              <w:spacing w:after="0" w:line="20" w:lineRule="exact"/>
              <w:rPr>
                <w:sz w:val="1"/>
                <w:szCs w:val="1"/>
                <w:color w:val="auto"/>
              </w:rPr>
            </w:pPr>
          </w:p>
        </w:tc>
        <w:tc>
          <w:tcPr>
            <w:tcW w:w="140" w:type="dxa"/>
            <w:vAlign w:val="bottom"/>
            <w:tcBorders>
              <w:top w:val="single" w:sz="8" w:color="0000EE"/>
              <w:bottom w:val="single" w:sz="8" w:color="007549"/>
            </w:tcBorders>
          </w:tcPr>
          <w:p>
            <w:pPr>
              <w:spacing w:after="0" w:line="20" w:lineRule="exact"/>
              <w:rPr>
                <w:sz w:val="1"/>
                <w:szCs w:val="1"/>
                <w:color w:val="auto"/>
              </w:rPr>
            </w:pPr>
          </w:p>
        </w:tc>
        <w:tc>
          <w:tcPr>
            <w:tcW w:w="140" w:type="dxa"/>
            <w:vAlign w:val="bottom"/>
            <w:tcBorders>
              <w:top w:val="single" w:sz="8" w:color="0000EE"/>
              <w:bottom w:val="single" w:sz="8" w:color="007549"/>
            </w:tcBorders>
          </w:tcPr>
          <w:p>
            <w:pPr>
              <w:spacing w:after="0" w:line="20" w:lineRule="exact"/>
              <w:rPr>
                <w:sz w:val="1"/>
                <w:szCs w:val="1"/>
                <w:color w:val="auto"/>
              </w:rPr>
            </w:pPr>
          </w:p>
        </w:tc>
        <w:tc>
          <w:tcPr>
            <w:tcW w:w="620" w:type="dxa"/>
            <w:vAlign w:val="bottom"/>
            <w:tcBorders>
              <w:top w:val="single" w:sz="8" w:color="0000EE"/>
              <w:bottom w:val="single" w:sz="8" w:color="007549"/>
            </w:tcBorders>
          </w:tcPr>
          <w:p>
            <w:pPr>
              <w:spacing w:after="0" w:line="20" w:lineRule="exact"/>
              <w:rPr>
                <w:sz w:val="1"/>
                <w:szCs w:val="1"/>
                <w:color w:val="auto"/>
              </w:rPr>
            </w:pPr>
          </w:p>
        </w:tc>
        <w:tc>
          <w:tcPr>
            <w:tcW w:w="20" w:type="dxa"/>
            <w:vAlign w:val="bottom"/>
            <w:tcBorders>
              <w:top w:val="single" w:sz="8" w:color="0000EE"/>
              <w:bottom w:val="single" w:sz="8" w:color="007549"/>
            </w:tcBorders>
          </w:tcPr>
          <w:p>
            <w:pPr>
              <w:spacing w:after="0" w:line="20" w:lineRule="exact"/>
              <w:rPr>
                <w:sz w:val="1"/>
                <w:szCs w:val="1"/>
                <w:color w:val="auto"/>
              </w:rPr>
            </w:pPr>
          </w:p>
        </w:tc>
        <w:tc>
          <w:tcPr>
            <w:tcW w:w="160" w:type="dxa"/>
            <w:vAlign w:val="bottom"/>
            <w:tcBorders>
              <w:top w:val="single" w:sz="8" w:color="0000EE"/>
              <w:bottom w:val="single" w:sz="8" w:color="007549"/>
            </w:tcBorders>
          </w:tcPr>
          <w:p>
            <w:pPr>
              <w:spacing w:after="0" w:line="20" w:lineRule="exact"/>
              <w:rPr>
                <w:sz w:val="1"/>
                <w:szCs w:val="1"/>
                <w:color w:val="auto"/>
              </w:rPr>
            </w:pPr>
          </w:p>
        </w:tc>
        <w:tc>
          <w:tcPr>
            <w:tcW w:w="60" w:type="dxa"/>
            <w:vAlign w:val="bottom"/>
            <w:tcBorders>
              <w:top w:val="single" w:sz="8" w:color="0000EE"/>
              <w:bottom w:val="single" w:sz="8" w:color="007549"/>
            </w:tcBorders>
          </w:tcPr>
          <w:p>
            <w:pPr>
              <w:spacing w:after="0" w:line="20" w:lineRule="exact"/>
              <w:rPr>
                <w:sz w:val="1"/>
                <w:szCs w:val="1"/>
                <w:color w:val="auto"/>
              </w:rPr>
            </w:pPr>
          </w:p>
        </w:tc>
        <w:tc>
          <w:tcPr>
            <w:tcW w:w="20" w:type="dxa"/>
            <w:vAlign w:val="bottom"/>
            <w:tcBorders>
              <w:top w:val="single" w:sz="8" w:color="0000EE"/>
              <w:bottom w:val="single" w:sz="8" w:color="007549"/>
            </w:tcBorders>
          </w:tcPr>
          <w:p>
            <w:pPr>
              <w:spacing w:after="0" w:line="20" w:lineRule="exact"/>
              <w:rPr>
                <w:sz w:val="1"/>
                <w:szCs w:val="1"/>
                <w:color w:val="auto"/>
              </w:rPr>
            </w:pPr>
          </w:p>
        </w:tc>
        <w:tc>
          <w:tcPr>
            <w:tcW w:w="100" w:type="dxa"/>
            <w:vAlign w:val="bottom"/>
            <w:tcBorders>
              <w:top w:val="single" w:sz="8" w:color="0000EE"/>
              <w:bottom w:val="single" w:sz="8" w:color="007549"/>
            </w:tcBorders>
          </w:tcPr>
          <w:p>
            <w:pPr>
              <w:spacing w:after="0" w:line="20" w:lineRule="exact"/>
              <w:rPr>
                <w:sz w:val="1"/>
                <w:szCs w:val="1"/>
                <w:color w:val="auto"/>
              </w:rPr>
            </w:pPr>
          </w:p>
        </w:tc>
        <w:tc>
          <w:tcPr>
            <w:tcW w:w="80" w:type="dxa"/>
            <w:vAlign w:val="bottom"/>
            <w:tcBorders>
              <w:top w:val="single" w:sz="8" w:color="0000EE"/>
              <w:bottom w:val="single" w:sz="8" w:color="007549"/>
            </w:tcBorders>
          </w:tcPr>
          <w:p>
            <w:pPr>
              <w:spacing w:after="0" w:line="20" w:lineRule="exact"/>
              <w:rPr>
                <w:sz w:val="1"/>
                <w:szCs w:val="1"/>
                <w:color w:val="auto"/>
              </w:rPr>
            </w:pPr>
          </w:p>
        </w:tc>
        <w:tc>
          <w:tcPr>
            <w:tcW w:w="140" w:type="dxa"/>
            <w:vAlign w:val="bottom"/>
            <w:tcBorders>
              <w:top w:val="single" w:sz="8" w:color="0000EE"/>
              <w:bottom w:val="single" w:sz="8" w:color="007549"/>
            </w:tcBorders>
          </w:tcPr>
          <w:p>
            <w:pPr>
              <w:spacing w:after="0" w:line="20" w:lineRule="exact"/>
              <w:rPr>
                <w:sz w:val="1"/>
                <w:szCs w:val="1"/>
                <w:color w:val="auto"/>
              </w:rPr>
            </w:pPr>
          </w:p>
        </w:tc>
        <w:tc>
          <w:tcPr>
            <w:tcW w:w="20" w:type="dxa"/>
            <w:vAlign w:val="bottom"/>
            <w:tcBorders>
              <w:top w:val="single" w:sz="8" w:color="0000EE"/>
              <w:bottom w:val="single" w:sz="8" w:color="007549"/>
            </w:tcBorders>
          </w:tcPr>
          <w:p>
            <w:pPr>
              <w:spacing w:after="0" w:line="20" w:lineRule="exact"/>
              <w:rPr>
                <w:sz w:val="1"/>
                <w:szCs w:val="1"/>
                <w:color w:val="auto"/>
              </w:rPr>
            </w:pPr>
          </w:p>
        </w:tc>
        <w:tc>
          <w:tcPr>
            <w:tcW w:w="100" w:type="dxa"/>
            <w:vAlign w:val="bottom"/>
            <w:tcBorders>
              <w:top w:val="single" w:sz="8" w:color="0000EE"/>
              <w:bottom w:val="single" w:sz="8" w:color="007549"/>
            </w:tcBorders>
          </w:tcPr>
          <w:p>
            <w:pPr>
              <w:spacing w:after="0" w:line="20" w:lineRule="exact"/>
              <w:rPr>
                <w:sz w:val="1"/>
                <w:szCs w:val="1"/>
                <w:color w:val="auto"/>
              </w:rPr>
            </w:pPr>
          </w:p>
        </w:tc>
        <w:tc>
          <w:tcPr>
            <w:tcW w:w="100" w:type="dxa"/>
            <w:vAlign w:val="bottom"/>
            <w:tcBorders>
              <w:top w:val="single" w:sz="8" w:color="0000EE"/>
              <w:bottom w:val="single" w:sz="8" w:color="007549"/>
            </w:tcBorders>
          </w:tcPr>
          <w:p>
            <w:pPr>
              <w:spacing w:after="0" w:line="20" w:lineRule="exact"/>
              <w:rPr>
                <w:sz w:val="1"/>
                <w:szCs w:val="1"/>
                <w:color w:val="auto"/>
              </w:rPr>
            </w:pPr>
          </w:p>
        </w:tc>
        <w:tc>
          <w:tcPr>
            <w:tcW w:w="40" w:type="dxa"/>
            <w:vAlign w:val="bottom"/>
            <w:tcBorders>
              <w:top w:val="single" w:sz="8" w:color="0000EE"/>
              <w:bottom w:val="single" w:sz="8" w:color="007549"/>
            </w:tcBorders>
          </w:tcPr>
          <w:p>
            <w:pPr>
              <w:spacing w:after="0" w:line="20" w:lineRule="exact"/>
              <w:rPr>
                <w:sz w:val="1"/>
                <w:szCs w:val="1"/>
                <w:color w:val="auto"/>
              </w:rPr>
            </w:pPr>
          </w:p>
        </w:tc>
        <w:tc>
          <w:tcPr>
            <w:tcW w:w="240" w:type="dxa"/>
            <w:vAlign w:val="bottom"/>
            <w:tcBorders>
              <w:top w:val="single" w:sz="8" w:color="0000EE"/>
              <w:bottom w:val="single" w:sz="8" w:color="007549"/>
            </w:tcBorders>
          </w:tcPr>
          <w:p>
            <w:pPr>
              <w:spacing w:after="0" w:line="20" w:lineRule="exact"/>
              <w:rPr>
                <w:sz w:val="1"/>
                <w:szCs w:val="1"/>
                <w:color w:val="auto"/>
              </w:rPr>
            </w:pPr>
          </w:p>
        </w:tc>
        <w:tc>
          <w:tcPr>
            <w:tcW w:w="140" w:type="dxa"/>
            <w:vAlign w:val="bottom"/>
            <w:tcBorders>
              <w:bottom w:val="single" w:sz="8" w:color="007549"/>
            </w:tcBorders>
          </w:tcPr>
          <w:p>
            <w:pPr>
              <w:spacing w:after="0" w:line="20" w:lineRule="exact"/>
              <w:rPr>
                <w:sz w:val="1"/>
                <w:szCs w:val="1"/>
                <w:color w:val="auto"/>
              </w:rPr>
            </w:pPr>
          </w:p>
        </w:tc>
        <w:tc>
          <w:tcPr>
            <w:tcW w:w="80" w:type="dxa"/>
            <w:vAlign w:val="bottom"/>
            <w:tcBorders>
              <w:bottom w:val="single" w:sz="8" w:color="007549"/>
            </w:tcBorders>
          </w:tcPr>
          <w:p>
            <w:pPr>
              <w:spacing w:after="0" w:line="20" w:lineRule="exact"/>
              <w:rPr>
                <w:sz w:val="1"/>
                <w:szCs w:val="1"/>
                <w:color w:val="auto"/>
              </w:rPr>
            </w:pPr>
          </w:p>
        </w:tc>
        <w:tc>
          <w:tcPr>
            <w:tcW w:w="20" w:type="dxa"/>
            <w:vAlign w:val="bottom"/>
            <w:tcBorders>
              <w:bottom w:val="single" w:sz="8" w:color="007549"/>
            </w:tcBorders>
          </w:tcPr>
          <w:p>
            <w:pPr>
              <w:spacing w:after="0" w:line="20" w:lineRule="exact"/>
              <w:rPr>
                <w:sz w:val="1"/>
                <w:szCs w:val="1"/>
                <w:color w:val="auto"/>
              </w:rPr>
            </w:pPr>
          </w:p>
        </w:tc>
        <w:tc>
          <w:tcPr>
            <w:tcW w:w="60" w:type="dxa"/>
            <w:vAlign w:val="bottom"/>
            <w:tcBorders>
              <w:bottom w:val="single" w:sz="8" w:color="007549"/>
            </w:tcBorders>
          </w:tcPr>
          <w:p>
            <w:pPr>
              <w:spacing w:after="0" w:line="20" w:lineRule="exact"/>
              <w:rPr>
                <w:sz w:val="1"/>
                <w:szCs w:val="1"/>
                <w:color w:val="auto"/>
              </w:rPr>
            </w:pPr>
          </w:p>
        </w:tc>
        <w:tc>
          <w:tcPr>
            <w:tcW w:w="40" w:type="dxa"/>
            <w:vAlign w:val="bottom"/>
            <w:tcBorders>
              <w:bottom w:val="single" w:sz="8" w:color="007549"/>
            </w:tcBorders>
          </w:tcPr>
          <w:p>
            <w:pPr>
              <w:spacing w:after="0" w:line="20" w:lineRule="exact"/>
              <w:rPr>
                <w:sz w:val="1"/>
                <w:szCs w:val="1"/>
                <w:color w:val="auto"/>
              </w:rPr>
            </w:pPr>
          </w:p>
        </w:tc>
        <w:tc>
          <w:tcPr>
            <w:tcW w:w="60" w:type="dxa"/>
            <w:vAlign w:val="bottom"/>
            <w:tcBorders>
              <w:bottom w:val="single" w:sz="8" w:color="007549"/>
            </w:tcBorders>
          </w:tcPr>
          <w:p>
            <w:pPr>
              <w:spacing w:after="0" w:line="20" w:lineRule="exact"/>
              <w:rPr>
                <w:sz w:val="1"/>
                <w:szCs w:val="1"/>
                <w:color w:val="auto"/>
              </w:rPr>
            </w:pPr>
          </w:p>
        </w:tc>
        <w:tc>
          <w:tcPr>
            <w:tcW w:w="120" w:type="dxa"/>
            <w:vAlign w:val="bottom"/>
            <w:tcBorders>
              <w:bottom w:val="single" w:sz="8" w:color="007549"/>
            </w:tcBorders>
          </w:tcPr>
          <w:p>
            <w:pPr>
              <w:spacing w:after="0" w:line="20" w:lineRule="exact"/>
              <w:rPr>
                <w:sz w:val="1"/>
                <w:szCs w:val="1"/>
                <w:color w:val="auto"/>
              </w:rPr>
            </w:pPr>
          </w:p>
        </w:tc>
        <w:tc>
          <w:tcPr>
            <w:tcW w:w="40" w:type="dxa"/>
            <w:vAlign w:val="bottom"/>
            <w:tcBorders>
              <w:bottom w:val="single" w:sz="8" w:color="007549"/>
            </w:tcBorders>
          </w:tcPr>
          <w:p>
            <w:pPr>
              <w:spacing w:after="0" w:line="20" w:lineRule="exact"/>
              <w:rPr>
                <w:sz w:val="1"/>
                <w:szCs w:val="1"/>
                <w:color w:val="auto"/>
              </w:rPr>
            </w:pPr>
          </w:p>
        </w:tc>
        <w:tc>
          <w:tcPr>
            <w:tcW w:w="80" w:type="dxa"/>
            <w:vAlign w:val="bottom"/>
            <w:tcBorders>
              <w:bottom w:val="single" w:sz="8" w:color="007549"/>
            </w:tcBorders>
          </w:tcPr>
          <w:p>
            <w:pPr>
              <w:spacing w:after="0" w:line="20" w:lineRule="exact"/>
              <w:rPr>
                <w:sz w:val="1"/>
                <w:szCs w:val="1"/>
                <w:color w:val="auto"/>
              </w:rPr>
            </w:pPr>
          </w:p>
        </w:tc>
        <w:tc>
          <w:tcPr>
            <w:tcW w:w="200" w:type="dxa"/>
            <w:vAlign w:val="bottom"/>
            <w:tcBorders>
              <w:bottom w:val="single" w:sz="8" w:color="007549"/>
            </w:tcBorders>
          </w:tcPr>
          <w:p>
            <w:pPr>
              <w:spacing w:after="0" w:line="20" w:lineRule="exact"/>
              <w:rPr>
                <w:sz w:val="1"/>
                <w:szCs w:val="1"/>
                <w:color w:val="auto"/>
              </w:rPr>
            </w:pPr>
          </w:p>
        </w:tc>
        <w:tc>
          <w:tcPr>
            <w:tcW w:w="40" w:type="dxa"/>
            <w:vAlign w:val="bottom"/>
            <w:tcBorders>
              <w:bottom w:val="single" w:sz="8" w:color="007549"/>
            </w:tcBorders>
          </w:tcPr>
          <w:p>
            <w:pPr>
              <w:spacing w:after="0" w:line="20" w:lineRule="exact"/>
              <w:rPr>
                <w:sz w:val="1"/>
                <w:szCs w:val="1"/>
                <w:color w:val="auto"/>
              </w:rPr>
            </w:pPr>
          </w:p>
        </w:tc>
        <w:tc>
          <w:tcPr>
            <w:tcW w:w="360" w:type="dxa"/>
            <w:vAlign w:val="bottom"/>
            <w:tcBorders>
              <w:bottom w:val="single" w:sz="8" w:color="007549"/>
            </w:tcBorders>
          </w:tcPr>
          <w:p>
            <w:pPr>
              <w:spacing w:after="0" w:line="20" w:lineRule="exact"/>
              <w:rPr>
                <w:sz w:val="1"/>
                <w:szCs w:val="1"/>
                <w:color w:val="auto"/>
              </w:rPr>
            </w:pPr>
          </w:p>
        </w:tc>
        <w:tc>
          <w:tcPr>
            <w:tcW w:w="60" w:type="dxa"/>
            <w:vAlign w:val="bottom"/>
            <w:tcBorders>
              <w:bottom w:val="single" w:sz="8" w:color="007549"/>
            </w:tcBorders>
          </w:tcPr>
          <w:p>
            <w:pPr>
              <w:spacing w:after="0" w:line="20" w:lineRule="exact"/>
              <w:rPr>
                <w:sz w:val="1"/>
                <w:szCs w:val="1"/>
                <w:color w:val="auto"/>
              </w:rPr>
            </w:pPr>
          </w:p>
        </w:tc>
        <w:tc>
          <w:tcPr>
            <w:tcW w:w="520" w:type="dxa"/>
            <w:vAlign w:val="bottom"/>
            <w:tcBorders>
              <w:bottom w:val="single" w:sz="8" w:color="007549"/>
            </w:tcBorders>
          </w:tcPr>
          <w:p>
            <w:pPr>
              <w:spacing w:after="0" w:line="20" w:lineRule="exact"/>
              <w:rPr>
                <w:sz w:val="1"/>
                <w:szCs w:val="1"/>
                <w:color w:val="auto"/>
              </w:rPr>
            </w:pPr>
          </w:p>
        </w:tc>
        <w:tc>
          <w:tcPr>
            <w:tcW w:w="100" w:type="dxa"/>
            <w:vAlign w:val="bottom"/>
            <w:tcBorders>
              <w:bottom w:val="single" w:sz="8" w:color="007549"/>
            </w:tcBorders>
          </w:tcPr>
          <w:p>
            <w:pPr>
              <w:spacing w:after="0" w:line="20" w:lineRule="exact"/>
              <w:rPr>
                <w:sz w:val="1"/>
                <w:szCs w:val="1"/>
                <w:color w:val="auto"/>
              </w:rPr>
            </w:pPr>
          </w:p>
        </w:tc>
        <w:tc>
          <w:tcPr>
            <w:tcW w:w="20" w:type="dxa"/>
            <w:vAlign w:val="bottom"/>
            <w:tcBorders>
              <w:bottom w:val="single" w:sz="8" w:color="007549"/>
            </w:tcBorders>
          </w:tcPr>
          <w:p>
            <w:pPr>
              <w:spacing w:after="0" w:line="20" w:lineRule="exact"/>
              <w:rPr>
                <w:sz w:val="1"/>
                <w:szCs w:val="1"/>
                <w:color w:val="auto"/>
              </w:rPr>
            </w:pPr>
          </w:p>
        </w:tc>
        <w:tc>
          <w:tcPr>
            <w:tcW w:w="220" w:type="dxa"/>
            <w:vAlign w:val="bottom"/>
            <w:tcBorders>
              <w:bottom w:val="single" w:sz="8" w:color="007549"/>
            </w:tcBorders>
          </w:tcPr>
          <w:p>
            <w:pPr>
              <w:spacing w:after="0" w:line="20" w:lineRule="exact"/>
              <w:rPr>
                <w:sz w:val="1"/>
                <w:szCs w:val="1"/>
                <w:color w:val="auto"/>
              </w:rPr>
            </w:pPr>
          </w:p>
        </w:tc>
        <w:tc>
          <w:tcPr>
            <w:tcW w:w="120" w:type="dxa"/>
            <w:vAlign w:val="bottom"/>
            <w:tcBorders>
              <w:bottom w:val="single" w:sz="8" w:color="007549"/>
            </w:tcBorders>
          </w:tcPr>
          <w:p>
            <w:pPr>
              <w:spacing w:after="0" w:line="20" w:lineRule="exact"/>
              <w:rPr>
                <w:sz w:val="1"/>
                <w:szCs w:val="1"/>
                <w:color w:val="auto"/>
              </w:rPr>
            </w:pPr>
          </w:p>
        </w:tc>
        <w:tc>
          <w:tcPr>
            <w:tcW w:w="60" w:type="dxa"/>
            <w:vAlign w:val="bottom"/>
            <w:tcBorders>
              <w:bottom w:val="single" w:sz="8" w:color="007549"/>
            </w:tcBorders>
          </w:tcPr>
          <w:p>
            <w:pPr>
              <w:spacing w:after="0" w:line="20" w:lineRule="exact"/>
              <w:rPr>
                <w:sz w:val="1"/>
                <w:szCs w:val="1"/>
                <w:color w:val="auto"/>
              </w:rPr>
            </w:pPr>
          </w:p>
        </w:tc>
        <w:tc>
          <w:tcPr>
            <w:tcW w:w="20" w:type="dxa"/>
            <w:vAlign w:val="bottom"/>
            <w:tcBorders>
              <w:bottom w:val="single" w:sz="8" w:color="007549"/>
            </w:tcBorders>
          </w:tcPr>
          <w:p>
            <w:pPr>
              <w:spacing w:after="0" w:line="20" w:lineRule="exact"/>
              <w:rPr>
                <w:sz w:val="1"/>
                <w:szCs w:val="1"/>
                <w:color w:val="auto"/>
              </w:rPr>
            </w:pPr>
          </w:p>
        </w:tc>
        <w:tc>
          <w:tcPr>
            <w:tcW w:w="20" w:type="dxa"/>
            <w:vAlign w:val="bottom"/>
            <w:tcBorders>
              <w:bottom w:val="single" w:sz="8" w:color="007549"/>
            </w:tcBorders>
          </w:tcPr>
          <w:p>
            <w:pPr>
              <w:spacing w:after="0" w:line="20" w:lineRule="exact"/>
              <w:rPr>
                <w:sz w:val="1"/>
                <w:szCs w:val="1"/>
                <w:color w:val="auto"/>
              </w:rPr>
            </w:pPr>
          </w:p>
        </w:tc>
        <w:tc>
          <w:tcPr>
            <w:tcW w:w="200" w:type="dxa"/>
            <w:vAlign w:val="bottom"/>
            <w:tcBorders>
              <w:bottom w:val="single" w:sz="8" w:color="007549"/>
            </w:tcBorders>
          </w:tcPr>
          <w:p>
            <w:pPr>
              <w:spacing w:after="0" w:line="20" w:lineRule="exact"/>
              <w:rPr>
                <w:sz w:val="1"/>
                <w:szCs w:val="1"/>
                <w:color w:val="auto"/>
              </w:rPr>
            </w:pPr>
          </w:p>
        </w:tc>
        <w:tc>
          <w:tcPr>
            <w:tcW w:w="80" w:type="dxa"/>
            <w:vAlign w:val="bottom"/>
            <w:tcBorders>
              <w:bottom w:val="single" w:sz="8" w:color="007549"/>
            </w:tcBorders>
          </w:tcPr>
          <w:p>
            <w:pPr>
              <w:spacing w:after="0" w:line="20" w:lineRule="exact"/>
              <w:rPr>
                <w:sz w:val="1"/>
                <w:szCs w:val="1"/>
                <w:color w:val="auto"/>
              </w:rPr>
            </w:pPr>
          </w:p>
        </w:tc>
        <w:tc>
          <w:tcPr>
            <w:tcW w:w="160" w:type="dxa"/>
            <w:vAlign w:val="bottom"/>
            <w:tcBorders>
              <w:bottom w:val="single" w:sz="8" w:color="007549"/>
            </w:tcBorders>
          </w:tcPr>
          <w:p>
            <w:pPr>
              <w:spacing w:after="0" w:line="20" w:lineRule="exact"/>
              <w:rPr>
                <w:sz w:val="1"/>
                <w:szCs w:val="1"/>
                <w:color w:val="auto"/>
              </w:rPr>
            </w:pPr>
          </w:p>
        </w:tc>
        <w:tc>
          <w:tcPr>
            <w:tcW w:w="40" w:type="dxa"/>
            <w:vAlign w:val="bottom"/>
            <w:tcBorders>
              <w:bottom w:val="single" w:sz="8" w:color="007549"/>
            </w:tcBorders>
          </w:tcPr>
          <w:p>
            <w:pPr>
              <w:spacing w:after="0" w:line="20" w:lineRule="exact"/>
              <w:rPr>
                <w:sz w:val="1"/>
                <w:szCs w:val="1"/>
                <w:color w:val="auto"/>
              </w:rPr>
            </w:pPr>
          </w:p>
        </w:tc>
        <w:tc>
          <w:tcPr>
            <w:tcW w:w="200" w:type="dxa"/>
            <w:vAlign w:val="bottom"/>
            <w:tcBorders>
              <w:bottom w:val="single" w:sz="8" w:color="007549"/>
            </w:tcBorders>
          </w:tcPr>
          <w:p>
            <w:pPr>
              <w:spacing w:after="0" w:line="20" w:lineRule="exact"/>
              <w:rPr>
                <w:sz w:val="1"/>
                <w:szCs w:val="1"/>
                <w:color w:val="auto"/>
              </w:rPr>
            </w:pPr>
          </w:p>
        </w:tc>
        <w:tc>
          <w:tcPr>
            <w:tcW w:w="100" w:type="dxa"/>
            <w:vAlign w:val="bottom"/>
            <w:tcBorders>
              <w:bottom w:val="single" w:sz="8" w:color="0075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4820" w:type="dxa"/>
            <w:vAlign w:val="bottom"/>
            <w:gridSpan w:val="40"/>
          </w:tcPr>
          <w:p>
            <w:pPr>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ADDITIONAL INFORMATION</w:t>
              </w:r>
            </w:hyperlink>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Borders>
              <w:top w:val="single" w:sz="8" w:color="0000EE"/>
              <w:bottom w:val="single" w:sz="8" w:color="007549"/>
            </w:tcBorders>
          </w:tcPr>
          <w:p>
            <w:pPr>
              <w:spacing w:after="0" w:line="20" w:lineRule="exact"/>
              <w:rPr>
                <w:sz w:val="1"/>
                <w:szCs w:val="1"/>
                <w:color w:val="auto"/>
              </w:rPr>
            </w:pPr>
          </w:p>
        </w:tc>
        <w:tc>
          <w:tcPr>
            <w:tcW w:w="100" w:type="dxa"/>
            <w:vAlign w:val="bottom"/>
            <w:tcBorders>
              <w:top w:val="single" w:sz="8" w:color="0000EE"/>
              <w:bottom w:val="single" w:sz="8" w:color="007549"/>
            </w:tcBorders>
          </w:tcPr>
          <w:p>
            <w:pPr>
              <w:spacing w:after="0" w:line="20" w:lineRule="exact"/>
              <w:rPr>
                <w:sz w:val="1"/>
                <w:szCs w:val="1"/>
                <w:color w:val="auto"/>
              </w:rPr>
            </w:pPr>
          </w:p>
        </w:tc>
        <w:tc>
          <w:tcPr>
            <w:tcW w:w="140" w:type="dxa"/>
            <w:vAlign w:val="bottom"/>
            <w:tcBorders>
              <w:top w:val="single" w:sz="8" w:color="0000EE"/>
              <w:bottom w:val="single" w:sz="8" w:color="007549"/>
            </w:tcBorders>
          </w:tcPr>
          <w:p>
            <w:pPr>
              <w:spacing w:after="0" w:line="20" w:lineRule="exact"/>
              <w:rPr>
                <w:sz w:val="1"/>
                <w:szCs w:val="1"/>
                <w:color w:val="auto"/>
              </w:rPr>
            </w:pPr>
          </w:p>
        </w:tc>
        <w:tc>
          <w:tcPr>
            <w:tcW w:w="140" w:type="dxa"/>
            <w:vAlign w:val="bottom"/>
            <w:tcBorders>
              <w:top w:val="single" w:sz="8" w:color="0000EE"/>
              <w:bottom w:val="single" w:sz="8" w:color="007549"/>
            </w:tcBorders>
          </w:tcPr>
          <w:p>
            <w:pPr>
              <w:spacing w:after="0" w:line="20" w:lineRule="exact"/>
              <w:rPr>
                <w:sz w:val="1"/>
                <w:szCs w:val="1"/>
                <w:color w:val="auto"/>
              </w:rPr>
            </w:pPr>
          </w:p>
        </w:tc>
        <w:tc>
          <w:tcPr>
            <w:tcW w:w="620" w:type="dxa"/>
            <w:vAlign w:val="bottom"/>
            <w:tcBorders>
              <w:top w:val="single" w:sz="8" w:color="0000EE"/>
              <w:bottom w:val="single" w:sz="8" w:color="007549"/>
            </w:tcBorders>
          </w:tcPr>
          <w:p>
            <w:pPr>
              <w:spacing w:after="0" w:line="20" w:lineRule="exact"/>
              <w:rPr>
                <w:sz w:val="1"/>
                <w:szCs w:val="1"/>
                <w:color w:val="auto"/>
              </w:rPr>
            </w:pPr>
          </w:p>
        </w:tc>
        <w:tc>
          <w:tcPr>
            <w:tcW w:w="20" w:type="dxa"/>
            <w:vAlign w:val="bottom"/>
            <w:tcBorders>
              <w:top w:val="single" w:sz="8" w:color="0000EE"/>
              <w:bottom w:val="single" w:sz="8" w:color="007549"/>
            </w:tcBorders>
          </w:tcPr>
          <w:p>
            <w:pPr>
              <w:spacing w:after="0" w:line="20" w:lineRule="exact"/>
              <w:rPr>
                <w:sz w:val="1"/>
                <w:szCs w:val="1"/>
                <w:color w:val="auto"/>
              </w:rPr>
            </w:pPr>
          </w:p>
        </w:tc>
        <w:tc>
          <w:tcPr>
            <w:tcW w:w="160" w:type="dxa"/>
            <w:vAlign w:val="bottom"/>
            <w:tcBorders>
              <w:top w:val="single" w:sz="8" w:color="0000EE"/>
              <w:bottom w:val="single" w:sz="8" w:color="007549"/>
            </w:tcBorders>
          </w:tcPr>
          <w:p>
            <w:pPr>
              <w:spacing w:after="0" w:line="20" w:lineRule="exact"/>
              <w:rPr>
                <w:sz w:val="1"/>
                <w:szCs w:val="1"/>
                <w:color w:val="auto"/>
              </w:rPr>
            </w:pPr>
          </w:p>
        </w:tc>
        <w:tc>
          <w:tcPr>
            <w:tcW w:w="60" w:type="dxa"/>
            <w:vAlign w:val="bottom"/>
            <w:tcBorders>
              <w:top w:val="single" w:sz="8" w:color="0000EE"/>
              <w:bottom w:val="single" w:sz="8" w:color="007549"/>
            </w:tcBorders>
          </w:tcPr>
          <w:p>
            <w:pPr>
              <w:spacing w:after="0" w:line="20" w:lineRule="exact"/>
              <w:rPr>
                <w:sz w:val="1"/>
                <w:szCs w:val="1"/>
                <w:color w:val="auto"/>
              </w:rPr>
            </w:pPr>
          </w:p>
        </w:tc>
        <w:tc>
          <w:tcPr>
            <w:tcW w:w="20" w:type="dxa"/>
            <w:vAlign w:val="bottom"/>
            <w:tcBorders>
              <w:top w:val="single" w:sz="8" w:color="0000EE"/>
              <w:bottom w:val="single" w:sz="8" w:color="007549"/>
            </w:tcBorders>
          </w:tcPr>
          <w:p>
            <w:pPr>
              <w:spacing w:after="0" w:line="20" w:lineRule="exact"/>
              <w:rPr>
                <w:sz w:val="1"/>
                <w:szCs w:val="1"/>
                <w:color w:val="auto"/>
              </w:rPr>
            </w:pPr>
          </w:p>
        </w:tc>
        <w:tc>
          <w:tcPr>
            <w:tcW w:w="100" w:type="dxa"/>
            <w:vAlign w:val="bottom"/>
            <w:tcBorders>
              <w:top w:val="single" w:sz="8" w:color="0000EE"/>
              <w:bottom w:val="single" w:sz="8" w:color="007549"/>
            </w:tcBorders>
          </w:tcPr>
          <w:p>
            <w:pPr>
              <w:spacing w:after="0" w:line="20" w:lineRule="exact"/>
              <w:rPr>
                <w:sz w:val="1"/>
                <w:szCs w:val="1"/>
                <w:color w:val="auto"/>
              </w:rPr>
            </w:pPr>
          </w:p>
        </w:tc>
        <w:tc>
          <w:tcPr>
            <w:tcW w:w="80" w:type="dxa"/>
            <w:vAlign w:val="bottom"/>
            <w:tcBorders>
              <w:top w:val="single" w:sz="8" w:color="0000EE"/>
              <w:bottom w:val="single" w:sz="8" w:color="007549"/>
            </w:tcBorders>
          </w:tcPr>
          <w:p>
            <w:pPr>
              <w:spacing w:after="0" w:line="20" w:lineRule="exact"/>
              <w:rPr>
                <w:sz w:val="1"/>
                <w:szCs w:val="1"/>
                <w:color w:val="auto"/>
              </w:rPr>
            </w:pPr>
          </w:p>
        </w:tc>
        <w:tc>
          <w:tcPr>
            <w:tcW w:w="140" w:type="dxa"/>
            <w:vAlign w:val="bottom"/>
            <w:tcBorders>
              <w:top w:val="single" w:sz="8" w:color="0000EE"/>
              <w:bottom w:val="single" w:sz="8" w:color="007549"/>
            </w:tcBorders>
          </w:tcPr>
          <w:p>
            <w:pPr>
              <w:spacing w:after="0" w:line="20" w:lineRule="exact"/>
              <w:rPr>
                <w:sz w:val="1"/>
                <w:szCs w:val="1"/>
                <w:color w:val="auto"/>
              </w:rPr>
            </w:pPr>
          </w:p>
        </w:tc>
        <w:tc>
          <w:tcPr>
            <w:tcW w:w="20" w:type="dxa"/>
            <w:vAlign w:val="bottom"/>
            <w:tcBorders>
              <w:top w:val="single" w:sz="8" w:color="0000EE"/>
              <w:bottom w:val="single" w:sz="8" w:color="007549"/>
            </w:tcBorders>
          </w:tcPr>
          <w:p>
            <w:pPr>
              <w:spacing w:after="0" w:line="20" w:lineRule="exact"/>
              <w:rPr>
                <w:sz w:val="1"/>
                <w:szCs w:val="1"/>
                <w:color w:val="auto"/>
              </w:rPr>
            </w:pPr>
          </w:p>
        </w:tc>
        <w:tc>
          <w:tcPr>
            <w:tcW w:w="100" w:type="dxa"/>
            <w:vAlign w:val="bottom"/>
            <w:tcBorders>
              <w:top w:val="single" w:sz="8" w:color="0000EE"/>
              <w:bottom w:val="single" w:sz="8" w:color="007549"/>
            </w:tcBorders>
          </w:tcPr>
          <w:p>
            <w:pPr>
              <w:spacing w:after="0" w:line="20" w:lineRule="exact"/>
              <w:rPr>
                <w:sz w:val="1"/>
                <w:szCs w:val="1"/>
                <w:color w:val="auto"/>
              </w:rPr>
            </w:pPr>
          </w:p>
        </w:tc>
        <w:tc>
          <w:tcPr>
            <w:tcW w:w="100" w:type="dxa"/>
            <w:vAlign w:val="bottom"/>
            <w:tcBorders>
              <w:top w:val="single" w:sz="8" w:color="0000EE"/>
              <w:bottom w:val="single" w:sz="8" w:color="007549"/>
            </w:tcBorders>
          </w:tcPr>
          <w:p>
            <w:pPr>
              <w:spacing w:after="0" w:line="20" w:lineRule="exact"/>
              <w:rPr>
                <w:sz w:val="1"/>
                <w:szCs w:val="1"/>
                <w:color w:val="auto"/>
              </w:rPr>
            </w:pPr>
          </w:p>
        </w:tc>
        <w:tc>
          <w:tcPr>
            <w:tcW w:w="40" w:type="dxa"/>
            <w:vAlign w:val="bottom"/>
            <w:tcBorders>
              <w:top w:val="single" w:sz="8" w:color="0000EE"/>
              <w:bottom w:val="single" w:sz="8" w:color="007549"/>
            </w:tcBorders>
          </w:tcPr>
          <w:p>
            <w:pPr>
              <w:spacing w:after="0" w:line="20" w:lineRule="exact"/>
              <w:rPr>
                <w:sz w:val="1"/>
                <w:szCs w:val="1"/>
                <w:color w:val="auto"/>
              </w:rPr>
            </w:pPr>
          </w:p>
        </w:tc>
        <w:tc>
          <w:tcPr>
            <w:tcW w:w="240" w:type="dxa"/>
            <w:vAlign w:val="bottom"/>
            <w:tcBorders>
              <w:top w:val="single" w:sz="8" w:color="0000EE"/>
              <w:bottom w:val="single" w:sz="8" w:color="007549"/>
            </w:tcBorders>
          </w:tcPr>
          <w:p>
            <w:pPr>
              <w:spacing w:after="0" w:line="20" w:lineRule="exact"/>
              <w:rPr>
                <w:sz w:val="1"/>
                <w:szCs w:val="1"/>
                <w:color w:val="auto"/>
              </w:rPr>
            </w:pPr>
          </w:p>
        </w:tc>
        <w:tc>
          <w:tcPr>
            <w:tcW w:w="140" w:type="dxa"/>
            <w:vAlign w:val="bottom"/>
            <w:tcBorders>
              <w:top w:val="single" w:sz="8" w:color="0000EE"/>
              <w:bottom w:val="single" w:sz="8" w:color="007549"/>
            </w:tcBorders>
          </w:tcPr>
          <w:p>
            <w:pPr>
              <w:spacing w:after="0" w:line="20" w:lineRule="exact"/>
              <w:rPr>
                <w:sz w:val="1"/>
                <w:szCs w:val="1"/>
                <w:color w:val="auto"/>
              </w:rPr>
            </w:pPr>
          </w:p>
        </w:tc>
        <w:tc>
          <w:tcPr>
            <w:tcW w:w="80" w:type="dxa"/>
            <w:vAlign w:val="bottom"/>
            <w:tcBorders>
              <w:top w:val="single" w:sz="8" w:color="0000EE"/>
              <w:bottom w:val="single" w:sz="8" w:color="007549"/>
            </w:tcBorders>
          </w:tcPr>
          <w:p>
            <w:pPr>
              <w:spacing w:after="0" w:line="20" w:lineRule="exact"/>
              <w:rPr>
                <w:sz w:val="1"/>
                <w:szCs w:val="1"/>
                <w:color w:val="auto"/>
              </w:rPr>
            </w:pPr>
          </w:p>
        </w:tc>
        <w:tc>
          <w:tcPr>
            <w:tcW w:w="20" w:type="dxa"/>
            <w:vAlign w:val="bottom"/>
            <w:tcBorders>
              <w:top w:val="single" w:sz="8" w:color="0000EE"/>
              <w:bottom w:val="single" w:sz="8" w:color="007549"/>
            </w:tcBorders>
          </w:tcPr>
          <w:p>
            <w:pPr>
              <w:spacing w:after="0" w:line="20" w:lineRule="exact"/>
              <w:rPr>
                <w:sz w:val="1"/>
                <w:szCs w:val="1"/>
                <w:color w:val="auto"/>
              </w:rPr>
            </w:pPr>
          </w:p>
        </w:tc>
        <w:tc>
          <w:tcPr>
            <w:tcW w:w="60" w:type="dxa"/>
            <w:vAlign w:val="bottom"/>
            <w:tcBorders>
              <w:bottom w:val="single" w:sz="8" w:color="007549"/>
            </w:tcBorders>
          </w:tcPr>
          <w:p>
            <w:pPr>
              <w:spacing w:after="0" w:line="20" w:lineRule="exact"/>
              <w:rPr>
                <w:sz w:val="1"/>
                <w:szCs w:val="1"/>
                <w:color w:val="auto"/>
              </w:rPr>
            </w:pPr>
          </w:p>
        </w:tc>
        <w:tc>
          <w:tcPr>
            <w:tcW w:w="40" w:type="dxa"/>
            <w:vAlign w:val="bottom"/>
            <w:tcBorders>
              <w:bottom w:val="single" w:sz="8" w:color="007549"/>
            </w:tcBorders>
          </w:tcPr>
          <w:p>
            <w:pPr>
              <w:spacing w:after="0" w:line="20" w:lineRule="exact"/>
              <w:rPr>
                <w:sz w:val="1"/>
                <w:szCs w:val="1"/>
                <w:color w:val="auto"/>
              </w:rPr>
            </w:pPr>
          </w:p>
        </w:tc>
        <w:tc>
          <w:tcPr>
            <w:tcW w:w="60" w:type="dxa"/>
            <w:vAlign w:val="bottom"/>
            <w:tcBorders>
              <w:bottom w:val="single" w:sz="8" w:color="007549"/>
            </w:tcBorders>
          </w:tcPr>
          <w:p>
            <w:pPr>
              <w:spacing w:after="0" w:line="20" w:lineRule="exact"/>
              <w:rPr>
                <w:sz w:val="1"/>
                <w:szCs w:val="1"/>
                <w:color w:val="auto"/>
              </w:rPr>
            </w:pPr>
          </w:p>
        </w:tc>
        <w:tc>
          <w:tcPr>
            <w:tcW w:w="120" w:type="dxa"/>
            <w:vAlign w:val="bottom"/>
            <w:tcBorders>
              <w:bottom w:val="single" w:sz="8" w:color="007549"/>
            </w:tcBorders>
          </w:tcPr>
          <w:p>
            <w:pPr>
              <w:spacing w:after="0" w:line="20" w:lineRule="exact"/>
              <w:rPr>
                <w:sz w:val="1"/>
                <w:szCs w:val="1"/>
                <w:color w:val="auto"/>
              </w:rPr>
            </w:pPr>
          </w:p>
        </w:tc>
        <w:tc>
          <w:tcPr>
            <w:tcW w:w="40" w:type="dxa"/>
            <w:vAlign w:val="bottom"/>
            <w:tcBorders>
              <w:bottom w:val="single" w:sz="8" w:color="007549"/>
            </w:tcBorders>
          </w:tcPr>
          <w:p>
            <w:pPr>
              <w:spacing w:after="0" w:line="20" w:lineRule="exact"/>
              <w:rPr>
                <w:sz w:val="1"/>
                <w:szCs w:val="1"/>
                <w:color w:val="auto"/>
              </w:rPr>
            </w:pPr>
          </w:p>
        </w:tc>
        <w:tc>
          <w:tcPr>
            <w:tcW w:w="80" w:type="dxa"/>
            <w:vAlign w:val="bottom"/>
            <w:tcBorders>
              <w:bottom w:val="single" w:sz="8" w:color="007549"/>
            </w:tcBorders>
          </w:tcPr>
          <w:p>
            <w:pPr>
              <w:spacing w:after="0" w:line="20" w:lineRule="exact"/>
              <w:rPr>
                <w:sz w:val="1"/>
                <w:szCs w:val="1"/>
                <w:color w:val="auto"/>
              </w:rPr>
            </w:pPr>
          </w:p>
        </w:tc>
        <w:tc>
          <w:tcPr>
            <w:tcW w:w="200" w:type="dxa"/>
            <w:vAlign w:val="bottom"/>
            <w:tcBorders>
              <w:bottom w:val="single" w:sz="8" w:color="007549"/>
            </w:tcBorders>
          </w:tcPr>
          <w:p>
            <w:pPr>
              <w:spacing w:after="0" w:line="20" w:lineRule="exact"/>
              <w:rPr>
                <w:sz w:val="1"/>
                <w:szCs w:val="1"/>
                <w:color w:val="auto"/>
              </w:rPr>
            </w:pPr>
          </w:p>
        </w:tc>
        <w:tc>
          <w:tcPr>
            <w:tcW w:w="40" w:type="dxa"/>
            <w:vAlign w:val="bottom"/>
            <w:tcBorders>
              <w:bottom w:val="single" w:sz="8" w:color="007549"/>
            </w:tcBorders>
          </w:tcPr>
          <w:p>
            <w:pPr>
              <w:spacing w:after="0" w:line="20" w:lineRule="exact"/>
              <w:rPr>
                <w:sz w:val="1"/>
                <w:szCs w:val="1"/>
                <w:color w:val="auto"/>
              </w:rPr>
            </w:pPr>
          </w:p>
        </w:tc>
        <w:tc>
          <w:tcPr>
            <w:tcW w:w="360" w:type="dxa"/>
            <w:vAlign w:val="bottom"/>
            <w:tcBorders>
              <w:bottom w:val="single" w:sz="8" w:color="007549"/>
            </w:tcBorders>
          </w:tcPr>
          <w:p>
            <w:pPr>
              <w:spacing w:after="0" w:line="20" w:lineRule="exact"/>
              <w:rPr>
                <w:sz w:val="1"/>
                <w:szCs w:val="1"/>
                <w:color w:val="auto"/>
              </w:rPr>
            </w:pPr>
          </w:p>
        </w:tc>
        <w:tc>
          <w:tcPr>
            <w:tcW w:w="60" w:type="dxa"/>
            <w:vAlign w:val="bottom"/>
            <w:tcBorders>
              <w:bottom w:val="single" w:sz="8" w:color="007549"/>
            </w:tcBorders>
          </w:tcPr>
          <w:p>
            <w:pPr>
              <w:spacing w:after="0" w:line="20" w:lineRule="exact"/>
              <w:rPr>
                <w:sz w:val="1"/>
                <w:szCs w:val="1"/>
                <w:color w:val="auto"/>
              </w:rPr>
            </w:pPr>
          </w:p>
        </w:tc>
        <w:tc>
          <w:tcPr>
            <w:tcW w:w="520" w:type="dxa"/>
            <w:vAlign w:val="bottom"/>
            <w:tcBorders>
              <w:bottom w:val="single" w:sz="8" w:color="007549"/>
            </w:tcBorders>
          </w:tcPr>
          <w:p>
            <w:pPr>
              <w:spacing w:after="0" w:line="20" w:lineRule="exact"/>
              <w:rPr>
                <w:sz w:val="1"/>
                <w:szCs w:val="1"/>
                <w:color w:val="auto"/>
              </w:rPr>
            </w:pPr>
          </w:p>
        </w:tc>
        <w:tc>
          <w:tcPr>
            <w:tcW w:w="100" w:type="dxa"/>
            <w:vAlign w:val="bottom"/>
            <w:tcBorders>
              <w:bottom w:val="single" w:sz="8" w:color="007549"/>
            </w:tcBorders>
          </w:tcPr>
          <w:p>
            <w:pPr>
              <w:spacing w:after="0" w:line="20" w:lineRule="exact"/>
              <w:rPr>
                <w:sz w:val="1"/>
                <w:szCs w:val="1"/>
                <w:color w:val="auto"/>
              </w:rPr>
            </w:pPr>
          </w:p>
        </w:tc>
        <w:tc>
          <w:tcPr>
            <w:tcW w:w="20" w:type="dxa"/>
            <w:vAlign w:val="bottom"/>
            <w:tcBorders>
              <w:bottom w:val="single" w:sz="8" w:color="007549"/>
            </w:tcBorders>
          </w:tcPr>
          <w:p>
            <w:pPr>
              <w:spacing w:after="0" w:line="20" w:lineRule="exact"/>
              <w:rPr>
                <w:sz w:val="1"/>
                <w:szCs w:val="1"/>
                <w:color w:val="auto"/>
              </w:rPr>
            </w:pPr>
          </w:p>
        </w:tc>
        <w:tc>
          <w:tcPr>
            <w:tcW w:w="220" w:type="dxa"/>
            <w:vAlign w:val="bottom"/>
            <w:tcBorders>
              <w:bottom w:val="single" w:sz="8" w:color="007549"/>
            </w:tcBorders>
          </w:tcPr>
          <w:p>
            <w:pPr>
              <w:spacing w:after="0" w:line="20" w:lineRule="exact"/>
              <w:rPr>
                <w:sz w:val="1"/>
                <w:szCs w:val="1"/>
                <w:color w:val="auto"/>
              </w:rPr>
            </w:pPr>
          </w:p>
        </w:tc>
        <w:tc>
          <w:tcPr>
            <w:tcW w:w="120" w:type="dxa"/>
            <w:vAlign w:val="bottom"/>
            <w:tcBorders>
              <w:bottom w:val="single" w:sz="8" w:color="007549"/>
            </w:tcBorders>
          </w:tcPr>
          <w:p>
            <w:pPr>
              <w:spacing w:after="0" w:line="20" w:lineRule="exact"/>
              <w:rPr>
                <w:sz w:val="1"/>
                <w:szCs w:val="1"/>
                <w:color w:val="auto"/>
              </w:rPr>
            </w:pPr>
          </w:p>
        </w:tc>
        <w:tc>
          <w:tcPr>
            <w:tcW w:w="60" w:type="dxa"/>
            <w:vAlign w:val="bottom"/>
            <w:tcBorders>
              <w:bottom w:val="single" w:sz="8" w:color="007549"/>
            </w:tcBorders>
          </w:tcPr>
          <w:p>
            <w:pPr>
              <w:spacing w:after="0" w:line="20" w:lineRule="exact"/>
              <w:rPr>
                <w:sz w:val="1"/>
                <w:szCs w:val="1"/>
                <w:color w:val="auto"/>
              </w:rPr>
            </w:pPr>
          </w:p>
        </w:tc>
        <w:tc>
          <w:tcPr>
            <w:tcW w:w="20" w:type="dxa"/>
            <w:vAlign w:val="bottom"/>
            <w:tcBorders>
              <w:bottom w:val="single" w:sz="8" w:color="007549"/>
            </w:tcBorders>
          </w:tcPr>
          <w:p>
            <w:pPr>
              <w:spacing w:after="0" w:line="20" w:lineRule="exact"/>
              <w:rPr>
                <w:sz w:val="1"/>
                <w:szCs w:val="1"/>
                <w:color w:val="auto"/>
              </w:rPr>
            </w:pPr>
          </w:p>
        </w:tc>
        <w:tc>
          <w:tcPr>
            <w:tcW w:w="20" w:type="dxa"/>
            <w:vAlign w:val="bottom"/>
            <w:tcBorders>
              <w:bottom w:val="single" w:sz="8" w:color="007549"/>
            </w:tcBorders>
          </w:tcPr>
          <w:p>
            <w:pPr>
              <w:spacing w:after="0" w:line="20" w:lineRule="exact"/>
              <w:rPr>
                <w:sz w:val="1"/>
                <w:szCs w:val="1"/>
                <w:color w:val="auto"/>
              </w:rPr>
            </w:pPr>
          </w:p>
        </w:tc>
        <w:tc>
          <w:tcPr>
            <w:tcW w:w="200" w:type="dxa"/>
            <w:vAlign w:val="bottom"/>
            <w:tcBorders>
              <w:bottom w:val="single" w:sz="8" w:color="007549"/>
            </w:tcBorders>
          </w:tcPr>
          <w:p>
            <w:pPr>
              <w:spacing w:after="0" w:line="20" w:lineRule="exact"/>
              <w:rPr>
                <w:sz w:val="1"/>
                <w:szCs w:val="1"/>
                <w:color w:val="auto"/>
              </w:rPr>
            </w:pPr>
          </w:p>
        </w:tc>
        <w:tc>
          <w:tcPr>
            <w:tcW w:w="80" w:type="dxa"/>
            <w:vAlign w:val="bottom"/>
            <w:tcBorders>
              <w:bottom w:val="single" w:sz="8" w:color="007549"/>
            </w:tcBorders>
          </w:tcPr>
          <w:p>
            <w:pPr>
              <w:spacing w:after="0" w:line="20" w:lineRule="exact"/>
              <w:rPr>
                <w:sz w:val="1"/>
                <w:szCs w:val="1"/>
                <w:color w:val="auto"/>
              </w:rPr>
            </w:pPr>
          </w:p>
        </w:tc>
        <w:tc>
          <w:tcPr>
            <w:tcW w:w="160" w:type="dxa"/>
            <w:vAlign w:val="bottom"/>
            <w:tcBorders>
              <w:bottom w:val="single" w:sz="8" w:color="007549"/>
            </w:tcBorders>
          </w:tcPr>
          <w:p>
            <w:pPr>
              <w:spacing w:after="0" w:line="20" w:lineRule="exact"/>
              <w:rPr>
                <w:sz w:val="1"/>
                <w:szCs w:val="1"/>
                <w:color w:val="auto"/>
              </w:rPr>
            </w:pPr>
          </w:p>
        </w:tc>
        <w:tc>
          <w:tcPr>
            <w:tcW w:w="40" w:type="dxa"/>
            <w:vAlign w:val="bottom"/>
            <w:tcBorders>
              <w:bottom w:val="single" w:sz="8" w:color="007549"/>
            </w:tcBorders>
          </w:tcPr>
          <w:p>
            <w:pPr>
              <w:spacing w:after="0" w:line="20" w:lineRule="exact"/>
              <w:rPr>
                <w:sz w:val="1"/>
                <w:szCs w:val="1"/>
                <w:color w:val="auto"/>
              </w:rPr>
            </w:pPr>
          </w:p>
        </w:tc>
        <w:tc>
          <w:tcPr>
            <w:tcW w:w="200" w:type="dxa"/>
            <w:vAlign w:val="bottom"/>
            <w:tcBorders>
              <w:bottom w:val="single" w:sz="8" w:color="007549"/>
            </w:tcBorders>
          </w:tcPr>
          <w:p>
            <w:pPr>
              <w:spacing w:after="0" w:line="20" w:lineRule="exact"/>
              <w:rPr>
                <w:sz w:val="1"/>
                <w:szCs w:val="1"/>
                <w:color w:val="auto"/>
              </w:rPr>
            </w:pPr>
          </w:p>
        </w:tc>
        <w:tc>
          <w:tcPr>
            <w:tcW w:w="100" w:type="dxa"/>
            <w:vAlign w:val="bottom"/>
            <w:tcBorders>
              <w:bottom w:val="single" w:sz="8" w:color="0075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4820" w:type="dxa"/>
            <w:vAlign w:val="bottom"/>
            <w:gridSpan w:val="40"/>
          </w:tcPr>
          <w:p>
            <w:pPr>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OTHER MATTERS</w:t>
              </w:r>
            </w:hyperlink>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Borders>
              <w:top w:val="single" w:sz="8" w:color="0000EE"/>
              <w:bottom w:val="single" w:sz="8" w:color="007549"/>
            </w:tcBorders>
          </w:tcPr>
          <w:p>
            <w:pPr>
              <w:spacing w:after="0" w:line="20" w:lineRule="exact"/>
              <w:rPr>
                <w:sz w:val="1"/>
                <w:szCs w:val="1"/>
                <w:color w:val="auto"/>
              </w:rPr>
            </w:pPr>
          </w:p>
        </w:tc>
        <w:tc>
          <w:tcPr>
            <w:tcW w:w="100" w:type="dxa"/>
            <w:vAlign w:val="bottom"/>
            <w:tcBorders>
              <w:top w:val="single" w:sz="8" w:color="0000EE"/>
              <w:bottom w:val="single" w:sz="8" w:color="007549"/>
            </w:tcBorders>
          </w:tcPr>
          <w:p>
            <w:pPr>
              <w:spacing w:after="0" w:line="20" w:lineRule="exact"/>
              <w:rPr>
                <w:sz w:val="1"/>
                <w:szCs w:val="1"/>
                <w:color w:val="auto"/>
              </w:rPr>
            </w:pPr>
          </w:p>
        </w:tc>
        <w:tc>
          <w:tcPr>
            <w:tcW w:w="140" w:type="dxa"/>
            <w:vAlign w:val="bottom"/>
            <w:tcBorders>
              <w:top w:val="single" w:sz="8" w:color="0000EE"/>
              <w:bottom w:val="single" w:sz="8" w:color="007549"/>
            </w:tcBorders>
          </w:tcPr>
          <w:p>
            <w:pPr>
              <w:spacing w:after="0" w:line="20" w:lineRule="exact"/>
              <w:rPr>
                <w:sz w:val="1"/>
                <w:szCs w:val="1"/>
                <w:color w:val="auto"/>
              </w:rPr>
            </w:pPr>
          </w:p>
        </w:tc>
        <w:tc>
          <w:tcPr>
            <w:tcW w:w="140" w:type="dxa"/>
            <w:vAlign w:val="bottom"/>
            <w:tcBorders>
              <w:top w:val="single" w:sz="8" w:color="0000EE"/>
              <w:bottom w:val="single" w:sz="8" w:color="007549"/>
            </w:tcBorders>
          </w:tcPr>
          <w:p>
            <w:pPr>
              <w:spacing w:after="0" w:line="20" w:lineRule="exact"/>
              <w:rPr>
                <w:sz w:val="1"/>
                <w:szCs w:val="1"/>
                <w:color w:val="auto"/>
              </w:rPr>
            </w:pPr>
          </w:p>
        </w:tc>
        <w:tc>
          <w:tcPr>
            <w:tcW w:w="620" w:type="dxa"/>
            <w:vAlign w:val="bottom"/>
            <w:tcBorders>
              <w:top w:val="single" w:sz="8" w:color="0000EE"/>
              <w:bottom w:val="single" w:sz="8" w:color="007549"/>
            </w:tcBorders>
          </w:tcPr>
          <w:p>
            <w:pPr>
              <w:spacing w:after="0" w:line="20" w:lineRule="exact"/>
              <w:rPr>
                <w:sz w:val="1"/>
                <w:szCs w:val="1"/>
                <w:color w:val="auto"/>
              </w:rPr>
            </w:pPr>
          </w:p>
        </w:tc>
        <w:tc>
          <w:tcPr>
            <w:tcW w:w="20" w:type="dxa"/>
            <w:vAlign w:val="bottom"/>
            <w:tcBorders>
              <w:top w:val="single" w:sz="8" w:color="0000EE"/>
              <w:bottom w:val="single" w:sz="8" w:color="007549"/>
            </w:tcBorders>
          </w:tcPr>
          <w:p>
            <w:pPr>
              <w:spacing w:after="0" w:line="20" w:lineRule="exact"/>
              <w:rPr>
                <w:sz w:val="1"/>
                <w:szCs w:val="1"/>
                <w:color w:val="auto"/>
              </w:rPr>
            </w:pPr>
          </w:p>
        </w:tc>
        <w:tc>
          <w:tcPr>
            <w:tcW w:w="160" w:type="dxa"/>
            <w:vAlign w:val="bottom"/>
            <w:tcBorders>
              <w:top w:val="single" w:sz="8" w:color="0000EE"/>
              <w:bottom w:val="single" w:sz="8" w:color="007549"/>
            </w:tcBorders>
          </w:tcPr>
          <w:p>
            <w:pPr>
              <w:spacing w:after="0" w:line="20" w:lineRule="exact"/>
              <w:rPr>
                <w:sz w:val="1"/>
                <w:szCs w:val="1"/>
                <w:color w:val="auto"/>
              </w:rPr>
            </w:pPr>
          </w:p>
        </w:tc>
        <w:tc>
          <w:tcPr>
            <w:tcW w:w="60" w:type="dxa"/>
            <w:vAlign w:val="bottom"/>
            <w:tcBorders>
              <w:top w:val="single" w:sz="8" w:color="0000EE"/>
              <w:bottom w:val="single" w:sz="8" w:color="007549"/>
            </w:tcBorders>
          </w:tcPr>
          <w:p>
            <w:pPr>
              <w:spacing w:after="0" w:line="20" w:lineRule="exact"/>
              <w:rPr>
                <w:sz w:val="1"/>
                <w:szCs w:val="1"/>
                <w:color w:val="auto"/>
              </w:rPr>
            </w:pPr>
          </w:p>
        </w:tc>
        <w:tc>
          <w:tcPr>
            <w:tcW w:w="20" w:type="dxa"/>
            <w:vAlign w:val="bottom"/>
            <w:tcBorders>
              <w:top w:val="single" w:sz="8" w:color="0000EE"/>
              <w:bottom w:val="single" w:sz="8" w:color="007549"/>
            </w:tcBorders>
          </w:tcPr>
          <w:p>
            <w:pPr>
              <w:spacing w:after="0" w:line="20" w:lineRule="exact"/>
              <w:rPr>
                <w:sz w:val="1"/>
                <w:szCs w:val="1"/>
                <w:color w:val="auto"/>
              </w:rPr>
            </w:pPr>
          </w:p>
        </w:tc>
        <w:tc>
          <w:tcPr>
            <w:tcW w:w="100" w:type="dxa"/>
            <w:vAlign w:val="bottom"/>
            <w:tcBorders>
              <w:top w:val="single" w:sz="8" w:color="0000EE"/>
              <w:bottom w:val="single" w:sz="8" w:color="007549"/>
            </w:tcBorders>
          </w:tcPr>
          <w:p>
            <w:pPr>
              <w:spacing w:after="0" w:line="20" w:lineRule="exact"/>
              <w:rPr>
                <w:sz w:val="1"/>
                <w:szCs w:val="1"/>
                <w:color w:val="auto"/>
              </w:rPr>
            </w:pPr>
          </w:p>
        </w:tc>
        <w:tc>
          <w:tcPr>
            <w:tcW w:w="80" w:type="dxa"/>
            <w:vAlign w:val="bottom"/>
            <w:tcBorders>
              <w:top w:val="single" w:sz="8" w:color="0000EE"/>
              <w:bottom w:val="single" w:sz="8" w:color="007549"/>
            </w:tcBorders>
          </w:tcPr>
          <w:p>
            <w:pPr>
              <w:spacing w:after="0" w:line="20" w:lineRule="exact"/>
              <w:rPr>
                <w:sz w:val="1"/>
                <w:szCs w:val="1"/>
                <w:color w:val="auto"/>
              </w:rPr>
            </w:pPr>
          </w:p>
        </w:tc>
        <w:tc>
          <w:tcPr>
            <w:tcW w:w="140" w:type="dxa"/>
            <w:vAlign w:val="bottom"/>
            <w:tcBorders>
              <w:bottom w:val="single" w:sz="8" w:color="007549"/>
            </w:tcBorders>
          </w:tcPr>
          <w:p>
            <w:pPr>
              <w:spacing w:after="0" w:line="20" w:lineRule="exact"/>
              <w:rPr>
                <w:sz w:val="1"/>
                <w:szCs w:val="1"/>
                <w:color w:val="auto"/>
              </w:rPr>
            </w:pPr>
          </w:p>
        </w:tc>
        <w:tc>
          <w:tcPr>
            <w:tcW w:w="20" w:type="dxa"/>
            <w:vAlign w:val="bottom"/>
            <w:tcBorders>
              <w:bottom w:val="single" w:sz="8" w:color="007549"/>
            </w:tcBorders>
          </w:tcPr>
          <w:p>
            <w:pPr>
              <w:spacing w:after="0" w:line="20" w:lineRule="exact"/>
              <w:rPr>
                <w:sz w:val="1"/>
                <w:szCs w:val="1"/>
                <w:color w:val="auto"/>
              </w:rPr>
            </w:pPr>
          </w:p>
        </w:tc>
        <w:tc>
          <w:tcPr>
            <w:tcW w:w="100" w:type="dxa"/>
            <w:vAlign w:val="bottom"/>
            <w:tcBorders>
              <w:bottom w:val="single" w:sz="8" w:color="007549"/>
            </w:tcBorders>
          </w:tcPr>
          <w:p>
            <w:pPr>
              <w:spacing w:after="0" w:line="20" w:lineRule="exact"/>
              <w:rPr>
                <w:sz w:val="1"/>
                <w:szCs w:val="1"/>
                <w:color w:val="auto"/>
              </w:rPr>
            </w:pPr>
          </w:p>
        </w:tc>
        <w:tc>
          <w:tcPr>
            <w:tcW w:w="100" w:type="dxa"/>
            <w:vAlign w:val="bottom"/>
            <w:tcBorders>
              <w:bottom w:val="single" w:sz="8" w:color="007549"/>
            </w:tcBorders>
          </w:tcPr>
          <w:p>
            <w:pPr>
              <w:spacing w:after="0" w:line="20" w:lineRule="exact"/>
              <w:rPr>
                <w:sz w:val="1"/>
                <w:szCs w:val="1"/>
                <w:color w:val="auto"/>
              </w:rPr>
            </w:pPr>
          </w:p>
        </w:tc>
        <w:tc>
          <w:tcPr>
            <w:tcW w:w="40" w:type="dxa"/>
            <w:vAlign w:val="bottom"/>
            <w:tcBorders>
              <w:bottom w:val="single" w:sz="8" w:color="007549"/>
            </w:tcBorders>
          </w:tcPr>
          <w:p>
            <w:pPr>
              <w:spacing w:after="0" w:line="20" w:lineRule="exact"/>
              <w:rPr>
                <w:sz w:val="1"/>
                <w:szCs w:val="1"/>
                <w:color w:val="auto"/>
              </w:rPr>
            </w:pPr>
          </w:p>
        </w:tc>
        <w:tc>
          <w:tcPr>
            <w:tcW w:w="240" w:type="dxa"/>
            <w:vAlign w:val="bottom"/>
            <w:tcBorders>
              <w:bottom w:val="single" w:sz="8" w:color="007549"/>
            </w:tcBorders>
          </w:tcPr>
          <w:p>
            <w:pPr>
              <w:spacing w:after="0" w:line="20" w:lineRule="exact"/>
              <w:rPr>
                <w:sz w:val="1"/>
                <w:szCs w:val="1"/>
                <w:color w:val="auto"/>
              </w:rPr>
            </w:pPr>
          </w:p>
        </w:tc>
        <w:tc>
          <w:tcPr>
            <w:tcW w:w="140" w:type="dxa"/>
            <w:vAlign w:val="bottom"/>
            <w:tcBorders>
              <w:bottom w:val="single" w:sz="8" w:color="007549"/>
            </w:tcBorders>
          </w:tcPr>
          <w:p>
            <w:pPr>
              <w:spacing w:after="0" w:line="20" w:lineRule="exact"/>
              <w:rPr>
                <w:sz w:val="1"/>
                <w:szCs w:val="1"/>
                <w:color w:val="auto"/>
              </w:rPr>
            </w:pPr>
          </w:p>
        </w:tc>
        <w:tc>
          <w:tcPr>
            <w:tcW w:w="80" w:type="dxa"/>
            <w:vAlign w:val="bottom"/>
            <w:tcBorders>
              <w:bottom w:val="single" w:sz="8" w:color="007549"/>
            </w:tcBorders>
          </w:tcPr>
          <w:p>
            <w:pPr>
              <w:spacing w:after="0" w:line="20" w:lineRule="exact"/>
              <w:rPr>
                <w:sz w:val="1"/>
                <w:szCs w:val="1"/>
                <w:color w:val="auto"/>
              </w:rPr>
            </w:pPr>
          </w:p>
        </w:tc>
        <w:tc>
          <w:tcPr>
            <w:tcW w:w="20" w:type="dxa"/>
            <w:vAlign w:val="bottom"/>
            <w:tcBorders>
              <w:bottom w:val="single" w:sz="8" w:color="007549"/>
            </w:tcBorders>
          </w:tcPr>
          <w:p>
            <w:pPr>
              <w:spacing w:after="0" w:line="20" w:lineRule="exact"/>
              <w:rPr>
                <w:sz w:val="1"/>
                <w:szCs w:val="1"/>
                <w:color w:val="auto"/>
              </w:rPr>
            </w:pPr>
          </w:p>
        </w:tc>
        <w:tc>
          <w:tcPr>
            <w:tcW w:w="60" w:type="dxa"/>
            <w:vAlign w:val="bottom"/>
            <w:tcBorders>
              <w:bottom w:val="single" w:sz="8" w:color="007549"/>
            </w:tcBorders>
          </w:tcPr>
          <w:p>
            <w:pPr>
              <w:spacing w:after="0" w:line="20" w:lineRule="exact"/>
              <w:rPr>
                <w:sz w:val="1"/>
                <w:szCs w:val="1"/>
                <w:color w:val="auto"/>
              </w:rPr>
            </w:pPr>
          </w:p>
        </w:tc>
        <w:tc>
          <w:tcPr>
            <w:tcW w:w="40" w:type="dxa"/>
            <w:vAlign w:val="bottom"/>
            <w:tcBorders>
              <w:bottom w:val="single" w:sz="8" w:color="007549"/>
            </w:tcBorders>
          </w:tcPr>
          <w:p>
            <w:pPr>
              <w:spacing w:after="0" w:line="20" w:lineRule="exact"/>
              <w:rPr>
                <w:sz w:val="1"/>
                <w:szCs w:val="1"/>
                <w:color w:val="auto"/>
              </w:rPr>
            </w:pPr>
          </w:p>
        </w:tc>
        <w:tc>
          <w:tcPr>
            <w:tcW w:w="60" w:type="dxa"/>
            <w:vAlign w:val="bottom"/>
            <w:tcBorders>
              <w:bottom w:val="single" w:sz="8" w:color="007549"/>
            </w:tcBorders>
          </w:tcPr>
          <w:p>
            <w:pPr>
              <w:spacing w:after="0" w:line="20" w:lineRule="exact"/>
              <w:rPr>
                <w:sz w:val="1"/>
                <w:szCs w:val="1"/>
                <w:color w:val="auto"/>
              </w:rPr>
            </w:pPr>
          </w:p>
        </w:tc>
        <w:tc>
          <w:tcPr>
            <w:tcW w:w="120" w:type="dxa"/>
            <w:vAlign w:val="bottom"/>
            <w:tcBorders>
              <w:bottom w:val="single" w:sz="8" w:color="007549"/>
            </w:tcBorders>
          </w:tcPr>
          <w:p>
            <w:pPr>
              <w:spacing w:after="0" w:line="20" w:lineRule="exact"/>
              <w:rPr>
                <w:sz w:val="1"/>
                <w:szCs w:val="1"/>
                <w:color w:val="auto"/>
              </w:rPr>
            </w:pPr>
          </w:p>
        </w:tc>
        <w:tc>
          <w:tcPr>
            <w:tcW w:w="40" w:type="dxa"/>
            <w:vAlign w:val="bottom"/>
            <w:tcBorders>
              <w:bottom w:val="single" w:sz="8" w:color="007549"/>
            </w:tcBorders>
          </w:tcPr>
          <w:p>
            <w:pPr>
              <w:spacing w:after="0" w:line="20" w:lineRule="exact"/>
              <w:rPr>
                <w:sz w:val="1"/>
                <w:szCs w:val="1"/>
                <w:color w:val="auto"/>
              </w:rPr>
            </w:pPr>
          </w:p>
        </w:tc>
        <w:tc>
          <w:tcPr>
            <w:tcW w:w="80" w:type="dxa"/>
            <w:vAlign w:val="bottom"/>
            <w:tcBorders>
              <w:bottom w:val="single" w:sz="8" w:color="007549"/>
            </w:tcBorders>
          </w:tcPr>
          <w:p>
            <w:pPr>
              <w:spacing w:after="0" w:line="20" w:lineRule="exact"/>
              <w:rPr>
                <w:sz w:val="1"/>
                <w:szCs w:val="1"/>
                <w:color w:val="auto"/>
              </w:rPr>
            </w:pPr>
          </w:p>
        </w:tc>
        <w:tc>
          <w:tcPr>
            <w:tcW w:w="200" w:type="dxa"/>
            <w:vAlign w:val="bottom"/>
            <w:tcBorders>
              <w:bottom w:val="single" w:sz="8" w:color="007549"/>
            </w:tcBorders>
          </w:tcPr>
          <w:p>
            <w:pPr>
              <w:spacing w:after="0" w:line="20" w:lineRule="exact"/>
              <w:rPr>
                <w:sz w:val="1"/>
                <w:szCs w:val="1"/>
                <w:color w:val="auto"/>
              </w:rPr>
            </w:pPr>
          </w:p>
        </w:tc>
        <w:tc>
          <w:tcPr>
            <w:tcW w:w="40" w:type="dxa"/>
            <w:vAlign w:val="bottom"/>
            <w:tcBorders>
              <w:bottom w:val="single" w:sz="8" w:color="007549"/>
            </w:tcBorders>
          </w:tcPr>
          <w:p>
            <w:pPr>
              <w:spacing w:after="0" w:line="20" w:lineRule="exact"/>
              <w:rPr>
                <w:sz w:val="1"/>
                <w:szCs w:val="1"/>
                <w:color w:val="auto"/>
              </w:rPr>
            </w:pPr>
          </w:p>
        </w:tc>
        <w:tc>
          <w:tcPr>
            <w:tcW w:w="360" w:type="dxa"/>
            <w:vAlign w:val="bottom"/>
            <w:tcBorders>
              <w:bottom w:val="single" w:sz="8" w:color="007549"/>
            </w:tcBorders>
          </w:tcPr>
          <w:p>
            <w:pPr>
              <w:spacing w:after="0" w:line="20" w:lineRule="exact"/>
              <w:rPr>
                <w:sz w:val="1"/>
                <w:szCs w:val="1"/>
                <w:color w:val="auto"/>
              </w:rPr>
            </w:pPr>
          </w:p>
        </w:tc>
        <w:tc>
          <w:tcPr>
            <w:tcW w:w="60" w:type="dxa"/>
            <w:vAlign w:val="bottom"/>
            <w:tcBorders>
              <w:bottom w:val="single" w:sz="8" w:color="007549"/>
            </w:tcBorders>
          </w:tcPr>
          <w:p>
            <w:pPr>
              <w:spacing w:after="0" w:line="20" w:lineRule="exact"/>
              <w:rPr>
                <w:sz w:val="1"/>
                <w:szCs w:val="1"/>
                <w:color w:val="auto"/>
              </w:rPr>
            </w:pPr>
          </w:p>
        </w:tc>
        <w:tc>
          <w:tcPr>
            <w:tcW w:w="520" w:type="dxa"/>
            <w:vAlign w:val="bottom"/>
            <w:tcBorders>
              <w:bottom w:val="single" w:sz="8" w:color="007549"/>
            </w:tcBorders>
          </w:tcPr>
          <w:p>
            <w:pPr>
              <w:spacing w:after="0" w:line="20" w:lineRule="exact"/>
              <w:rPr>
                <w:sz w:val="1"/>
                <w:szCs w:val="1"/>
                <w:color w:val="auto"/>
              </w:rPr>
            </w:pPr>
          </w:p>
        </w:tc>
        <w:tc>
          <w:tcPr>
            <w:tcW w:w="100" w:type="dxa"/>
            <w:vAlign w:val="bottom"/>
            <w:tcBorders>
              <w:bottom w:val="single" w:sz="8" w:color="007549"/>
            </w:tcBorders>
          </w:tcPr>
          <w:p>
            <w:pPr>
              <w:spacing w:after="0" w:line="20" w:lineRule="exact"/>
              <w:rPr>
                <w:sz w:val="1"/>
                <w:szCs w:val="1"/>
                <w:color w:val="auto"/>
              </w:rPr>
            </w:pPr>
          </w:p>
        </w:tc>
        <w:tc>
          <w:tcPr>
            <w:tcW w:w="20" w:type="dxa"/>
            <w:vAlign w:val="bottom"/>
            <w:tcBorders>
              <w:bottom w:val="single" w:sz="8" w:color="007549"/>
            </w:tcBorders>
          </w:tcPr>
          <w:p>
            <w:pPr>
              <w:spacing w:after="0" w:line="20" w:lineRule="exact"/>
              <w:rPr>
                <w:sz w:val="1"/>
                <w:szCs w:val="1"/>
                <w:color w:val="auto"/>
              </w:rPr>
            </w:pPr>
          </w:p>
        </w:tc>
        <w:tc>
          <w:tcPr>
            <w:tcW w:w="220" w:type="dxa"/>
            <w:vAlign w:val="bottom"/>
            <w:tcBorders>
              <w:bottom w:val="single" w:sz="8" w:color="007549"/>
            </w:tcBorders>
          </w:tcPr>
          <w:p>
            <w:pPr>
              <w:spacing w:after="0" w:line="20" w:lineRule="exact"/>
              <w:rPr>
                <w:sz w:val="1"/>
                <w:szCs w:val="1"/>
                <w:color w:val="auto"/>
              </w:rPr>
            </w:pPr>
          </w:p>
        </w:tc>
        <w:tc>
          <w:tcPr>
            <w:tcW w:w="120" w:type="dxa"/>
            <w:vAlign w:val="bottom"/>
            <w:tcBorders>
              <w:bottom w:val="single" w:sz="8" w:color="007549"/>
            </w:tcBorders>
          </w:tcPr>
          <w:p>
            <w:pPr>
              <w:spacing w:after="0" w:line="20" w:lineRule="exact"/>
              <w:rPr>
                <w:sz w:val="1"/>
                <w:szCs w:val="1"/>
                <w:color w:val="auto"/>
              </w:rPr>
            </w:pPr>
          </w:p>
        </w:tc>
        <w:tc>
          <w:tcPr>
            <w:tcW w:w="60" w:type="dxa"/>
            <w:vAlign w:val="bottom"/>
            <w:tcBorders>
              <w:bottom w:val="single" w:sz="8" w:color="007549"/>
            </w:tcBorders>
          </w:tcPr>
          <w:p>
            <w:pPr>
              <w:spacing w:after="0" w:line="20" w:lineRule="exact"/>
              <w:rPr>
                <w:sz w:val="1"/>
                <w:szCs w:val="1"/>
                <w:color w:val="auto"/>
              </w:rPr>
            </w:pPr>
          </w:p>
        </w:tc>
        <w:tc>
          <w:tcPr>
            <w:tcW w:w="20" w:type="dxa"/>
            <w:vAlign w:val="bottom"/>
            <w:tcBorders>
              <w:bottom w:val="single" w:sz="8" w:color="007549"/>
            </w:tcBorders>
          </w:tcPr>
          <w:p>
            <w:pPr>
              <w:spacing w:after="0" w:line="20" w:lineRule="exact"/>
              <w:rPr>
                <w:sz w:val="1"/>
                <w:szCs w:val="1"/>
                <w:color w:val="auto"/>
              </w:rPr>
            </w:pPr>
          </w:p>
        </w:tc>
        <w:tc>
          <w:tcPr>
            <w:tcW w:w="20" w:type="dxa"/>
            <w:vAlign w:val="bottom"/>
            <w:tcBorders>
              <w:bottom w:val="single" w:sz="8" w:color="007549"/>
            </w:tcBorders>
          </w:tcPr>
          <w:p>
            <w:pPr>
              <w:spacing w:after="0" w:line="20" w:lineRule="exact"/>
              <w:rPr>
                <w:sz w:val="1"/>
                <w:szCs w:val="1"/>
                <w:color w:val="auto"/>
              </w:rPr>
            </w:pPr>
          </w:p>
        </w:tc>
        <w:tc>
          <w:tcPr>
            <w:tcW w:w="200" w:type="dxa"/>
            <w:vAlign w:val="bottom"/>
            <w:tcBorders>
              <w:bottom w:val="single" w:sz="8" w:color="007549"/>
            </w:tcBorders>
          </w:tcPr>
          <w:p>
            <w:pPr>
              <w:spacing w:after="0" w:line="20" w:lineRule="exact"/>
              <w:rPr>
                <w:sz w:val="1"/>
                <w:szCs w:val="1"/>
                <w:color w:val="auto"/>
              </w:rPr>
            </w:pPr>
          </w:p>
        </w:tc>
        <w:tc>
          <w:tcPr>
            <w:tcW w:w="80" w:type="dxa"/>
            <w:vAlign w:val="bottom"/>
            <w:tcBorders>
              <w:bottom w:val="single" w:sz="8" w:color="007549"/>
            </w:tcBorders>
          </w:tcPr>
          <w:p>
            <w:pPr>
              <w:spacing w:after="0" w:line="20" w:lineRule="exact"/>
              <w:rPr>
                <w:sz w:val="1"/>
                <w:szCs w:val="1"/>
                <w:color w:val="auto"/>
              </w:rPr>
            </w:pPr>
          </w:p>
        </w:tc>
        <w:tc>
          <w:tcPr>
            <w:tcW w:w="160" w:type="dxa"/>
            <w:vAlign w:val="bottom"/>
            <w:tcBorders>
              <w:bottom w:val="single" w:sz="8" w:color="007549"/>
            </w:tcBorders>
          </w:tcPr>
          <w:p>
            <w:pPr>
              <w:spacing w:after="0" w:line="20" w:lineRule="exact"/>
              <w:rPr>
                <w:sz w:val="1"/>
                <w:szCs w:val="1"/>
                <w:color w:val="auto"/>
              </w:rPr>
            </w:pPr>
          </w:p>
        </w:tc>
        <w:tc>
          <w:tcPr>
            <w:tcW w:w="40" w:type="dxa"/>
            <w:vAlign w:val="bottom"/>
            <w:tcBorders>
              <w:bottom w:val="single" w:sz="8" w:color="007549"/>
            </w:tcBorders>
          </w:tcPr>
          <w:p>
            <w:pPr>
              <w:spacing w:after="0" w:line="20" w:lineRule="exact"/>
              <w:rPr>
                <w:sz w:val="1"/>
                <w:szCs w:val="1"/>
                <w:color w:val="auto"/>
              </w:rPr>
            </w:pPr>
          </w:p>
        </w:tc>
        <w:tc>
          <w:tcPr>
            <w:tcW w:w="200" w:type="dxa"/>
            <w:vAlign w:val="bottom"/>
            <w:tcBorders>
              <w:bottom w:val="single" w:sz="8" w:color="007549"/>
            </w:tcBorders>
          </w:tcPr>
          <w:p>
            <w:pPr>
              <w:spacing w:after="0" w:line="20" w:lineRule="exact"/>
              <w:rPr>
                <w:sz w:val="1"/>
                <w:szCs w:val="1"/>
                <w:color w:val="auto"/>
              </w:rPr>
            </w:pPr>
          </w:p>
        </w:tc>
        <w:tc>
          <w:tcPr>
            <w:tcW w:w="100" w:type="dxa"/>
            <w:vAlign w:val="bottom"/>
            <w:tcBorders>
              <w:bottom w:val="single" w:sz="8" w:color="0075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480" w:space="340"/>
            <w:col w:w="5320"/>
          </w:cols>
          <w:pgMar w:left="240" w:top="454" w:right="519" w:bottom="1440" w:gutter="0" w:footer="0" w:header="0"/>
          <w:type w:val="continuous"/>
        </w:sectPr>
      </w:pPr>
    </w:p>
    <w:p>
      <w:pPr>
        <w:spacing w:after="0" w:line="16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0" w:lineRule="exact"/>
        <w:rPr>
          <w:sz w:val="20"/>
          <w:szCs w:val="20"/>
          <w:color w:val="auto"/>
        </w:rPr>
      </w:pPr>
    </w:p>
    <w:p>
      <w:pPr>
        <w:jc w:val="both"/>
        <w:ind w:left="280"/>
        <w:spacing w:after="0" w:line="239" w:lineRule="auto"/>
        <w:rPr>
          <w:sz w:val="20"/>
          <w:szCs w:val="20"/>
          <w:color w:val="auto"/>
        </w:rPr>
      </w:pPr>
      <w:r>
        <w:rPr>
          <w:rFonts w:ascii="Arial" w:cs="Arial" w:eastAsia="Arial" w:hAnsi="Arial"/>
          <w:sz w:val="14"/>
          <w:szCs w:val="14"/>
          <w:color w:val="auto"/>
        </w:rPr>
        <w:t>This document contains “forward-looking” statements, as defined under the Private Securities Litigation Reform Act of 1995. Generally, the words “anticipate,” “estimate,” “expect,” “forecast,” “guidance,” “could,” “may,” “should,” “would,” “believe,” “intend,” “project,” “plan,” “predict,” “will,” “target,” and similar expressions identify forward-looking statements, which generally are not historical in nature. Forward-looking statements related to our operations are based on our current understanding, assessments, estimates and projections of relevant factors and reasonable assumptions about the future. Forward-looking statements are subject to certain known and unknown risks and uncertainties that could cause actual results to differ materially from our historical experience and our current projections or expectations of future results expressed or implied by these forward-looking statements. As and when made, we believe that these forward-looking statements are reasonable. However, given these uncertainties, caution should be taken not to place undue reliance on any such forward-looking statements since such statements speak only as of the date when made and there can be no assurance that such forward-looking statements will occur and actual results may differ materially from those contained in any forward-looking statement we make. Except as required by law, we undertake no obligation to publicly update or revise any forward-looking statements, whether as a result of new information, future events or otherwise. Risk factors that could materially impact future actual results are discussed in our Annual Report on Form 10-K, Quarterly Reports on Form 10-Q, and other filings with the Securities and Exchange Commission.</w:t>
      </w:r>
    </w:p>
    <w:p>
      <w:pPr>
        <w:sectPr>
          <w:pgSz w:w="11900" w:h="16838" w:orient="portrait"/>
          <w:cols w:equalWidth="0" w:num="1">
            <w:col w:w="11140"/>
          </w:cols>
          <w:pgMar w:left="240" w:top="454" w:right="51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200660</wp:posOffset>
            </wp:positionV>
            <wp:extent cx="1562735" cy="929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62735" cy="929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600"/>
        <w:spacing w:after="0"/>
        <w:rPr>
          <w:sz w:val="20"/>
          <w:szCs w:val="20"/>
          <w:color w:val="auto"/>
        </w:rPr>
      </w:pPr>
      <w:r>
        <w:rPr>
          <w:rFonts w:ascii="Arial" w:cs="Arial" w:eastAsia="Arial" w:hAnsi="Arial"/>
          <w:sz w:val="21"/>
          <w:szCs w:val="21"/>
          <w:b w:val="1"/>
          <w:bCs w:val="1"/>
          <w:color w:val="auto"/>
        </w:rPr>
        <w:t>HESS CORPORATION</w:t>
      </w:r>
    </w:p>
    <w:p>
      <w:pPr>
        <w:spacing w:after="0" w:line="211" w:lineRule="exact"/>
        <w:rPr>
          <w:sz w:val="20"/>
          <w:szCs w:val="20"/>
          <w:color w:val="auto"/>
        </w:rPr>
      </w:pPr>
    </w:p>
    <w:p>
      <w:pPr>
        <w:ind w:left="3040"/>
        <w:spacing w:after="0"/>
        <w:rPr>
          <w:sz w:val="20"/>
          <w:szCs w:val="20"/>
          <w:color w:val="auto"/>
        </w:rPr>
      </w:pPr>
      <w:r>
        <w:rPr>
          <w:rFonts w:ascii="Arial" w:cs="Arial" w:eastAsia="Arial" w:hAnsi="Arial"/>
          <w:sz w:val="21"/>
          <w:szCs w:val="21"/>
          <w:b w:val="1"/>
          <w:bCs w:val="1"/>
          <w:color w:val="auto"/>
        </w:rPr>
        <w:t>NOTICE OF ANNUAL MEETING OF STOCKHOLDERS</w:t>
      </w:r>
    </w:p>
    <w:p>
      <w:pPr>
        <w:spacing w:after="0" w:line="24" w:lineRule="exact"/>
        <w:rPr>
          <w:sz w:val="20"/>
          <w:szCs w:val="20"/>
          <w:color w:val="auto"/>
        </w:rPr>
      </w:pPr>
    </w:p>
    <w:p>
      <w:pPr>
        <w:jc w:val="center"/>
        <w:ind w:right="-279"/>
        <w:spacing w:after="0"/>
        <w:rPr>
          <w:sz w:val="20"/>
          <w:szCs w:val="20"/>
          <w:color w:val="auto"/>
        </w:rPr>
      </w:pPr>
      <w:r>
        <w:rPr>
          <w:rFonts w:ascii="Arial" w:cs="Arial" w:eastAsia="Arial" w:hAnsi="Arial"/>
          <w:sz w:val="21"/>
          <w:szCs w:val="21"/>
          <w:b w:val="1"/>
          <w:bCs w:val="1"/>
          <w:color w:val="auto"/>
        </w:rPr>
        <w:t>Wednesday, June 6, 2018, at 9:00 a.m.</w:t>
      </w:r>
    </w:p>
    <w:p>
      <w:pPr>
        <w:spacing w:after="0" w:line="172"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To the Stockholders:</w:t>
      </w:r>
    </w:p>
    <w:p>
      <w:pPr>
        <w:spacing w:after="0" w:line="11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annual meeting of stockholders of Hess Corporation will be held at our offices, 1501 McKinney Street, Houston, Texas 77010, on</w:t>
      </w:r>
    </w:p>
    <w:p>
      <w:pPr>
        <w:ind w:left="280"/>
        <w:spacing w:after="0"/>
        <w:rPr>
          <w:sz w:val="20"/>
          <w:szCs w:val="20"/>
          <w:color w:val="auto"/>
        </w:rPr>
      </w:pPr>
      <w:r>
        <w:rPr>
          <w:rFonts w:ascii="Arial" w:cs="Arial" w:eastAsia="Arial" w:hAnsi="Arial"/>
          <w:sz w:val="18"/>
          <w:szCs w:val="18"/>
          <w:color w:val="auto"/>
        </w:rPr>
        <w:t>Wednesday, June 6, 2018, at 9:00 a.m., local time, for the following purposes:</w:t>
      </w:r>
    </w:p>
    <w:p>
      <w:pPr>
        <w:spacing w:after="0" w:line="112" w:lineRule="exact"/>
        <w:rPr>
          <w:sz w:val="20"/>
          <w:szCs w:val="20"/>
          <w:color w:val="auto"/>
        </w:rPr>
      </w:pPr>
    </w:p>
    <w:p>
      <w:pPr>
        <w:ind w:left="1140" w:hanging="428"/>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twelve directors for the ensuing one-year term (pages 2 to 15 of the accompanying proxy statement);</w:t>
      </w:r>
    </w:p>
    <w:p>
      <w:pPr>
        <w:spacing w:after="0" w:line="112" w:lineRule="exact"/>
        <w:rPr>
          <w:rFonts w:ascii="Arial" w:cs="Arial" w:eastAsia="Arial" w:hAnsi="Arial"/>
          <w:sz w:val="18"/>
          <w:szCs w:val="18"/>
          <w:color w:val="auto"/>
        </w:rPr>
      </w:pPr>
    </w:p>
    <w:p>
      <w:pPr>
        <w:ind w:left="1140" w:hanging="428"/>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conduct a non-binding advisory vote to approve the compensation of our named executive officers (page 48);</w:t>
      </w:r>
    </w:p>
    <w:p>
      <w:pPr>
        <w:spacing w:after="0" w:line="112" w:lineRule="exact"/>
        <w:rPr>
          <w:rFonts w:ascii="Arial" w:cs="Arial" w:eastAsia="Arial" w:hAnsi="Arial"/>
          <w:sz w:val="18"/>
          <w:szCs w:val="18"/>
          <w:color w:val="auto"/>
        </w:rPr>
      </w:pPr>
    </w:p>
    <w:p>
      <w:pPr>
        <w:ind w:left="1140" w:hanging="428"/>
        <w:spacing w:after="0" w:line="238"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act upon the ratification of the selection by the audit committee of Ernst &amp; Young LLP as our independent registered public accountants (pages 49 to 50); and</w:t>
      </w:r>
    </w:p>
    <w:p>
      <w:pPr>
        <w:spacing w:after="0" w:line="108" w:lineRule="exact"/>
        <w:rPr>
          <w:rFonts w:ascii="Arial" w:cs="Arial" w:eastAsia="Arial" w:hAnsi="Arial"/>
          <w:sz w:val="18"/>
          <w:szCs w:val="18"/>
          <w:color w:val="auto"/>
        </w:rPr>
      </w:pPr>
    </w:p>
    <w:p>
      <w:pPr>
        <w:ind w:left="1140" w:hanging="428"/>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any other business which properly may be brought before the meeting.</w:t>
      </w:r>
    </w:p>
    <w:p>
      <w:pPr>
        <w:spacing w:after="0" w:line="166" w:lineRule="exact"/>
        <w:rPr>
          <w:sz w:val="20"/>
          <w:szCs w:val="20"/>
          <w:color w:val="auto"/>
        </w:rPr>
      </w:pPr>
    </w:p>
    <w:p>
      <w:pPr>
        <w:ind w:left="280"/>
        <w:spacing w:after="0" w:line="238" w:lineRule="auto"/>
        <w:rPr>
          <w:sz w:val="20"/>
          <w:szCs w:val="20"/>
          <w:color w:val="auto"/>
        </w:rPr>
      </w:pPr>
      <w:r>
        <w:rPr>
          <w:rFonts w:ascii="Arial" w:cs="Arial" w:eastAsia="Arial" w:hAnsi="Arial"/>
          <w:sz w:val="18"/>
          <w:szCs w:val="18"/>
          <w:color w:val="auto"/>
        </w:rPr>
        <w:t>All stockholders are cordially invited to attend, although only stockholders of record at the close of business on April 16, 2018, the record date for the annual meeting, will be entitled to vote at the meeting.</w:t>
      </w:r>
    </w:p>
    <w:p>
      <w:pPr>
        <w:spacing w:after="0" w:line="20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By order of the board of directors,</w:t>
      </w:r>
    </w:p>
    <w:p>
      <w:pPr>
        <w:spacing w:after="0" w:line="19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Timothy B. Goodell</w:t>
      </w:r>
    </w:p>
    <w:p>
      <w:pPr>
        <w:jc w:val="center"/>
        <w:ind w:right="-279"/>
        <w:spacing w:after="0"/>
        <w:rPr>
          <w:sz w:val="20"/>
          <w:szCs w:val="20"/>
          <w:color w:val="auto"/>
        </w:rPr>
      </w:pPr>
      <w:r>
        <w:rPr>
          <w:rFonts w:ascii="Arial" w:cs="Arial" w:eastAsia="Arial" w:hAnsi="Arial"/>
          <w:sz w:val="18"/>
          <w:szCs w:val="18"/>
          <w:i w:val="1"/>
          <w:iCs w:val="1"/>
          <w:color w:val="auto"/>
        </w:rPr>
        <w:t>Secretary</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April 27, 2018</w:t>
      </w:r>
    </w:p>
    <w:p>
      <w:pPr>
        <w:spacing w:after="0" w:line="387" w:lineRule="exact"/>
        <w:rPr>
          <w:sz w:val="20"/>
          <w:szCs w:val="20"/>
          <w:color w:val="auto"/>
        </w:rPr>
      </w:pPr>
    </w:p>
    <w:p>
      <w:pPr>
        <w:jc w:val="center"/>
        <w:ind w:right="-279"/>
        <w:spacing w:after="0"/>
        <w:rPr>
          <w:sz w:val="20"/>
          <w:szCs w:val="20"/>
          <w:color w:val="auto"/>
        </w:rPr>
      </w:pPr>
      <w:r>
        <w:rPr>
          <w:rFonts w:ascii="Arial" w:cs="Arial" w:eastAsia="Arial" w:hAnsi="Arial"/>
          <w:sz w:val="21"/>
          <w:szCs w:val="21"/>
          <w:b w:val="1"/>
          <w:bCs w:val="1"/>
          <w:color w:val="007549"/>
        </w:rPr>
        <w:t>YOUR VOTE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158750</wp:posOffset>
            </wp:positionV>
            <wp:extent cx="6918960" cy="1436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18960" cy="1436370"/>
                    </a:xfrm>
                    <a:prstGeom prst="rect">
                      <a:avLst/>
                    </a:prstGeom>
                    <a:noFill/>
                  </pic:spPr>
                </pic:pic>
              </a:graphicData>
            </a:graphic>
          </wp:anchor>
        </w:drawing>
      </w:r>
    </w:p>
    <w:p>
      <w:pPr>
        <w:spacing w:after="0" w:line="267" w:lineRule="exact"/>
        <w:rPr>
          <w:sz w:val="20"/>
          <w:szCs w:val="20"/>
          <w:color w:val="auto"/>
        </w:rPr>
      </w:pPr>
    </w:p>
    <w:p>
      <w:pPr>
        <w:jc w:val="both"/>
        <w:ind w:left="400" w:right="100"/>
        <w:spacing w:after="0" w:line="247" w:lineRule="auto"/>
        <w:rPr>
          <w:sz w:val="20"/>
          <w:szCs w:val="20"/>
          <w:color w:val="auto"/>
        </w:rPr>
      </w:pPr>
      <w:r>
        <w:rPr>
          <w:rFonts w:ascii="Arial" w:cs="Arial" w:eastAsia="Arial" w:hAnsi="Arial"/>
          <w:sz w:val="18"/>
          <w:szCs w:val="18"/>
          <w:b w:val="1"/>
          <w:bCs w:val="1"/>
          <w:color w:val="auto"/>
        </w:rPr>
        <w:t>You are urged to date, sign and promptly return the proxy card in the envelope provided to you, or to use the telephone or internet method of voting described in your proxy card, so that if you are unable to attend the meeting your shares can be voted.</w:t>
      </w:r>
    </w:p>
    <w:p>
      <w:pPr>
        <w:spacing w:after="0" w:line="133" w:lineRule="exact"/>
        <w:rPr>
          <w:sz w:val="20"/>
          <w:szCs w:val="20"/>
          <w:color w:val="auto"/>
        </w:rPr>
      </w:pPr>
    </w:p>
    <w:p>
      <w:pPr>
        <w:jc w:val="both"/>
        <w:ind w:left="400" w:right="120"/>
        <w:spacing w:after="0" w:line="263"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June 6, 2018:</w:t>
      </w:r>
    </w:p>
    <w:p>
      <w:pPr>
        <w:spacing w:after="0" w:line="132" w:lineRule="exact"/>
        <w:rPr>
          <w:sz w:val="20"/>
          <w:szCs w:val="20"/>
          <w:color w:val="auto"/>
        </w:rPr>
      </w:pPr>
    </w:p>
    <w:p>
      <w:pPr>
        <w:jc w:val="both"/>
        <w:ind w:left="400" w:right="120"/>
        <w:spacing w:after="0" w:line="263" w:lineRule="auto"/>
        <w:rPr>
          <w:sz w:val="20"/>
          <w:szCs w:val="20"/>
          <w:color w:val="auto"/>
        </w:rPr>
      </w:pPr>
      <w:r>
        <w:rPr>
          <w:rFonts w:ascii="Arial" w:cs="Arial" w:eastAsia="Arial" w:hAnsi="Arial"/>
          <w:sz w:val="18"/>
          <w:szCs w:val="18"/>
          <w:b w:val="1"/>
          <w:bCs w:val="1"/>
          <w:color w:val="auto"/>
        </w:rPr>
        <w:t xml:space="preserve">Hess Corporation’s notice of meeting, proxy statement and 2017 annual report are available at </w:t>
      </w:r>
      <w:r>
        <w:rPr>
          <w:rFonts w:ascii="Arial" w:cs="Arial" w:eastAsia="Arial" w:hAnsi="Arial"/>
          <w:sz w:val="18"/>
          <w:szCs w:val="18"/>
          <w:b w:val="1"/>
          <w:bCs w:val="1"/>
          <w:color w:val="007549"/>
        </w:rPr>
        <w:t>http://www.envisionreports.com/HES</w:t>
      </w:r>
      <w:r>
        <w:rPr>
          <w:rFonts w:ascii="Arial" w:cs="Arial" w:eastAsia="Arial" w:hAnsi="Arial"/>
          <w:sz w:val="18"/>
          <w:szCs w:val="18"/>
          <w:b w:val="1"/>
          <w:bCs w:val="1"/>
          <w:color w:val="000000"/>
        </w:rPr>
        <w:t>.</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The attached proxy statement is dated April 27, 2018 and is first being mailed to stockholders on or about April 27, 2018.</w:t>
      </w:r>
    </w:p>
    <w:p>
      <w:pPr>
        <w:sectPr>
          <w:pgSz w:w="11900" w:h="16838" w:orient="portrait"/>
          <w:cols w:equalWidth="0" w:num="1">
            <w:col w:w="11140"/>
          </w:cols>
          <w:pgMar w:left="240" w:top="454" w:right="5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80"/>
        <w:spacing w:after="0"/>
        <w:rPr>
          <w:sz w:val="20"/>
          <w:szCs w:val="20"/>
          <w:color w:val="auto"/>
        </w:rPr>
      </w:pPr>
      <w:r>
        <w:rPr>
          <w:rFonts w:ascii="Arial" w:cs="Arial" w:eastAsia="Arial" w:hAnsi="Arial"/>
          <w:sz w:val="39"/>
          <w:szCs w:val="39"/>
          <w:color w:val="007549"/>
        </w:rPr>
        <w:t>PROXY SUMMARY</w:t>
      </w:r>
    </w:p>
    <w:p>
      <w:pPr>
        <w:spacing w:after="0" w:line="210" w:lineRule="exact"/>
        <w:rPr>
          <w:sz w:val="20"/>
          <w:szCs w:val="20"/>
          <w:color w:val="auto"/>
        </w:rPr>
      </w:pPr>
    </w:p>
    <w:p>
      <w:pPr>
        <w:jc w:val="both"/>
        <w:ind w:left="280"/>
        <w:spacing w:after="0" w:line="236" w:lineRule="auto"/>
        <w:rPr>
          <w:sz w:val="20"/>
          <w:szCs w:val="20"/>
          <w:color w:val="auto"/>
        </w:rPr>
      </w:pPr>
      <w:r>
        <w:rPr>
          <w:rFonts w:ascii="Arial" w:cs="Arial" w:eastAsia="Arial" w:hAnsi="Arial"/>
          <w:sz w:val="18"/>
          <w:szCs w:val="18"/>
          <w:color w:val="auto"/>
        </w:rPr>
        <w:t>The following section is only a summary of key elements of the proxy statement. This summary is intended to assist you in reviewing the proxy statement in advance of the annual meeting of stockholders. It does not contain all of the information you should consider, and we encourage you to read this entire proxy statement before submitting your vote.</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333333"/>
        </w:rPr>
        <w:t>2018 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63500</wp:posOffset>
            </wp:positionV>
            <wp:extent cx="68935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93560" cy="825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160655</wp:posOffset>
            </wp:positionV>
            <wp:extent cx="6918960" cy="641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18960" cy="641985"/>
                    </a:xfrm>
                    <a:prstGeom prst="rect">
                      <a:avLst/>
                    </a:prstGeom>
                    <a:noFill/>
                  </pic:spPr>
                </pic:pic>
              </a:graphicData>
            </a:graphic>
          </wp:anchor>
        </w:drawing>
      </w:r>
    </w:p>
    <w:p>
      <w:pPr>
        <w:spacing w:after="0" w:line="377" w:lineRule="exact"/>
        <w:rPr>
          <w:sz w:val="20"/>
          <w:szCs w:val="20"/>
          <w:color w:val="auto"/>
        </w:rPr>
      </w:pPr>
    </w:p>
    <w:tbl>
      <w:tblPr>
        <w:tblLayout w:type="fixed"/>
        <w:tblInd w:w="280" w:type="dxa"/>
        <w:tblCellMar>
          <w:top w:w="0" w:type="dxa"/>
          <w:left w:w="0" w:type="dxa"/>
          <w:bottom w:w="0" w:type="dxa"/>
          <w:right w:w="0" w:type="dxa"/>
        </w:tblCellMar>
      </w:tblPr>
      <w:tr>
        <w:trPr>
          <w:trHeight w:val="222"/>
        </w:trPr>
        <w:tc>
          <w:tcPr>
            <w:tcW w:w="540" w:type="dxa"/>
            <w:vAlign w:val="bottom"/>
          </w:tcPr>
          <w:p>
            <w:pPr>
              <w:spacing w:after="0"/>
              <w:rPr>
                <w:sz w:val="19"/>
                <w:szCs w:val="19"/>
                <w:color w:val="auto"/>
              </w:rPr>
            </w:pPr>
          </w:p>
        </w:tc>
        <w:tc>
          <w:tcPr>
            <w:tcW w:w="3140" w:type="dxa"/>
            <w:vAlign w:val="bottom"/>
          </w:tcPr>
          <w:p>
            <w:pPr>
              <w:jc w:val="center"/>
              <w:ind w:right="631"/>
              <w:spacing w:after="0"/>
              <w:rPr>
                <w:sz w:val="20"/>
                <w:szCs w:val="20"/>
                <w:color w:val="auto"/>
              </w:rPr>
            </w:pPr>
            <w:r>
              <w:rPr>
                <w:rFonts w:ascii="Arial" w:cs="Arial" w:eastAsia="Arial" w:hAnsi="Arial"/>
                <w:sz w:val="18"/>
                <w:szCs w:val="18"/>
                <w:b w:val="1"/>
                <w:bCs w:val="1"/>
                <w:color w:val="007549"/>
                <w:w w:val="98"/>
              </w:rPr>
              <w:t>Date &amp; Time</w:t>
            </w:r>
          </w:p>
        </w:tc>
        <w:tc>
          <w:tcPr>
            <w:tcW w:w="3920" w:type="dxa"/>
            <w:vAlign w:val="bottom"/>
          </w:tcPr>
          <w:p>
            <w:pPr>
              <w:jc w:val="center"/>
              <w:ind w:right="251"/>
              <w:spacing w:after="0"/>
              <w:rPr>
                <w:sz w:val="20"/>
                <w:szCs w:val="20"/>
                <w:color w:val="auto"/>
              </w:rPr>
            </w:pPr>
            <w:r>
              <w:rPr>
                <w:rFonts w:ascii="Arial" w:cs="Arial" w:eastAsia="Arial" w:hAnsi="Arial"/>
                <w:sz w:val="18"/>
                <w:szCs w:val="18"/>
                <w:b w:val="1"/>
                <w:bCs w:val="1"/>
                <w:color w:val="007549"/>
                <w:w w:val="97"/>
              </w:rPr>
              <w:t>Place</w:t>
            </w:r>
          </w:p>
        </w:tc>
        <w:tc>
          <w:tcPr>
            <w:tcW w:w="2240" w:type="dxa"/>
            <w:vAlign w:val="bottom"/>
          </w:tcPr>
          <w:p>
            <w:pPr>
              <w:ind w:left="1060"/>
              <w:spacing w:after="0"/>
              <w:rPr>
                <w:sz w:val="20"/>
                <w:szCs w:val="20"/>
                <w:color w:val="auto"/>
              </w:rPr>
            </w:pPr>
            <w:r>
              <w:rPr>
                <w:rFonts w:ascii="Arial" w:cs="Arial" w:eastAsia="Arial" w:hAnsi="Arial"/>
                <w:sz w:val="18"/>
                <w:szCs w:val="18"/>
                <w:b w:val="1"/>
                <w:bCs w:val="1"/>
                <w:color w:val="007549"/>
              </w:rPr>
              <w:t>Record Date</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540" w:type="dxa"/>
            <w:vAlign w:val="bottom"/>
          </w:tcPr>
          <w:p>
            <w:pPr>
              <w:spacing w:after="0"/>
              <w:rPr>
                <w:sz w:val="17"/>
                <w:szCs w:val="17"/>
                <w:color w:val="auto"/>
              </w:rPr>
            </w:pPr>
          </w:p>
        </w:tc>
        <w:tc>
          <w:tcPr>
            <w:tcW w:w="3140" w:type="dxa"/>
            <w:vAlign w:val="bottom"/>
          </w:tcPr>
          <w:p>
            <w:pPr>
              <w:jc w:val="center"/>
              <w:ind w:right="651"/>
              <w:spacing w:after="0" w:line="200" w:lineRule="exact"/>
              <w:rPr>
                <w:sz w:val="20"/>
                <w:szCs w:val="20"/>
                <w:color w:val="auto"/>
              </w:rPr>
            </w:pPr>
            <w:r>
              <w:rPr>
                <w:rFonts w:ascii="Arial" w:cs="Arial" w:eastAsia="Arial" w:hAnsi="Arial"/>
                <w:sz w:val="18"/>
                <w:szCs w:val="18"/>
                <w:color w:val="auto"/>
                <w:w w:val="97"/>
              </w:rPr>
              <w:t>Wednesday, June 6, 2018</w:t>
            </w:r>
          </w:p>
        </w:tc>
        <w:tc>
          <w:tcPr>
            <w:tcW w:w="3920" w:type="dxa"/>
            <w:vAlign w:val="bottom"/>
          </w:tcPr>
          <w:p>
            <w:pPr>
              <w:jc w:val="center"/>
              <w:ind w:right="231"/>
              <w:spacing w:after="0" w:line="200" w:lineRule="exact"/>
              <w:rPr>
                <w:sz w:val="20"/>
                <w:szCs w:val="20"/>
                <w:color w:val="auto"/>
              </w:rPr>
            </w:pPr>
            <w:r>
              <w:rPr>
                <w:rFonts w:ascii="Arial" w:cs="Arial" w:eastAsia="Arial" w:hAnsi="Arial"/>
                <w:sz w:val="18"/>
                <w:szCs w:val="18"/>
                <w:color w:val="auto"/>
                <w:w w:val="95"/>
              </w:rPr>
              <w:t>Hess Tower</w:t>
            </w:r>
          </w:p>
        </w:tc>
        <w:tc>
          <w:tcPr>
            <w:tcW w:w="2240" w:type="dxa"/>
            <w:vAlign w:val="bottom"/>
          </w:tcPr>
          <w:p>
            <w:pPr>
              <w:ind w:left="1040"/>
              <w:spacing w:after="0" w:line="200" w:lineRule="exact"/>
              <w:rPr>
                <w:sz w:val="20"/>
                <w:szCs w:val="20"/>
                <w:color w:val="auto"/>
              </w:rPr>
            </w:pPr>
            <w:r>
              <w:rPr>
                <w:rFonts w:ascii="Arial" w:cs="Arial" w:eastAsia="Arial" w:hAnsi="Arial"/>
                <w:sz w:val="18"/>
                <w:szCs w:val="18"/>
                <w:color w:val="auto"/>
              </w:rPr>
              <w:t>April 16, 2018</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0" w:type="dxa"/>
            <w:vAlign w:val="bottom"/>
          </w:tcPr>
          <w:p>
            <w:pPr>
              <w:spacing w:after="0"/>
              <w:rPr>
                <w:sz w:val="17"/>
                <w:szCs w:val="17"/>
                <w:color w:val="auto"/>
              </w:rPr>
            </w:pPr>
          </w:p>
        </w:tc>
        <w:tc>
          <w:tcPr>
            <w:tcW w:w="3140" w:type="dxa"/>
            <w:vAlign w:val="bottom"/>
          </w:tcPr>
          <w:p>
            <w:pPr>
              <w:jc w:val="center"/>
              <w:ind w:right="651"/>
              <w:spacing w:after="0" w:line="200" w:lineRule="exact"/>
              <w:rPr>
                <w:sz w:val="20"/>
                <w:szCs w:val="20"/>
                <w:color w:val="auto"/>
              </w:rPr>
            </w:pPr>
            <w:r>
              <w:rPr>
                <w:rFonts w:ascii="Arial" w:cs="Arial" w:eastAsia="Arial" w:hAnsi="Arial"/>
                <w:sz w:val="18"/>
                <w:szCs w:val="18"/>
                <w:color w:val="auto"/>
                <w:w w:val="98"/>
              </w:rPr>
              <w:t>at 9:00 a.m. Central Time</w:t>
            </w:r>
          </w:p>
        </w:tc>
        <w:tc>
          <w:tcPr>
            <w:tcW w:w="3920" w:type="dxa"/>
            <w:vAlign w:val="bottom"/>
          </w:tcPr>
          <w:p>
            <w:pPr>
              <w:jc w:val="center"/>
              <w:ind w:right="251"/>
              <w:spacing w:after="0" w:line="200" w:lineRule="exact"/>
              <w:rPr>
                <w:sz w:val="20"/>
                <w:szCs w:val="20"/>
                <w:color w:val="auto"/>
              </w:rPr>
            </w:pPr>
            <w:r>
              <w:rPr>
                <w:rFonts w:ascii="Arial" w:cs="Arial" w:eastAsia="Arial" w:hAnsi="Arial"/>
                <w:sz w:val="18"/>
                <w:szCs w:val="18"/>
                <w:color w:val="auto"/>
                <w:w w:val="98"/>
              </w:rPr>
              <w:t>1501 McKinney Street</w:t>
            </w:r>
          </w:p>
        </w:tc>
        <w:tc>
          <w:tcPr>
            <w:tcW w:w="2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920" w:type="dxa"/>
            <w:vAlign w:val="bottom"/>
          </w:tcPr>
          <w:p>
            <w:pPr>
              <w:jc w:val="center"/>
              <w:ind w:right="231"/>
              <w:spacing w:after="0"/>
              <w:rPr>
                <w:sz w:val="20"/>
                <w:szCs w:val="20"/>
                <w:color w:val="auto"/>
              </w:rPr>
            </w:pPr>
            <w:r>
              <w:rPr>
                <w:rFonts w:ascii="Arial" w:cs="Arial" w:eastAsia="Arial" w:hAnsi="Arial"/>
                <w:sz w:val="18"/>
                <w:szCs w:val="18"/>
                <w:color w:val="auto"/>
                <w:w w:val="97"/>
              </w:rPr>
              <w:t>Houston, Texas 77010</w:t>
            </w:r>
          </w:p>
        </w:tc>
        <w:tc>
          <w:tcPr>
            <w:tcW w:w="2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8"/>
        </w:trPr>
        <w:tc>
          <w:tcPr>
            <w:tcW w:w="3680" w:type="dxa"/>
            <w:vAlign w:val="bottom"/>
            <w:gridSpan w:val="2"/>
          </w:tcPr>
          <w:p>
            <w:pPr>
              <w:spacing w:after="0"/>
              <w:rPr>
                <w:sz w:val="20"/>
                <w:szCs w:val="20"/>
                <w:color w:val="auto"/>
              </w:rPr>
            </w:pPr>
            <w:r>
              <w:rPr>
                <w:rFonts w:ascii="Arial" w:cs="Arial" w:eastAsia="Arial" w:hAnsi="Arial"/>
                <w:sz w:val="25"/>
                <w:szCs w:val="25"/>
                <w:b w:val="1"/>
                <w:bCs w:val="1"/>
                <w:color w:val="333333"/>
              </w:rPr>
              <w:t>Voting Matters</w:t>
            </w:r>
          </w:p>
        </w:tc>
        <w:tc>
          <w:tcPr>
            <w:tcW w:w="3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4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9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540" w:type="dxa"/>
            <w:vAlign w:val="bottom"/>
            <w:shd w:val="clear" w:color="auto" w:fill="007549"/>
          </w:tcPr>
          <w:p>
            <w:pPr>
              <w:spacing w:after="0"/>
              <w:rPr>
                <w:sz w:val="12"/>
                <w:szCs w:val="12"/>
                <w:color w:val="auto"/>
              </w:rPr>
            </w:pPr>
          </w:p>
        </w:tc>
        <w:tc>
          <w:tcPr>
            <w:tcW w:w="3140" w:type="dxa"/>
            <w:vAlign w:val="bottom"/>
            <w:shd w:val="clear" w:color="auto" w:fill="007549"/>
          </w:tcPr>
          <w:p>
            <w:pPr>
              <w:spacing w:after="0"/>
              <w:rPr>
                <w:sz w:val="12"/>
                <w:szCs w:val="12"/>
                <w:color w:val="auto"/>
              </w:rPr>
            </w:pPr>
          </w:p>
        </w:tc>
        <w:tc>
          <w:tcPr>
            <w:tcW w:w="3920" w:type="dxa"/>
            <w:vAlign w:val="bottom"/>
            <w:shd w:val="clear" w:color="auto" w:fill="007549"/>
          </w:tcPr>
          <w:p>
            <w:pPr>
              <w:spacing w:after="0"/>
              <w:rPr>
                <w:sz w:val="12"/>
                <w:szCs w:val="12"/>
                <w:color w:val="auto"/>
              </w:rPr>
            </w:pPr>
          </w:p>
        </w:tc>
        <w:tc>
          <w:tcPr>
            <w:tcW w:w="2240" w:type="dxa"/>
            <w:vAlign w:val="bottom"/>
            <w:shd w:val="clear" w:color="auto" w:fill="007549"/>
          </w:tcPr>
          <w:p>
            <w:pPr>
              <w:jc w:val="center"/>
              <w:ind w:left="557"/>
              <w:spacing w:after="0" w:line="147" w:lineRule="exact"/>
              <w:rPr>
                <w:sz w:val="20"/>
                <w:szCs w:val="20"/>
                <w:color w:val="auto"/>
              </w:rPr>
            </w:pPr>
            <w:r>
              <w:rPr>
                <w:rFonts w:ascii="Arial" w:cs="Arial" w:eastAsia="Arial" w:hAnsi="Arial"/>
                <w:sz w:val="14"/>
                <w:szCs w:val="14"/>
                <w:b w:val="1"/>
                <w:bCs w:val="1"/>
                <w:color w:val="FFFFFF"/>
              </w:rPr>
              <w:t>Board Vote</w:t>
            </w:r>
          </w:p>
        </w:tc>
        <w:tc>
          <w:tcPr>
            <w:tcW w:w="1020" w:type="dxa"/>
            <w:vAlign w:val="bottom"/>
            <w:shd w:val="clear" w:color="auto" w:fill="007549"/>
          </w:tcPr>
          <w:p>
            <w:pPr>
              <w:jc w:val="right"/>
              <w:ind w:right="303"/>
              <w:spacing w:after="0" w:line="147" w:lineRule="exact"/>
              <w:rPr>
                <w:sz w:val="20"/>
                <w:szCs w:val="20"/>
                <w:color w:val="auto"/>
              </w:rPr>
            </w:pPr>
            <w:r>
              <w:rPr>
                <w:rFonts w:ascii="Arial" w:cs="Arial" w:eastAsia="Arial" w:hAnsi="Arial"/>
                <w:sz w:val="14"/>
                <w:szCs w:val="14"/>
                <w:b w:val="1"/>
                <w:bCs w:val="1"/>
                <w:color w:val="FFFFFF"/>
              </w:rPr>
              <w:t>Page</w:t>
            </w:r>
          </w:p>
        </w:tc>
        <w:tc>
          <w:tcPr>
            <w:tcW w:w="0" w:type="dxa"/>
            <w:vAlign w:val="bottom"/>
          </w:tcPr>
          <w:p>
            <w:pPr>
              <w:spacing w:after="0"/>
              <w:rPr>
                <w:sz w:val="1"/>
                <w:szCs w:val="1"/>
                <w:color w:val="auto"/>
              </w:rPr>
            </w:pPr>
          </w:p>
        </w:tc>
      </w:tr>
      <w:tr>
        <w:trPr>
          <w:trHeight w:val="173"/>
        </w:trPr>
        <w:tc>
          <w:tcPr>
            <w:tcW w:w="3680" w:type="dxa"/>
            <w:vAlign w:val="bottom"/>
            <w:gridSpan w:val="2"/>
            <w:shd w:val="clear" w:color="auto" w:fill="007549"/>
          </w:tcPr>
          <w:p>
            <w:pPr>
              <w:ind w:left="80"/>
              <w:spacing w:after="0"/>
              <w:rPr>
                <w:sz w:val="20"/>
                <w:szCs w:val="20"/>
                <w:color w:val="auto"/>
              </w:rPr>
            </w:pPr>
            <w:r>
              <w:rPr>
                <w:rFonts w:ascii="Arial" w:cs="Arial" w:eastAsia="Arial" w:hAnsi="Arial"/>
                <w:sz w:val="14"/>
                <w:szCs w:val="14"/>
                <w:b w:val="1"/>
                <w:bCs w:val="1"/>
                <w:color w:val="FFFFFF"/>
              </w:rPr>
              <w:t>Proposals</w:t>
            </w:r>
          </w:p>
        </w:tc>
        <w:tc>
          <w:tcPr>
            <w:tcW w:w="3920" w:type="dxa"/>
            <w:vAlign w:val="bottom"/>
            <w:shd w:val="clear" w:color="auto" w:fill="007549"/>
          </w:tcPr>
          <w:p>
            <w:pPr>
              <w:spacing w:after="0"/>
              <w:rPr>
                <w:sz w:val="15"/>
                <w:szCs w:val="15"/>
                <w:color w:val="auto"/>
              </w:rPr>
            </w:pPr>
          </w:p>
        </w:tc>
        <w:tc>
          <w:tcPr>
            <w:tcW w:w="2240" w:type="dxa"/>
            <w:vAlign w:val="bottom"/>
            <w:shd w:val="clear" w:color="auto" w:fill="007549"/>
          </w:tcPr>
          <w:p>
            <w:pPr>
              <w:jc w:val="center"/>
              <w:ind w:left="557"/>
              <w:spacing w:after="0"/>
              <w:rPr>
                <w:sz w:val="20"/>
                <w:szCs w:val="20"/>
                <w:color w:val="auto"/>
              </w:rPr>
            </w:pPr>
            <w:r>
              <w:rPr>
                <w:rFonts w:ascii="Arial" w:cs="Arial" w:eastAsia="Arial" w:hAnsi="Arial"/>
                <w:sz w:val="14"/>
                <w:szCs w:val="14"/>
                <w:b w:val="1"/>
                <w:bCs w:val="1"/>
                <w:color w:val="FFFFFF"/>
              </w:rPr>
              <w:t>Recommendation</w:t>
            </w:r>
          </w:p>
        </w:tc>
        <w:tc>
          <w:tcPr>
            <w:tcW w:w="1020" w:type="dxa"/>
            <w:vAlign w:val="bottom"/>
            <w:shd w:val="clear" w:color="auto" w:fill="007549"/>
          </w:tcPr>
          <w:p>
            <w:pPr>
              <w:jc w:val="right"/>
              <w:ind w:right="143"/>
              <w:spacing w:after="0"/>
              <w:rPr>
                <w:sz w:val="20"/>
                <w:szCs w:val="20"/>
                <w:color w:val="auto"/>
              </w:rPr>
            </w:pPr>
            <w:r>
              <w:rPr>
                <w:rFonts w:ascii="Arial" w:cs="Arial" w:eastAsia="Arial" w:hAnsi="Arial"/>
                <w:sz w:val="14"/>
                <w:szCs w:val="14"/>
                <w:b w:val="1"/>
                <w:bCs w:val="1"/>
                <w:color w:val="FFFFFF"/>
              </w:rPr>
              <w:t>Reference</w:t>
            </w:r>
          </w:p>
        </w:tc>
        <w:tc>
          <w:tcPr>
            <w:tcW w:w="0" w:type="dxa"/>
            <w:vAlign w:val="bottom"/>
          </w:tcPr>
          <w:p>
            <w:pPr>
              <w:spacing w:after="0"/>
              <w:rPr>
                <w:sz w:val="1"/>
                <w:szCs w:val="1"/>
                <w:color w:val="auto"/>
              </w:rPr>
            </w:pPr>
          </w:p>
        </w:tc>
      </w:tr>
      <w:tr>
        <w:trPr>
          <w:trHeight w:val="199"/>
        </w:trPr>
        <w:tc>
          <w:tcPr>
            <w:tcW w:w="540" w:type="dxa"/>
            <w:vAlign w:val="bottom"/>
            <w:vMerge w:val="restart"/>
            <w:shd w:val="clear" w:color="auto" w:fill="E5E5E5"/>
          </w:tcPr>
          <w:p>
            <w:pPr>
              <w:ind w:left="100"/>
              <w:spacing w:after="0"/>
              <w:rPr>
                <w:sz w:val="20"/>
                <w:szCs w:val="20"/>
                <w:color w:val="auto"/>
              </w:rPr>
            </w:pPr>
            <w:r>
              <w:rPr>
                <w:rFonts w:ascii="Arial" w:cs="Arial" w:eastAsia="Arial" w:hAnsi="Arial"/>
                <w:sz w:val="32"/>
                <w:szCs w:val="32"/>
                <w:color w:val="007549"/>
              </w:rPr>
              <w:t>1.</w:t>
            </w:r>
          </w:p>
        </w:tc>
        <w:tc>
          <w:tcPr>
            <w:tcW w:w="7060" w:type="dxa"/>
            <w:vAlign w:val="bottom"/>
            <w:gridSpan w:val="2"/>
            <w:vMerge w:val="restart"/>
            <w:shd w:val="clear" w:color="auto" w:fill="E5E5E5"/>
          </w:tcPr>
          <w:p>
            <w:pPr>
              <w:ind w:left="220"/>
              <w:spacing w:after="0"/>
              <w:rPr>
                <w:sz w:val="20"/>
                <w:szCs w:val="20"/>
                <w:color w:val="auto"/>
              </w:rPr>
            </w:pPr>
            <w:r>
              <w:rPr>
                <w:rFonts w:ascii="Arial" w:cs="Arial" w:eastAsia="Arial" w:hAnsi="Arial"/>
                <w:sz w:val="18"/>
                <w:szCs w:val="18"/>
                <w:b w:val="1"/>
                <w:bCs w:val="1"/>
                <w:color w:val="auto"/>
              </w:rPr>
              <w:t>Election of twelve director nominees for one-year term expiring in 2019</w:t>
            </w:r>
          </w:p>
        </w:tc>
        <w:tc>
          <w:tcPr>
            <w:tcW w:w="2240" w:type="dxa"/>
            <w:vAlign w:val="bottom"/>
            <w:shd w:val="clear" w:color="auto" w:fill="E5E5E5"/>
          </w:tcPr>
          <w:p>
            <w:pPr>
              <w:jc w:val="center"/>
              <w:ind w:left="557"/>
              <w:spacing w:after="0" w:line="199" w:lineRule="exact"/>
              <w:rPr>
                <w:sz w:val="20"/>
                <w:szCs w:val="20"/>
                <w:color w:val="auto"/>
              </w:rPr>
            </w:pPr>
            <w:r>
              <w:rPr>
                <w:rFonts w:ascii="Arial" w:cs="Arial" w:eastAsia="Arial" w:hAnsi="Arial"/>
                <w:sz w:val="18"/>
                <w:szCs w:val="18"/>
                <w:b w:val="1"/>
                <w:bCs w:val="1"/>
                <w:color w:val="007549"/>
                <w:w w:val="94"/>
              </w:rPr>
              <w:t>FOR</w:t>
            </w:r>
          </w:p>
        </w:tc>
        <w:tc>
          <w:tcPr>
            <w:tcW w:w="1020" w:type="dxa"/>
            <w:vAlign w:val="bottom"/>
            <w:vMerge w:val="restart"/>
            <w:shd w:val="clear" w:color="auto" w:fill="E5E5E5"/>
          </w:tcPr>
          <w:p>
            <w:pPr>
              <w:jc w:val="right"/>
              <w:ind w:right="14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4"/>
        </w:trPr>
        <w:tc>
          <w:tcPr>
            <w:tcW w:w="540" w:type="dxa"/>
            <w:vAlign w:val="bottom"/>
            <w:vMerge w:val="continue"/>
            <w:shd w:val="clear" w:color="auto" w:fill="E5E5E5"/>
          </w:tcPr>
          <w:p>
            <w:pPr>
              <w:spacing w:after="0"/>
              <w:rPr>
                <w:sz w:val="18"/>
                <w:szCs w:val="18"/>
                <w:color w:val="auto"/>
              </w:rPr>
            </w:pPr>
          </w:p>
        </w:tc>
        <w:tc>
          <w:tcPr>
            <w:tcW w:w="7060" w:type="dxa"/>
            <w:vAlign w:val="bottom"/>
            <w:gridSpan w:val="2"/>
            <w:vMerge w:val="continue"/>
            <w:shd w:val="clear" w:color="auto" w:fill="E5E5E5"/>
          </w:tcPr>
          <w:p>
            <w:pPr>
              <w:spacing w:after="0"/>
              <w:rPr>
                <w:sz w:val="18"/>
                <w:szCs w:val="18"/>
                <w:color w:val="auto"/>
              </w:rPr>
            </w:pPr>
          </w:p>
        </w:tc>
        <w:tc>
          <w:tcPr>
            <w:tcW w:w="2240" w:type="dxa"/>
            <w:vAlign w:val="bottom"/>
            <w:shd w:val="clear" w:color="auto" w:fill="E5E5E5"/>
          </w:tcPr>
          <w:p>
            <w:pPr>
              <w:jc w:val="center"/>
              <w:ind w:left="557"/>
              <w:spacing w:after="0"/>
              <w:rPr>
                <w:sz w:val="20"/>
                <w:szCs w:val="20"/>
                <w:color w:val="auto"/>
              </w:rPr>
            </w:pPr>
            <w:r>
              <w:rPr>
                <w:rFonts w:ascii="Arial" w:cs="Arial" w:eastAsia="Arial" w:hAnsi="Arial"/>
                <w:sz w:val="18"/>
                <w:szCs w:val="18"/>
                <w:color w:val="auto"/>
                <w:w w:val="99"/>
              </w:rPr>
              <w:t>each nominee</w:t>
            </w:r>
          </w:p>
        </w:tc>
        <w:tc>
          <w:tcPr>
            <w:tcW w:w="1020" w:type="dxa"/>
            <w:vAlign w:val="bottom"/>
            <w:vMerge w:val="continue"/>
            <w:shd w:val="clear" w:color="auto" w:fill="E5E5E5"/>
          </w:tcPr>
          <w:p>
            <w:pPr>
              <w:spacing w:after="0"/>
              <w:rPr>
                <w:sz w:val="18"/>
                <w:szCs w:val="18"/>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sectPr>
          <w:pgSz w:w="11900" w:h="16838" w:orient="portrait"/>
          <w:cols w:equalWidth="0" w:num="1">
            <w:col w:w="11140"/>
          </w:cols>
          <w:pgMar w:left="240" w:top="454" w:right="519" w:bottom="1440" w:gutter="0" w:footer="0" w:header="0"/>
        </w:sectPr>
      </w:pPr>
    </w:p>
    <w:p>
      <w:pPr>
        <w:ind w:left="380"/>
        <w:spacing w:after="0"/>
        <w:rPr>
          <w:sz w:val="20"/>
          <w:szCs w:val="20"/>
          <w:color w:val="auto"/>
        </w:rPr>
      </w:pPr>
      <w:r>
        <w:rPr>
          <w:rFonts w:ascii="Arial" w:cs="Arial" w:eastAsia="Arial" w:hAnsi="Arial"/>
          <w:sz w:val="31"/>
          <w:szCs w:val="31"/>
          <w:color w:val="007549"/>
        </w:rPr>
        <w:t>2.</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31"/>
          <w:szCs w:val="31"/>
          <w:color w:val="007549"/>
        </w:rPr>
        <w:t>3.</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7680" w:type="dxa"/>
            <w:vAlign w:val="bottom"/>
          </w:tcPr>
          <w:p>
            <w:pPr>
              <w:spacing w:after="0"/>
              <w:rPr>
                <w:sz w:val="20"/>
                <w:szCs w:val="20"/>
                <w:color w:val="auto"/>
              </w:rPr>
            </w:pPr>
            <w:r>
              <w:rPr>
                <w:rFonts w:ascii="Arial" w:cs="Arial" w:eastAsia="Arial" w:hAnsi="Arial"/>
                <w:sz w:val="18"/>
                <w:szCs w:val="18"/>
                <w:b w:val="1"/>
                <w:bCs w:val="1"/>
                <w:color w:val="auto"/>
              </w:rPr>
              <w:t>Advisory approval of the compensation of our named executive officers</w:t>
            </w:r>
          </w:p>
        </w:tc>
        <w:tc>
          <w:tcPr>
            <w:tcW w:w="1400" w:type="dxa"/>
            <w:vAlign w:val="bottom"/>
          </w:tcPr>
          <w:p>
            <w:pPr>
              <w:ind w:left="420"/>
              <w:spacing w:after="0"/>
              <w:rPr>
                <w:sz w:val="20"/>
                <w:szCs w:val="20"/>
                <w:color w:val="auto"/>
              </w:rPr>
            </w:pPr>
            <w:r>
              <w:rPr>
                <w:rFonts w:ascii="Arial" w:cs="Arial" w:eastAsia="Arial" w:hAnsi="Arial"/>
                <w:sz w:val="18"/>
                <w:szCs w:val="18"/>
                <w:b w:val="1"/>
                <w:bCs w:val="1"/>
                <w:color w:val="007549"/>
              </w:rPr>
              <w:t>FOR</w:t>
            </w:r>
          </w:p>
        </w:tc>
        <w:tc>
          <w:tcPr>
            <w:tcW w:w="8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04"/>
        </w:trPr>
        <w:tc>
          <w:tcPr>
            <w:tcW w:w="7680" w:type="dxa"/>
            <w:vAlign w:val="bottom"/>
          </w:tcPr>
          <w:p>
            <w:pPr>
              <w:spacing w:after="0"/>
              <w:rPr>
                <w:sz w:val="20"/>
                <w:szCs w:val="20"/>
                <w:color w:val="auto"/>
              </w:rPr>
            </w:pPr>
            <w:r>
              <w:rPr>
                <w:rFonts w:ascii="Arial" w:cs="Arial" w:eastAsia="Arial" w:hAnsi="Arial"/>
                <w:sz w:val="18"/>
                <w:szCs w:val="18"/>
                <w:b w:val="1"/>
                <w:bCs w:val="1"/>
                <w:color w:val="auto"/>
              </w:rPr>
              <w:t>Ratification of the selection of Ernst &amp; Young LLP as our independent registered</w:t>
            </w:r>
          </w:p>
        </w:tc>
        <w:tc>
          <w:tcPr>
            <w:tcW w:w="1400" w:type="dxa"/>
            <w:vAlign w:val="bottom"/>
          </w:tcPr>
          <w:p>
            <w:pPr>
              <w:ind w:left="420"/>
              <w:spacing w:after="0"/>
              <w:rPr>
                <w:sz w:val="20"/>
                <w:szCs w:val="20"/>
                <w:color w:val="auto"/>
              </w:rPr>
            </w:pPr>
            <w:r>
              <w:rPr>
                <w:rFonts w:ascii="Arial" w:cs="Arial" w:eastAsia="Arial" w:hAnsi="Arial"/>
                <w:sz w:val="18"/>
                <w:szCs w:val="18"/>
                <w:b w:val="1"/>
                <w:bCs w:val="1"/>
                <w:color w:val="007549"/>
              </w:rPr>
              <w:t>FOR</w:t>
            </w:r>
          </w:p>
        </w:tc>
        <w:tc>
          <w:tcPr>
            <w:tcW w:w="8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4"/>
        </w:trPr>
        <w:tc>
          <w:tcPr>
            <w:tcW w:w="7680" w:type="dxa"/>
            <w:vAlign w:val="bottom"/>
          </w:tcPr>
          <w:p>
            <w:pPr>
              <w:spacing w:after="0"/>
              <w:rPr>
                <w:sz w:val="20"/>
                <w:szCs w:val="20"/>
                <w:color w:val="auto"/>
              </w:rPr>
            </w:pPr>
            <w:r>
              <w:rPr>
                <w:rFonts w:ascii="Arial" w:cs="Arial" w:eastAsia="Arial" w:hAnsi="Arial"/>
                <w:sz w:val="18"/>
                <w:szCs w:val="18"/>
                <w:b w:val="1"/>
                <w:bCs w:val="1"/>
                <w:color w:val="auto"/>
              </w:rPr>
              <w:t>public accountants for the year ending December 31, 2018</w:t>
            </w:r>
          </w:p>
        </w:tc>
        <w:tc>
          <w:tcPr>
            <w:tcW w:w="140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wp:posOffset>
            </wp:positionH>
            <wp:positionV relativeFrom="paragraph">
              <wp:posOffset>-353695</wp:posOffset>
            </wp:positionV>
            <wp:extent cx="6893560" cy="422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93560" cy="4222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0" w:space="400"/>
            <w:col w:w="10100"/>
          </w:cols>
          <w:pgMar w:left="240" w:top="454" w:right="519" w:bottom="1440" w:gutter="0" w:footer="0" w:header="0"/>
          <w:type w:val="continuous"/>
        </w:sectPr>
      </w:pPr>
    </w:p>
    <w:p>
      <w:pPr>
        <w:spacing w:after="0" w:line="98"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007549"/>
        </w:rPr>
        <w:t>Your vote is important to us. Please exercise your right to vote.</w:t>
      </w:r>
    </w:p>
    <w:p>
      <w:pPr>
        <w:sectPr>
          <w:pgSz w:w="11900" w:h="16838" w:orient="portrait"/>
          <w:cols w:equalWidth="0" w:num="1">
            <w:col w:w="11140"/>
          </w:cols>
          <w:pgMar w:left="240" w:top="454" w:right="519" w:bottom="1440" w:gutter="0" w:footer="0" w:header="0"/>
          <w:type w:val="continuous"/>
        </w:sectPr>
      </w:pPr>
    </w:p>
    <w:p>
      <w:pPr>
        <w:spacing w:after="0" w:line="211"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333333"/>
        </w:rPr>
        <w:t>How to Vote</w:t>
      </w:r>
    </w:p>
    <w:p>
      <w:pPr>
        <w:spacing w:after="0" w:line="135"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007549"/>
        </w:rPr>
        <w:t>Over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-104775</wp:posOffset>
            </wp:positionV>
            <wp:extent cx="768985" cy="6165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985" cy="61658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-104775</wp:posOffset>
            </wp:positionV>
            <wp:extent cx="751840" cy="6083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51840" cy="608330"/>
                    </a:xfrm>
                    <a:prstGeom prst="rect">
                      <a:avLst/>
                    </a:prstGeom>
                    <a:noFill/>
                  </pic:spPr>
                </pic:pic>
              </a:graphicData>
            </a:graphic>
          </wp:anchor>
        </w:drawing>
      </w:r>
    </w:p>
    <w:p>
      <w:pPr>
        <w:ind w:left="2000"/>
        <w:spacing w:after="0"/>
        <w:rPr>
          <w:sz w:val="20"/>
          <w:szCs w:val="20"/>
          <w:color w:val="auto"/>
        </w:rPr>
      </w:pPr>
      <w:r>
        <w:rPr>
          <w:rFonts w:ascii="Arial" w:cs="Arial" w:eastAsia="Arial" w:hAnsi="Arial"/>
          <w:sz w:val="18"/>
          <w:szCs w:val="18"/>
          <w:color w:val="auto"/>
        </w:rPr>
        <w:t>Visit the website listed on your Notice of</w:t>
      </w:r>
    </w:p>
    <w:p>
      <w:pPr>
        <w:ind w:left="2000"/>
        <w:spacing w:after="0"/>
        <w:tabs>
          <w:tab w:leader="none" w:pos="2760" w:val="left"/>
          <w:tab w:leader="none" w:pos="3780" w:val="left"/>
          <w:tab w:leader="none" w:pos="4120" w:val="left"/>
          <w:tab w:leader="none" w:pos="4760" w:val="left"/>
        </w:tabs>
        <w:rPr>
          <w:sz w:val="20"/>
          <w:szCs w:val="20"/>
          <w:color w:val="auto"/>
        </w:rPr>
      </w:pPr>
      <w:r>
        <w:rPr>
          <w:rFonts w:ascii="Arial" w:cs="Arial" w:eastAsia="Arial" w:hAnsi="Arial"/>
          <w:sz w:val="18"/>
          <w:szCs w:val="18"/>
          <w:color w:val="auto"/>
        </w:rPr>
        <w:t>Internet</w:t>
        <w:tab/>
        <w:t>Availability</w:t>
        <w:tab/>
        <w:t>of</w:t>
        <w:tab/>
        <w:t>Proxy</w:t>
      </w:r>
      <w:r>
        <w:rPr>
          <w:sz w:val="20"/>
          <w:szCs w:val="20"/>
          <w:color w:val="auto"/>
        </w:rPr>
        <w:tab/>
      </w:r>
      <w:r>
        <w:rPr>
          <w:rFonts w:ascii="Arial" w:cs="Arial" w:eastAsia="Arial" w:hAnsi="Arial"/>
          <w:sz w:val="17"/>
          <w:szCs w:val="17"/>
          <w:color w:val="auto"/>
        </w:rPr>
        <w:t>Materials</w:t>
      </w:r>
    </w:p>
    <w:p>
      <w:pPr>
        <w:ind w:left="2000"/>
        <w:spacing w:after="0"/>
        <w:rPr>
          <w:sz w:val="20"/>
          <w:szCs w:val="20"/>
          <w:color w:val="auto"/>
        </w:rPr>
      </w:pPr>
      <w:r>
        <w:rPr>
          <w:rFonts w:ascii="Arial" w:cs="Arial" w:eastAsia="Arial" w:hAnsi="Arial"/>
          <w:sz w:val="18"/>
          <w:szCs w:val="18"/>
          <w:color w:val="auto"/>
        </w:rPr>
        <w:t>or proxy card or voting instruction form</w:t>
      </w:r>
    </w:p>
    <w:p>
      <w:pPr>
        <w:spacing w:after="0" w:line="200" w:lineRule="exact"/>
        <w:rPr>
          <w:sz w:val="20"/>
          <w:szCs w:val="20"/>
          <w:color w:val="auto"/>
        </w:rPr>
      </w:pPr>
    </w:p>
    <w:p>
      <w:pPr>
        <w:spacing w:after="0" w:line="234" w:lineRule="exact"/>
        <w:rPr>
          <w:sz w:val="20"/>
          <w:szCs w:val="20"/>
          <w:color w:val="auto"/>
        </w:rPr>
      </w:pPr>
    </w:p>
    <w:p>
      <w:pPr>
        <w:jc w:val="right"/>
        <w:ind w:right="1180"/>
        <w:spacing w:after="0"/>
        <w:tabs>
          <w:tab w:leader="none" w:pos="1220" w:val="left"/>
        </w:tabs>
        <w:rPr>
          <w:sz w:val="20"/>
          <w:szCs w:val="20"/>
          <w:color w:val="auto"/>
        </w:rPr>
      </w:pPr>
      <w:r>
        <w:rPr>
          <w:rFonts w:ascii="Arial" w:cs="Arial" w:eastAsia="Arial" w:hAnsi="Arial"/>
          <w:sz w:val="16"/>
          <w:szCs w:val="16"/>
          <w:b w:val="1"/>
          <w:bCs w:val="1"/>
          <w:color w:val="007549"/>
        </w:rPr>
        <w:t>By Mail</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-123190</wp:posOffset>
            </wp:positionV>
            <wp:extent cx="810895" cy="5911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10895" cy="59118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-123190</wp:posOffset>
            </wp:positionV>
            <wp:extent cx="794385" cy="6000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94385" cy="600075"/>
                    </a:xfrm>
                    <a:prstGeom prst="rect">
                      <a:avLst/>
                    </a:prstGeom>
                    <a:noFill/>
                  </pic:spPr>
                </pic:pic>
              </a:graphicData>
            </a:graphic>
          </wp:anchor>
        </w:drawing>
      </w:r>
    </w:p>
    <w:p>
      <w:pPr>
        <w:ind w:left="2000" w:right="2080"/>
        <w:spacing w:after="0" w:line="265" w:lineRule="auto"/>
        <w:rPr>
          <w:sz w:val="20"/>
          <w:szCs w:val="20"/>
          <w:color w:val="auto"/>
        </w:rPr>
      </w:pPr>
      <w:r>
        <w:rPr>
          <w:rFonts w:ascii="Arial" w:cs="Arial" w:eastAsia="Arial" w:hAnsi="Arial"/>
          <w:sz w:val="17"/>
          <w:szCs w:val="17"/>
          <w:color w:val="auto"/>
        </w:rPr>
        <w:t>Follow the instructions on your proxy card or voting instruction form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007549"/>
        </w:rPr>
        <w:t>By Telephone</w:t>
      </w:r>
    </w:p>
    <w:p>
      <w:pPr>
        <w:spacing w:after="0" w:line="20" w:lineRule="exact"/>
        <w:rPr>
          <w:sz w:val="20"/>
          <w:szCs w:val="20"/>
          <w:color w:val="auto"/>
        </w:rPr>
      </w:pPr>
    </w:p>
    <w:p>
      <w:pPr>
        <w:jc w:val="both"/>
        <w:ind w:right="800"/>
        <w:spacing w:after="0" w:line="236" w:lineRule="auto"/>
        <w:rPr>
          <w:sz w:val="20"/>
          <w:szCs w:val="20"/>
          <w:color w:val="auto"/>
        </w:rPr>
      </w:pPr>
      <w:r>
        <w:rPr>
          <w:rFonts w:ascii="Arial" w:cs="Arial" w:eastAsia="Arial" w:hAnsi="Arial"/>
          <w:sz w:val="18"/>
          <w:szCs w:val="18"/>
          <w:color w:val="auto"/>
        </w:rPr>
        <w:t>Call the toll-free telephone number listed on your proxy card or voting instruction form</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007549"/>
        </w:rPr>
        <w:t>In Person at the Meeting</w:t>
      </w:r>
    </w:p>
    <w:p>
      <w:pPr>
        <w:spacing w:after="0" w:line="20"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Stockholders are invited to attend the annual meeting and vote in person.</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5"/>
          <w:szCs w:val="15"/>
          <w:i w:val="1"/>
          <w:iCs w:val="1"/>
          <w:color w:val="auto"/>
        </w:rPr>
        <w:t>If you are a beneficial owner of shares you must obtain a legal proxy from the holder of record to vote those shares in person at the meeting. See page 52 for more information.</w:t>
      </w:r>
    </w:p>
    <w:p>
      <w:pPr>
        <w:spacing w:after="0" w:line="168" w:lineRule="exact"/>
        <w:rPr>
          <w:sz w:val="20"/>
          <w:szCs w:val="20"/>
          <w:color w:val="auto"/>
        </w:rPr>
      </w:pPr>
    </w:p>
    <w:p>
      <w:pPr>
        <w:sectPr>
          <w:pgSz w:w="11900" w:h="16838" w:orient="portrait"/>
          <w:cols w:equalWidth="0" w:num="2">
            <w:col w:w="6900" w:space="720"/>
            <w:col w:w="3520"/>
          </w:cols>
          <w:pgMar w:left="240" w:top="454" w:right="519" w:bottom="1440" w:gutter="0" w:footer="0" w:header="0"/>
          <w:type w:val="continuous"/>
        </w:sectPr>
      </w:pPr>
    </w:p>
    <w:p>
      <w:pPr>
        <w:ind w:left="280"/>
        <w:spacing w:after="0"/>
        <w:rPr>
          <w:sz w:val="20"/>
          <w:szCs w:val="20"/>
          <w:color w:val="auto"/>
        </w:rPr>
      </w:pPr>
      <w:r>
        <w:rPr>
          <w:rFonts w:ascii="Arial" w:cs="Arial" w:eastAsia="Arial" w:hAnsi="Arial"/>
          <w:sz w:val="24"/>
          <w:szCs w:val="24"/>
          <w:b w:val="1"/>
          <w:bCs w:val="1"/>
          <w:color w:val="333333"/>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71120</wp:posOffset>
            </wp:positionV>
            <wp:extent cx="6918960" cy="15843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18960" cy="1584325"/>
                    </a:xfrm>
                    <a:prstGeom prst="rect">
                      <a:avLst/>
                    </a:prstGeom>
                    <a:noFill/>
                  </pic:spPr>
                </pic:pic>
              </a:graphicData>
            </a:graphic>
          </wp:anchor>
        </w:drawing>
      </w:r>
    </w:p>
    <w:p>
      <w:pPr>
        <w:sectPr>
          <w:pgSz w:w="11900" w:h="16838" w:orient="portrait"/>
          <w:cols w:equalWidth="0" w:num="1">
            <w:col w:w="11140"/>
          </w:cols>
          <w:pgMar w:left="240" w:top="454" w:right="519"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ind w:left="1000" w:hanging="355"/>
        <w:spacing w:after="0"/>
        <w:tabs>
          <w:tab w:leader="none" w:pos="1000" w:val="left"/>
        </w:tabs>
        <w:numPr>
          <w:ilvl w:val="0"/>
          <w:numId w:val="5"/>
        </w:numPr>
        <w:rPr>
          <w:rFonts w:ascii="Arial" w:cs="Arial" w:eastAsia="Arial" w:hAnsi="Arial"/>
          <w:sz w:val="18"/>
          <w:szCs w:val="18"/>
          <w:b w:val="1"/>
          <w:bCs w:val="1"/>
          <w:color w:val="007549"/>
        </w:rPr>
      </w:pPr>
      <w:r>
        <w:rPr>
          <w:rFonts w:ascii="Arial" w:cs="Arial" w:eastAsia="Arial" w:hAnsi="Arial"/>
          <w:sz w:val="18"/>
          <w:szCs w:val="18"/>
          <w:color w:val="auto"/>
        </w:rPr>
        <w:t>Independent directors (11 of 12 nominees)</w:t>
      </w:r>
    </w:p>
    <w:p>
      <w:pPr>
        <w:spacing w:after="0" w:line="85" w:lineRule="exact"/>
        <w:rPr>
          <w:rFonts w:ascii="Arial" w:cs="Arial" w:eastAsia="Arial" w:hAnsi="Arial"/>
          <w:sz w:val="18"/>
          <w:szCs w:val="18"/>
          <w:b w:val="1"/>
          <w:bCs w:val="1"/>
          <w:color w:val="007549"/>
        </w:rPr>
      </w:pPr>
    </w:p>
    <w:p>
      <w:pPr>
        <w:ind w:left="1000" w:hanging="355"/>
        <w:spacing w:after="0"/>
        <w:tabs>
          <w:tab w:leader="none" w:pos="1000" w:val="left"/>
        </w:tabs>
        <w:numPr>
          <w:ilvl w:val="0"/>
          <w:numId w:val="5"/>
        </w:numPr>
        <w:rPr>
          <w:rFonts w:ascii="Arial" w:cs="Arial" w:eastAsia="Arial" w:hAnsi="Arial"/>
          <w:sz w:val="18"/>
          <w:szCs w:val="18"/>
          <w:b w:val="1"/>
          <w:bCs w:val="1"/>
          <w:color w:val="007549"/>
        </w:rPr>
      </w:pPr>
      <w:r>
        <w:rPr>
          <w:rFonts w:ascii="Arial" w:cs="Arial" w:eastAsia="Arial" w:hAnsi="Arial"/>
          <w:sz w:val="18"/>
          <w:szCs w:val="18"/>
          <w:color w:val="auto"/>
        </w:rPr>
        <w:t>Independent chairman</w:t>
      </w:r>
    </w:p>
    <w:p>
      <w:pPr>
        <w:spacing w:after="0" w:line="85" w:lineRule="exact"/>
        <w:rPr>
          <w:rFonts w:ascii="Arial" w:cs="Arial" w:eastAsia="Arial" w:hAnsi="Arial"/>
          <w:sz w:val="18"/>
          <w:szCs w:val="18"/>
          <w:b w:val="1"/>
          <w:bCs w:val="1"/>
          <w:color w:val="007549"/>
        </w:rPr>
      </w:pPr>
    </w:p>
    <w:p>
      <w:pPr>
        <w:ind w:left="1000" w:hanging="355"/>
        <w:spacing w:after="0"/>
        <w:tabs>
          <w:tab w:leader="none" w:pos="1000" w:val="left"/>
        </w:tabs>
        <w:numPr>
          <w:ilvl w:val="0"/>
          <w:numId w:val="5"/>
        </w:numPr>
        <w:rPr>
          <w:rFonts w:ascii="Arial" w:cs="Arial" w:eastAsia="Arial" w:hAnsi="Arial"/>
          <w:sz w:val="17"/>
          <w:szCs w:val="17"/>
          <w:b w:val="1"/>
          <w:bCs w:val="1"/>
          <w:color w:val="007549"/>
        </w:rPr>
      </w:pPr>
      <w:r>
        <w:rPr>
          <w:rFonts w:ascii="Arial" w:cs="Arial" w:eastAsia="Arial" w:hAnsi="Arial"/>
          <w:sz w:val="17"/>
          <w:szCs w:val="17"/>
          <w:color w:val="auto"/>
        </w:rPr>
        <w:t>Refreshed board (75% of the board in last 5 years)</w:t>
      </w:r>
    </w:p>
    <w:p>
      <w:pPr>
        <w:spacing w:after="0" w:line="97" w:lineRule="exact"/>
        <w:rPr>
          <w:rFonts w:ascii="Arial" w:cs="Arial" w:eastAsia="Arial" w:hAnsi="Arial"/>
          <w:sz w:val="17"/>
          <w:szCs w:val="17"/>
          <w:b w:val="1"/>
          <w:bCs w:val="1"/>
          <w:color w:val="007549"/>
        </w:rPr>
      </w:pPr>
    </w:p>
    <w:p>
      <w:pPr>
        <w:ind w:left="1000" w:hanging="355"/>
        <w:spacing w:after="0"/>
        <w:tabs>
          <w:tab w:leader="none" w:pos="1000" w:val="left"/>
        </w:tabs>
        <w:numPr>
          <w:ilvl w:val="0"/>
          <w:numId w:val="5"/>
        </w:numPr>
        <w:rPr>
          <w:rFonts w:ascii="Arial" w:cs="Arial" w:eastAsia="Arial" w:hAnsi="Arial"/>
          <w:sz w:val="18"/>
          <w:szCs w:val="18"/>
          <w:b w:val="1"/>
          <w:bCs w:val="1"/>
          <w:color w:val="007549"/>
        </w:rPr>
      </w:pPr>
      <w:r>
        <w:rPr>
          <w:rFonts w:ascii="Arial" w:cs="Arial" w:eastAsia="Arial" w:hAnsi="Arial"/>
          <w:sz w:val="18"/>
          <w:szCs w:val="18"/>
          <w:color w:val="auto"/>
        </w:rPr>
        <w:t>Annual election of directors</w:t>
      </w:r>
    </w:p>
    <w:p>
      <w:pPr>
        <w:spacing w:after="0" w:line="85" w:lineRule="exact"/>
        <w:rPr>
          <w:rFonts w:ascii="Arial" w:cs="Arial" w:eastAsia="Arial" w:hAnsi="Arial"/>
          <w:sz w:val="18"/>
          <w:szCs w:val="18"/>
          <w:b w:val="1"/>
          <w:bCs w:val="1"/>
          <w:color w:val="007549"/>
        </w:rPr>
      </w:pPr>
    </w:p>
    <w:p>
      <w:pPr>
        <w:ind w:left="1000" w:hanging="355"/>
        <w:spacing w:after="0"/>
        <w:tabs>
          <w:tab w:leader="none" w:pos="1000" w:val="left"/>
        </w:tabs>
        <w:numPr>
          <w:ilvl w:val="0"/>
          <w:numId w:val="5"/>
        </w:numPr>
        <w:rPr>
          <w:rFonts w:ascii="Arial" w:cs="Arial" w:eastAsia="Arial" w:hAnsi="Arial"/>
          <w:sz w:val="18"/>
          <w:szCs w:val="18"/>
          <w:b w:val="1"/>
          <w:bCs w:val="1"/>
          <w:color w:val="007549"/>
        </w:rPr>
      </w:pPr>
      <w:r>
        <w:rPr>
          <w:rFonts w:ascii="Arial" w:cs="Arial" w:eastAsia="Arial" w:hAnsi="Arial"/>
          <w:sz w:val="18"/>
          <w:szCs w:val="18"/>
          <w:color w:val="auto"/>
        </w:rPr>
        <w:t>Majority vote standard for director elections</w:t>
      </w:r>
    </w:p>
    <w:p>
      <w:pPr>
        <w:spacing w:after="0" w:line="85" w:lineRule="exact"/>
        <w:rPr>
          <w:rFonts w:ascii="Arial" w:cs="Arial" w:eastAsia="Arial" w:hAnsi="Arial"/>
          <w:sz w:val="18"/>
          <w:szCs w:val="18"/>
          <w:b w:val="1"/>
          <w:bCs w:val="1"/>
          <w:color w:val="007549"/>
        </w:rPr>
      </w:pPr>
    </w:p>
    <w:p>
      <w:pPr>
        <w:ind w:left="1000" w:right="522" w:hanging="355"/>
        <w:spacing w:after="0" w:line="238" w:lineRule="auto"/>
        <w:tabs>
          <w:tab w:leader="none" w:pos="1000" w:val="left"/>
        </w:tabs>
        <w:numPr>
          <w:ilvl w:val="0"/>
          <w:numId w:val="5"/>
        </w:numPr>
        <w:rPr>
          <w:rFonts w:ascii="Arial" w:cs="Arial" w:eastAsia="Arial" w:hAnsi="Arial"/>
          <w:sz w:val="18"/>
          <w:szCs w:val="18"/>
          <w:b w:val="1"/>
          <w:bCs w:val="1"/>
          <w:color w:val="007549"/>
        </w:rPr>
      </w:pPr>
      <w:r>
        <w:rPr>
          <w:rFonts w:ascii="Arial" w:cs="Arial" w:eastAsia="Arial" w:hAnsi="Arial"/>
          <w:sz w:val="18"/>
          <w:szCs w:val="18"/>
          <w:color w:val="auto"/>
        </w:rPr>
        <w:t>Independent audit, compensation and governance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1769745</wp:posOffset>
            </wp:positionH>
            <wp:positionV relativeFrom="paragraph">
              <wp:posOffset>263525</wp:posOffset>
            </wp:positionV>
            <wp:extent cx="405765" cy="2451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left="358" w:hanging="358"/>
        <w:spacing w:after="0"/>
        <w:tabs>
          <w:tab w:leader="none" w:pos="358" w:val="left"/>
        </w:tabs>
        <w:numPr>
          <w:ilvl w:val="0"/>
          <w:numId w:val="6"/>
        </w:numPr>
        <w:rPr>
          <w:rFonts w:ascii="Arial" w:cs="Arial" w:eastAsia="Arial" w:hAnsi="Arial"/>
          <w:sz w:val="18"/>
          <w:szCs w:val="18"/>
          <w:b w:val="1"/>
          <w:bCs w:val="1"/>
          <w:color w:val="007549"/>
        </w:rPr>
      </w:pPr>
      <w:r>
        <w:rPr>
          <w:rFonts w:ascii="Arial" w:cs="Arial" w:eastAsia="Arial" w:hAnsi="Arial"/>
          <w:sz w:val="18"/>
          <w:szCs w:val="18"/>
          <w:color w:val="auto"/>
        </w:rPr>
        <w:t>Robust stockholder engagement</w:t>
      </w:r>
    </w:p>
    <w:p>
      <w:pPr>
        <w:spacing w:after="0" w:line="85" w:lineRule="exact"/>
        <w:rPr>
          <w:rFonts w:ascii="Arial" w:cs="Arial" w:eastAsia="Arial" w:hAnsi="Arial"/>
          <w:sz w:val="18"/>
          <w:szCs w:val="18"/>
          <w:b w:val="1"/>
          <w:bCs w:val="1"/>
          <w:color w:val="007549"/>
        </w:rPr>
      </w:pPr>
    </w:p>
    <w:p>
      <w:pPr>
        <w:ind w:left="358" w:hanging="358"/>
        <w:spacing w:after="0"/>
        <w:tabs>
          <w:tab w:leader="none" w:pos="358" w:val="left"/>
        </w:tabs>
        <w:numPr>
          <w:ilvl w:val="0"/>
          <w:numId w:val="6"/>
        </w:numPr>
        <w:rPr>
          <w:rFonts w:ascii="Arial" w:cs="Arial" w:eastAsia="Arial" w:hAnsi="Arial"/>
          <w:sz w:val="18"/>
          <w:szCs w:val="18"/>
          <w:b w:val="1"/>
          <w:bCs w:val="1"/>
          <w:color w:val="007549"/>
        </w:rPr>
      </w:pPr>
      <w:r>
        <w:rPr>
          <w:rFonts w:ascii="Arial" w:cs="Arial" w:eastAsia="Arial" w:hAnsi="Arial"/>
          <w:sz w:val="18"/>
          <w:szCs w:val="18"/>
          <w:color w:val="auto"/>
        </w:rPr>
        <w:t>Anti-hedging and anti-pledging policies</w:t>
      </w:r>
    </w:p>
    <w:p>
      <w:pPr>
        <w:spacing w:after="0" w:line="85" w:lineRule="exact"/>
        <w:rPr>
          <w:rFonts w:ascii="Arial" w:cs="Arial" w:eastAsia="Arial" w:hAnsi="Arial"/>
          <w:sz w:val="18"/>
          <w:szCs w:val="18"/>
          <w:b w:val="1"/>
          <w:bCs w:val="1"/>
          <w:color w:val="007549"/>
        </w:rPr>
      </w:pPr>
    </w:p>
    <w:p>
      <w:pPr>
        <w:ind w:left="358" w:hanging="358"/>
        <w:spacing w:after="0"/>
        <w:tabs>
          <w:tab w:leader="none" w:pos="358" w:val="left"/>
        </w:tabs>
        <w:numPr>
          <w:ilvl w:val="0"/>
          <w:numId w:val="6"/>
        </w:numPr>
        <w:rPr>
          <w:rFonts w:ascii="Arial" w:cs="Arial" w:eastAsia="Arial" w:hAnsi="Arial"/>
          <w:sz w:val="18"/>
          <w:szCs w:val="18"/>
          <w:b w:val="1"/>
          <w:bCs w:val="1"/>
          <w:color w:val="007549"/>
        </w:rPr>
      </w:pPr>
      <w:r>
        <w:rPr>
          <w:rFonts w:ascii="Arial" w:cs="Arial" w:eastAsia="Arial" w:hAnsi="Arial"/>
          <w:sz w:val="18"/>
          <w:szCs w:val="18"/>
          <w:color w:val="auto"/>
        </w:rPr>
        <w:t>Annual board and committee evaluations</w:t>
      </w:r>
    </w:p>
    <w:p>
      <w:pPr>
        <w:spacing w:after="0" w:line="85" w:lineRule="exact"/>
        <w:rPr>
          <w:rFonts w:ascii="Arial" w:cs="Arial" w:eastAsia="Arial" w:hAnsi="Arial"/>
          <w:sz w:val="18"/>
          <w:szCs w:val="18"/>
          <w:b w:val="1"/>
          <w:bCs w:val="1"/>
          <w:color w:val="007549"/>
        </w:rPr>
      </w:pPr>
    </w:p>
    <w:p>
      <w:pPr>
        <w:ind w:left="358" w:hanging="358"/>
        <w:spacing w:after="0"/>
        <w:tabs>
          <w:tab w:leader="none" w:pos="358" w:val="left"/>
        </w:tabs>
        <w:numPr>
          <w:ilvl w:val="0"/>
          <w:numId w:val="6"/>
        </w:numPr>
        <w:rPr>
          <w:rFonts w:ascii="Arial" w:cs="Arial" w:eastAsia="Arial" w:hAnsi="Arial"/>
          <w:sz w:val="18"/>
          <w:szCs w:val="18"/>
          <w:b w:val="1"/>
          <w:bCs w:val="1"/>
          <w:color w:val="007549"/>
        </w:rPr>
      </w:pPr>
      <w:r>
        <w:rPr>
          <w:rFonts w:ascii="Arial" w:cs="Arial" w:eastAsia="Arial" w:hAnsi="Arial"/>
          <w:sz w:val="18"/>
          <w:szCs w:val="18"/>
          <w:color w:val="auto"/>
        </w:rPr>
        <w:t>Stockholder proxy access</w:t>
      </w:r>
    </w:p>
    <w:p>
      <w:pPr>
        <w:spacing w:after="0" w:line="85" w:lineRule="exact"/>
        <w:rPr>
          <w:rFonts w:ascii="Arial" w:cs="Arial" w:eastAsia="Arial" w:hAnsi="Arial"/>
          <w:sz w:val="18"/>
          <w:szCs w:val="18"/>
          <w:b w:val="1"/>
          <w:bCs w:val="1"/>
          <w:color w:val="007549"/>
        </w:rPr>
      </w:pPr>
    </w:p>
    <w:p>
      <w:pPr>
        <w:ind w:left="358" w:hanging="358"/>
        <w:spacing w:after="0"/>
        <w:tabs>
          <w:tab w:leader="none" w:pos="358" w:val="left"/>
        </w:tabs>
        <w:numPr>
          <w:ilvl w:val="0"/>
          <w:numId w:val="6"/>
        </w:numPr>
        <w:rPr>
          <w:rFonts w:ascii="Arial" w:cs="Arial" w:eastAsia="Arial" w:hAnsi="Arial"/>
          <w:sz w:val="18"/>
          <w:szCs w:val="18"/>
          <w:b w:val="1"/>
          <w:bCs w:val="1"/>
          <w:color w:val="007549"/>
        </w:rPr>
      </w:pPr>
      <w:r>
        <w:rPr>
          <w:rFonts w:ascii="Arial" w:cs="Arial" w:eastAsia="Arial" w:hAnsi="Arial"/>
          <w:sz w:val="18"/>
          <w:szCs w:val="18"/>
          <w:color w:val="auto"/>
        </w:rPr>
        <w:t>Compensation clawback policy</w:t>
      </w:r>
    </w:p>
    <w:p>
      <w:pPr>
        <w:spacing w:after="0" w:line="85" w:lineRule="exact"/>
        <w:rPr>
          <w:rFonts w:ascii="Arial" w:cs="Arial" w:eastAsia="Arial" w:hAnsi="Arial"/>
          <w:sz w:val="18"/>
          <w:szCs w:val="18"/>
          <w:b w:val="1"/>
          <w:bCs w:val="1"/>
          <w:color w:val="007549"/>
        </w:rPr>
      </w:pPr>
    </w:p>
    <w:p>
      <w:pPr>
        <w:ind w:left="358" w:hanging="358"/>
        <w:spacing w:after="0"/>
        <w:tabs>
          <w:tab w:leader="none" w:pos="358" w:val="left"/>
        </w:tabs>
        <w:numPr>
          <w:ilvl w:val="0"/>
          <w:numId w:val="6"/>
        </w:numPr>
        <w:rPr>
          <w:rFonts w:ascii="Arial" w:cs="Arial" w:eastAsia="Arial" w:hAnsi="Arial"/>
          <w:sz w:val="17"/>
          <w:szCs w:val="17"/>
          <w:b w:val="1"/>
          <w:bCs w:val="1"/>
          <w:color w:val="007549"/>
        </w:rPr>
      </w:pPr>
      <w:r>
        <w:rPr>
          <w:rFonts w:ascii="Arial" w:cs="Arial" w:eastAsia="Arial" w:hAnsi="Arial"/>
          <w:sz w:val="17"/>
          <w:szCs w:val="17"/>
          <w:color w:val="auto"/>
        </w:rPr>
        <w:t>Stock ownership policy for executives and directors</w:t>
      </w:r>
    </w:p>
    <w:p>
      <w:pPr>
        <w:spacing w:after="0" w:line="97" w:lineRule="exact"/>
        <w:rPr>
          <w:rFonts w:ascii="Arial" w:cs="Arial" w:eastAsia="Arial" w:hAnsi="Arial"/>
          <w:sz w:val="17"/>
          <w:szCs w:val="17"/>
          <w:b w:val="1"/>
          <w:bCs w:val="1"/>
          <w:color w:val="007549"/>
        </w:rPr>
      </w:pPr>
    </w:p>
    <w:p>
      <w:pPr>
        <w:ind w:left="358" w:hanging="358"/>
        <w:spacing w:after="0"/>
        <w:tabs>
          <w:tab w:leader="none" w:pos="358" w:val="left"/>
        </w:tabs>
        <w:numPr>
          <w:ilvl w:val="0"/>
          <w:numId w:val="6"/>
        </w:numPr>
        <w:rPr>
          <w:rFonts w:ascii="Arial" w:cs="Arial" w:eastAsia="Arial" w:hAnsi="Arial"/>
          <w:sz w:val="18"/>
          <w:szCs w:val="18"/>
          <w:b w:val="1"/>
          <w:bCs w:val="1"/>
          <w:color w:val="007549"/>
        </w:rPr>
      </w:pPr>
      <w:r>
        <w:rPr>
          <w:rFonts w:ascii="Arial" w:cs="Arial" w:eastAsia="Arial" w:hAnsi="Arial"/>
          <w:sz w:val="18"/>
          <w:szCs w:val="18"/>
          <w:color w:val="auto"/>
        </w:rPr>
        <w:t>No poison pill</w:t>
      </w:r>
    </w:p>
    <w:p>
      <w:pPr>
        <w:spacing w:after="0" w:line="200" w:lineRule="exact"/>
        <w:rPr>
          <w:sz w:val="20"/>
          <w:szCs w:val="20"/>
          <w:color w:val="auto"/>
        </w:rPr>
      </w:pPr>
    </w:p>
    <w:p>
      <w:pPr>
        <w:sectPr>
          <w:pgSz w:w="11900" w:h="16838" w:orient="portrait"/>
          <w:cols w:equalWidth="0" w:num="2">
            <w:col w:w="5462" w:space="720"/>
            <w:col w:w="4958"/>
          </w:cols>
          <w:pgMar w:left="240" w:top="454" w:right="519" w:bottom="1440" w:gutter="0" w:footer="0" w:header="0"/>
          <w:type w:val="continuous"/>
        </w:sectPr>
      </w:pPr>
    </w:p>
    <w:p>
      <w:pPr>
        <w:spacing w:after="0" w:line="306" w:lineRule="exact"/>
        <w:rPr>
          <w:sz w:val="20"/>
          <w:szCs w:val="20"/>
          <w:color w:val="auto"/>
        </w:rPr>
      </w:pPr>
    </w:p>
    <w:p>
      <w:pPr>
        <w:ind w:left="680" w:hanging="394"/>
        <w:spacing w:after="0"/>
        <w:tabs>
          <w:tab w:leader="none" w:pos="680" w:val="left"/>
        </w:tabs>
        <w:numPr>
          <w:ilvl w:val="0"/>
          <w:numId w:val="7"/>
        </w:numPr>
        <w:rPr>
          <w:rFonts w:ascii="Arial" w:cs="Arial" w:eastAsia="Arial" w:hAnsi="Arial"/>
          <w:sz w:val="14"/>
          <w:szCs w:val="14"/>
          <w:b w:val="1"/>
          <w:bCs w:val="1"/>
          <w:color w:val="007549"/>
        </w:rPr>
      </w:pPr>
      <w:r>
        <w:rPr>
          <w:rFonts w:ascii="Arial" w:cs="Arial" w:eastAsia="Arial" w:hAnsi="Arial"/>
          <w:sz w:val="12"/>
          <w:szCs w:val="12"/>
          <w:b w:val="1"/>
          <w:bCs w:val="1"/>
          <w:color w:val="666666"/>
        </w:rPr>
        <w:t>2018 PROXY STATEMENT</w:t>
      </w:r>
    </w:p>
    <w:p>
      <w:pPr>
        <w:sectPr>
          <w:pgSz w:w="11900" w:h="16838" w:orient="portrait"/>
          <w:cols w:equalWidth="0" w:num="1">
            <w:col w:w="11140"/>
          </w:cols>
          <w:pgMar w:left="240" w:top="454" w:right="51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9920"/>
        <w:spacing w:after="0"/>
        <w:rPr>
          <w:sz w:val="20"/>
          <w:szCs w:val="20"/>
          <w:color w:val="auto"/>
        </w:rPr>
      </w:pPr>
      <w:r>
        <w:rPr>
          <w:rFonts w:ascii="Arial" w:cs="Arial" w:eastAsia="Arial" w:hAnsi="Arial"/>
          <w:sz w:val="16"/>
          <w:szCs w:val="16"/>
          <w:b w:val="1"/>
          <w:bCs w:val="1"/>
          <w:color w:val="007549"/>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55245</wp:posOffset>
            </wp:positionV>
            <wp:extent cx="68935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238"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333333"/>
        </w:rPr>
        <w:t>Business and Strategy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63500</wp:posOffset>
            </wp:positionV>
            <wp:extent cx="68935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266" w:lineRule="exact"/>
        <w:rPr>
          <w:sz w:val="20"/>
          <w:szCs w:val="20"/>
          <w:color w:val="auto"/>
        </w:rPr>
      </w:pPr>
    </w:p>
    <w:p>
      <w:pPr>
        <w:jc w:val="both"/>
        <w:ind w:left="280"/>
        <w:spacing w:after="0" w:line="238" w:lineRule="auto"/>
        <w:rPr>
          <w:sz w:val="20"/>
          <w:szCs w:val="20"/>
          <w:color w:val="auto"/>
        </w:rPr>
      </w:pPr>
      <w:r>
        <w:rPr>
          <w:rFonts w:ascii="Arial" w:cs="Arial" w:eastAsia="Arial" w:hAnsi="Arial"/>
          <w:sz w:val="18"/>
          <w:szCs w:val="18"/>
          <w:color w:val="auto"/>
        </w:rPr>
        <w:t>Hess Corporation is a global Exploration and Production (E&amp;P) company engaged in the exploration, development, production, transportation, purchase and sale of crude oil, natural gas liquids, and natural gas.</w:t>
      </w:r>
    </w:p>
    <w:p>
      <w:pPr>
        <w:spacing w:after="0" w:line="175" w:lineRule="exact"/>
        <w:rPr>
          <w:sz w:val="20"/>
          <w:szCs w:val="20"/>
          <w:color w:val="auto"/>
        </w:rPr>
      </w:pPr>
    </w:p>
    <w:p>
      <w:pPr>
        <w:jc w:val="both"/>
        <w:ind w:left="280"/>
        <w:spacing w:after="0" w:line="234" w:lineRule="auto"/>
        <w:rPr>
          <w:sz w:val="20"/>
          <w:szCs w:val="20"/>
          <w:color w:val="auto"/>
        </w:rPr>
      </w:pPr>
      <w:r>
        <w:rPr>
          <w:rFonts w:ascii="Arial" w:cs="Arial" w:eastAsia="Arial" w:hAnsi="Arial"/>
          <w:sz w:val="18"/>
          <w:szCs w:val="18"/>
          <w:color w:val="auto"/>
        </w:rPr>
        <w:t>Our strategy is to grow our resource base in a capital disciplined manner, to move down the cost curve so we are resilient in a low oil price environment, and to be cash generative at a $50 per barrel Brent oil price post-2020. To achieve this strategy, we moved aggressively in 2017 to focus our portfolio and divest higher-cost mature assets, resulting in total sales proceeds of $3.4 billion. The proceeds from these asset sales have been earmarked for funding investments in our higher return, lower-cost growth assets in Guyana and the Bakken and returning value to stockholders.</w:t>
      </w:r>
    </w:p>
    <w:p>
      <w:pPr>
        <w:spacing w:after="0" w:line="162" w:lineRule="exact"/>
        <w:rPr>
          <w:sz w:val="20"/>
          <w:szCs w:val="20"/>
          <w:color w:val="auto"/>
        </w:rPr>
      </w:pPr>
    </w:p>
    <w:p>
      <w:pPr>
        <w:jc w:val="both"/>
        <w:ind w:left="280"/>
        <w:spacing w:after="0" w:line="236" w:lineRule="auto"/>
        <w:rPr>
          <w:sz w:val="20"/>
          <w:szCs w:val="20"/>
          <w:color w:val="auto"/>
        </w:rPr>
      </w:pPr>
      <w:r>
        <w:rPr>
          <w:rFonts w:ascii="Arial" w:cs="Arial" w:eastAsia="Arial" w:hAnsi="Arial"/>
          <w:sz w:val="18"/>
          <w:szCs w:val="18"/>
          <w:color w:val="auto"/>
        </w:rPr>
        <w:t>Our balanced portfolio benefits from low-cost, cash generating assets primarily in the Gulf of Mexico and Malaysia that provide a stable base of support to fund our long-term growth investments in Guyana and the Bakken. We will continue to evaluate our portfolio asset mix to deliver on our strategy and create value for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144780</wp:posOffset>
            </wp:positionV>
            <wp:extent cx="5009515" cy="56603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009515" cy="566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b w:val="1"/>
          <w:bCs w:val="1"/>
          <w:color w:val="666666"/>
        </w:rPr>
        <w:t>2018 PROXY STATEMENT</w:t>
      </w:r>
      <w:r>
        <w:rPr>
          <w:sz w:val="20"/>
          <w:szCs w:val="20"/>
          <w:color w:val="auto"/>
        </w:rPr>
        <w:tab/>
      </w:r>
      <w:r>
        <w:rPr>
          <w:rFonts w:ascii="Arial" w:cs="Arial" w:eastAsia="Arial" w:hAnsi="Arial"/>
          <w:sz w:val="14"/>
          <w:szCs w:val="14"/>
          <w:b w:val="1"/>
          <w:bCs w:val="1"/>
          <w:color w:val="007549"/>
        </w:rPr>
        <w:t>iii</w:t>
      </w:r>
    </w:p>
    <w:p>
      <w:pPr>
        <w:sectPr>
          <w:pgSz w:w="11900" w:h="16838" w:orient="portrait"/>
          <w:cols w:equalWidth="0" w:num="1">
            <w:col w:w="11140"/>
          </w:cols>
          <w:pgMar w:left="240" w:top="454" w:right="5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007549"/>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55245</wp:posOffset>
            </wp:positionV>
            <wp:extent cx="68935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238"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333333"/>
        </w:rPr>
        <w:t>Corporate Performance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63500</wp:posOffset>
            </wp:positionV>
            <wp:extent cx="68935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159" w:lineRule="exact"/>
        <w:rPr>
          <w:sz w:val="20"/>
          <w:szCs w:val="20"/>
          <w:color w:val="auto"/>
        </w:rPr>
      </w:pPr>
    </w:p>
    <w:p>
      <w:pPr>
        <w:jc w:val="both"/>
        <w:ind w:left="280"/>
        <w:spacing w:after="0" w:line="233" w:lineRule="auto"/>
        <w:rPr>
          <w:sz w:val="20"/>
          <w:szCs w:val="20"/>
          <w:color w:val="auto"/>
        </w:rPr>
      </w:pPr>
      <w:r>
        <w:rPr>
          <w:rFonts w:ascii="Arial" w:cs="Arial" w:eastAsia="Arial" w:hAnsi="Arial"/>
          <w:sz w:val="18"/>
          <w:szCs w:val="18"/>
          <w:color w:val="auto"/>
        </w:rPr>
        <w:t>During 2017 we took significant steps to execute our strategy by divesting mature assets, sanctioning the first phase of the Liza development project in Guyana and increasing our resource base while keeping our capital and exploratory spending under budget, and maintaining a strong balance sheet. Our financial results continued to be impacted by lower crude oil and natural gas selling prices and we posted a net loss in 2017, the majority of which was non-cash impairments due to the lower oil price and asset sales. However, we pre-funded our highest return investments and remain committed to deliver on our strategy to be cash generative at a $50 per barrel Brent oil price post-2020.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890905</wp:posOffset>
            </wp:positionH>
            <wp:positionV relativeFrom="paragraph">
              <wp:posOffset>62865</wp:posOffset>
            </wp:positionV>
            <wp:extent cx="5474335" cy="10642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74335" cy="1064260"/>
                    </a:xfrm>
                    <a:prstGeom prst="rect">
                      <a:avLst/>
                    </a:prstGeom>
                    <a:noFill/>
                  </pic:spPr>
                </pic:pic>
              </a:graphicData>
            </a:graphic>
          </wp:anchor>
        </w:drawing>
      </w:r>
    </w:p>
    <w:p>
      <w:pPr>
        <w:spacing w:after="0" w:line="83"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gridSpan w:val="3"/>
          </w:tcPr>
          <w:p>
            <w:pPr>
              <w:jc w:val="center"/>
              <w:ind w:left="635"/>
              <w:spacing w:after="0"/>
              <w:rPr>
                <w:sz w:val="20"/>
                <w:szCs w:val="20"/>
                <w:color w:val="auto"/>
              </w:rPr>
            </w:pPr>
            <w:r>
              <w:rPr>
                <w:rFonts w:ascii="Arial" w:cs="Arial" w:eastAsia="Arial" w:hAnsi="Arial"/>
                <w:sz w:val="18"/>
                <w:szCs w:val="18"/>
                <w:b w:val="1"/>
                <w:bCs w:val="1"/>
                <w:color w:val="007549"/>
                <w:w w:val="99"/>
              </w:rPr>
              <w:t>Strategy</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vMerge w:val="restart"/>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1120" w:type="dxa"/>
            <w:vAlign w:val="bottom"/>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1420" w:type="dxa"/>
            <w:vAlign w:val="bottom"/>
            <w:gridSpan w:val="3"/>
            <w:vMerge w:val="restart"/>
            <w:shd w:val="clear" w:color="auto" w:fill="E5E5E5"/>
          </w:tcPr>
          <w:p>
            <w:pPr>
              <w:jc w:val="center"/>
              <w:ind w:right="180"/>
              <w:spacing w:after="0"/>
              <w:rPr>
                <w:sz w:val="20"/>
                <w:szCs w:val="20"/>
                <w:color w:val="auto"/>
              </w:rPr>
            </w:pPr>
            <w:r>
              <w:rPr>
                <w:rFonts w:ascii="Arial" w:cs="Arial" w:eastAsia="Arial" w:hAnsi="Arial"/>
                <w:sz w:val="21"/>
                <w:szCs w:val="21"/>
                <w:b w:val="1"/>
                <w:bCs w:val="1"/>
                <w:color w:val="007549"/>
              </w:rPr>
              <w:t>$3.4 Billion</w:t>
            </w:r>
          </w:p>
        </w:tc>
        <w:tc>
          <w:tcPr>
            <w:tcW w:w="12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200" w:type="dxa"/>
            <w:vAlign w:val="bottom"/>
            <w:vMerge w:val="continue"/>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2120" w:type="dxa"/>
            <w:vAlign w:val="bottom"/>
            <w:gridSpan w:val="3"/>
            <w:shd w:val="clear" w:color="auto" w:fill="E5E5E5"/>
          </w:tcPr>
          <w:p>
            <w:pPr>
              <w:jc w:val="center"/>
              <w:ind w:left="395"/>
              <w:spacing w:after="0" w:line="207" w:lineRule="exact"/>
              <w:rPr>
                <w:sz w:val="20"/>
                <w:szCs w:val="20"/>
                <w:color w:val="auto"/>
              </w:rPr>
            </w:pPr>
            <w:r>
              <w:rPr>
                <w:rFonts w:ascii="Arial" w:cs="Arial" w:eastAsia="Arial" w:hAnsi="Arial"/>
                <w:sz w:val="21"/>
                <w:szCs w:val="21"/>
                <w:b w:val="1"/>
                <w:bCs w:val="1"/>
                <w:color w:val="007549"/>
              </w:rPr>
              <w:t>Hess Midstream</w:t>
            </w:r>
          </w:p>
        </w:tc>
        <w:tc>
          <w:tcPr>
            <w:tcW w:w="440" w:type="dxa"/>
            <w:vAlign w:val="bottom"/>
            <w:shd w:val="clear" w:color="auto" w:fill="E5E5E5"/>
          </w:tcPr>
          <w:p>
            <w:pPr>
              <w:spacing w:after="0"/>
              <w:rPr>
                <w:sz w:val="18"/>
                <w:szCs w:val="18"/>
                <w:color w:val="auto"/>
              </w:rPr>
            </w:pPr>
          </w:p>
        </w:tc>
        <w:tc>
          <w:tcPr>
            <w:tcW w:w="240" w:type="dxa"/>
            <w:vAlign w:val="bottom"/>
            <w:tcBorders>
              <w:left w:val="single" w:sz="8" w:color="E5E5E5"/>
            </w:tcBorders>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2080" w:type="dxa"/>
            <w:vAlign w:val="bottom"/>
            <w:gridSpan w:val="3"/>
            <w:vMerge w:val="restart"/>
            <w:shd w:val="clear" w:color="auto" w:fill="E5E5E5"/>
          </w:tcPr>
          <w:p>
            <w:pPr>
              <w:jc w:val="center"/>
              <w:ind w:right="317"/>
              <w:spacing w:after="0"/>
              <w:rPr>
                <w:sz w:val="20"/>
                <w:szCs w:val="20"/>
                <w:color w:val="auto"/>
              </w:rPr>
            </w:pPr>
            <w:r>
              <w:rPr>
                <w:rFonts w:ascii="Arial" w:cs="Arial" w:eastAsia="Arial" w:hAnsi="Arial"/>
                <w:sz w:val="21"/>
                <w:szCs w:val="21"/>
                <w:b w:val="1"/>
                <w:bCs w:val="1"/>
                <w:color w:val="007549"/>
              </w:rPr>
              <w:t>Liza Phase 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120" w:type="dxa"/>
            <w:vAlign w:val="bottom"/>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420" w:type="dxa"/>
            <w:vAlign w:val="bottom"/>
            <w:gridSpan w:val="3"/>
            <w:vMerge w:val="continue"/>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2120" w:type="dxa"/>
            <w:vAlign w:val="bottom"/>
            <w:gridSpan w:val="3"/>
            <w:vMerge w:val="restart"/>
            <w:shd w:val="clear" w:color="auto" w:fill="E5E5E5"/>
          </w:tcPr>
          <w:p>
            <w:pPr>
              <w:jc w:val="center"/>
              <w:ind w:left="315"/>
              <w:spacing w:after="0"/>
              <w:rPr>
                <w:sz w:val="20"/>
                <w:szCs w:val="20"/>
                <w:color w:val="auto"/>
              </w:rPr>
            </w:pPr>
            <w:r>
              <w:rPr>
                <w:rFonts w:ascii="Arial" w:cs="Arial" w:eastAsia="Arial" w:hAnsi="Arial"/>
                <w:sz w:val="21"/>
                <w:szCs w:val="21"/>
                <w:b w:val="1"/>
                <w:bCs w:val="1"/>
                <w:color w:val="007549"/>
              </w:rPr>
              <w:t>Partners LP</w:t>
            </w:r>
          </w:p>
        </w:tc>
        <w:tc>
          <w:tcPr>
            <w:tcW w:w="440" w:type="dxa"/>
            <w:vAlign w:val="bottom"/>
            <w:shd w:val="clear" w:color="auto" w:fill="E5E5E5"/>
          </w:tcPr>
          <w:p>
            <w:pPr>
              <w:spacing w:after="0"/>
              <w:rPr>
                <w:sz w:val="16"/>
                <w:szCs w:val="16"/>
                <w:color w:val="auto"/>
              </w:rPr>
            </w:pPr>
          </w:p>
        </w:tc>
        <w:tc>
          <w:tcPr>
            <w:tcW w:w="240" w:type="dxa"/>
            <w:vAlign w:val="bottom"/>
            <w:tcBorders>
              <w:left w:val="single" w:sz="8" w:color="E5E5E5"/>
            </w:tcBorders>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080" w:type="dxa"/>
            <w:vAlign w:val="bottom"/>
            <w:gridSpan w:val="3"/>
            <w:vMerge w:val="continue"/>
            <w:shd w:val="clear" w:color="auto" w:fill="E5E5E5"/>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1120" w:type="dxa"/>
            <w:vAlign w:val="bottom"/>
          </w:tcPr>
          <w:p>
            <w:pPr>
              <w:spacing w:after="0"/>
              <w:rPr>
                <w:sz w:val="7"/>
                <w:szCs w:val="7"/>
                <w:color w:val="auto"/>
              </w:rPr>
            </w:pPr>
          </w:p>
        </w:tc>
        <w:tc>
          <w:tcPr>
            <w:tcW w:w="440" w:type="dxa"/>
            <w:vAlign w:val="bottom"/>
            <w:shd w:val="clear" w:color="auto" w:fill="E5E5E5"/>
          </w:tcPr>
          <w:p>
            <w:pPr>
              <w:spacing w:after="0"/>
              <w:rPr>
                <w:sz w:val="7"/>
                <w:szCs w:val="7"/>
                <w:color w:val="auto"/>
              </w:rPr>
            </w:pPr>
          </w:p>
        </w:tc>
        <w:tc>
          <w:tcPr>
            <w:tcW w:w="240" w:type="dxa"/>
            <w:vAlign w:val="bottom"/>
            <w:shd w:val="clear" w:color="auto" w:fill="E5E5E5"/>
          </w:tcPr>
          <w:p>
            <w:pPr>
              <w:spacing w:after="0"/>
              <w:rPr>
                <w:sz w:val="7"/>
                <w:szCs w:val="7"/>
                <w:color w:val="auto"/>
              </w:rPr>
            </w:pPr>
          </w:p>
        </w:tc>
        <w:tc>
          <w:tcPr>
            <w:tcW w:w="580" w:type="dxa"/>
            <w:vAlign w:val="bottom"/>
            <w:shd w:val="clear" w:color="auto" w:fill="E5E5E5"/>
          </w:tcPr>
          <w:p>
            <w:pPr>
              <w:spacing w:after="0"/>
              <w:rPr>
                <w:sz w:val="7"/>
                <w:szCs w:val="7"/>
                <w:color w:val="auto"/>
              </w:rPr>
            </w:pPr>
          </w:p>
        </w:tc>
        <w:tc>
          <w:tcPr>
            <w:tcW w:w="240" w:type="dxa"/>
            <w:vAlign w:val="bottom"/>
            <w:shd w:val="clear" w:color="auto" w:fill="E5E5E5"/>
          </w:tcPr>
          <w:p>
            <w:pPr>
              <w:spacing w:after="0"/>
              <w:rPr>
                <w:sz w:val="7"/>
                <w:szCs w:val="7"/>
                <w:color w:val="auto"/>
              </w:rPr>
            </w:pPr>
          </w:p>
        </w:tc>
        <w:tc>
          <w:tcPr>
            <w:tcW w:w="600" w:type="dxa"/>
            <w:vAlign w:val="bottom"/>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240" w:type="dxa"/>
            <w:vAlign w:val="bottom"/>
            <w:shd w:val="clear" w:color="auto" w:fill="E5E5E5"/>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shd w:val="clear" w:color="auto" w:fill="E5E5E5"/>
          </w:tcPr>
          <w:p>
            <w:pPr>
              <w:spacing w:after="0"/>
              <w:rPr>
                <w:sz w:val="7"/>
                <w:szCs w:val="7"/>
                <w:color w:val="auto"/>
              </w:rPr>
            </w:pPr>
          </w:p>
        </w:tc>
        <w:tc>
          <w:tcPr>
            <w:tcW w:w="80" w:type="dxa"/>
            <w:vAlign w:val="bottom"/>
            <w:shd w:val="clear" w:color="auto" w:fill="E5E5E5"/>
          </w:tcPr>
          <w:p>
            <w:pPr>
              <w:spacing w:after="0"/>
              <w:rPr>
                <w:sz w:val="7"/>
                <w:szCs w:val="7"/>
                <w:color w:val="auto"/>
              </w:rPr>
            </w:pPr>
          </w:p>
        </w:tc>
        <w:tc>
          <w:tcPr>
            <w:tcW w:w="2120" w:type="dxa"/>
            <w:vAlign w:val="bottom"/>
            <w:gridSpan w:val="3"/>
            <w:vMerge w:val="continue"/>
            <w:shd w:val="clear" w:color="auto" w:fill="E5E5E5"/>
          </w:tcPr>
          <w:p>
            <w:pPr>
              <w:spacing w:after="0"/>
              <w:rPr>
                <w:sz w:val="7"/>
                <w:szCs w:val="7"/>
                <w:color w:val="auto"/>
              </w:rPr>
            </w:pPr>
          </w:p>
        </w:tc>
        <w:tc>
          <w:tcPr>
            <w:tcW w:w="440" w:type="dxa"/>
            <w:vAlign w:val="bottom"/>
            <w:shd w:val="clear" w:color="auto" w:fill="E5E5E5"/>
          </w:tcPr>
          <w:p>
            <w:pPr>
              <w:spacing w:after="0"/>
              <w:rPr>
                <w:sz w:val="7"/>
                <w:szCs w:val="7"/>
                <w:color w:val="auto"/>
              </w:rPr>
            </w:pPr>
          </w:p>
        </w:tc>
        <w:tc>
          <w:tcPr>
            <w:tcW w:w="240" w:type="dxa"/>
            <w:vAlign w:val="bottom"/>
            <w:tcBorders>
              <w:left w:val="single" w:sz="8" w:color="E5E5E5"/>
            </w:tcBorders>
          </w:tcPr>
          <w:p>
            <w:pPr>
              <w:spacing w:after="0"/>
              <w:rPr>
                <w:sz w:val="7"/>
                <w:szCs w:val="7"/>
                <w:color w:val="auto"/>
              </w:rPr>
            </w:pPr>
          </w:p>
        </w:tc>
        <w:tc>
          <w:tcPr>
            <w:tcW w:w="440" w:type="dxa"/>
            <w:vAlign w:val="bottom"/>
            <w:shd w:val="clear" w:color="auto" w:fill="E5E5E5"/>
          </w:tcPr>
          <w:p>
            <w:pPr>
              <w:spacing w:after="0"/>
              <w:rPr>
                <w:sz w:val="7"/>
                <w:szCs w:val="7"/>
                <w:color w:val="auto"/>
              </w:rPr>
            </w:pPr>
          </w:p>
        </w:tc>
        <w:tc>
          <w:tcPr>
            <w:tcW w:w="100" w:type="dxa"/>
            <w:vAlign w:val="bottom"/>
            <w:shd w:val="clear" w:color="auto" w:fill="E5E5E5"/>
          </w:tcPr>
          <w:p>
            <w:pPr>
              <w:spacing w:after="0"/>
              <w:rPr>
                <w:sz w:val="7"/>
                <w:szCs w:val="7"/>
                <w:color w:val="auto"/>
              </w:rPr>
            </w:pPr>
          </w:p>
        </w:tc>
        <w:tc>
          <w:tcPr>
            <w:tcW w:w="520" w:type="dxa"/>
            <w:vAlign w:val="bottom"/>
            <w:shd w:val="clear" w:color="auto" w:fill="E5E5E5"/>
          </w:tcPr>
          <w:p>
            <w:pPr>
              <w:spacing w:after="0"/>
              <w:rPr>
                <w:sz w:val="7"/>
                <w:szCs w:val="7"/>
                <w:color w:val="auto"/>
              </w:rPr>
            </w:pPr>
          </w:p>
        </w:tc>
        <w:tc>
          <w:tcPr>
            <w:tcW w:w="240" w:type="dxa"/>
            <w:vAlign w:val="bottom"/>
            <w:shd w:val="clear" w:color="auto" w:fill="E5E5E5"/>
          </w:tcPr>
          <w:p>
            <w:pPr>
              <w:spacing w:after="0"/>
              <w:rPr>
                <w:sz w:val="7"/>
                <w:szCs w:val="7"/>
                <w:color w:val="auto"/>
              </w:rPr>
            </w:pPr>
          </w:p>
        </w:tc>
        <w:tc>
          <w:tcPr>
            <w:tcW w:w="1320" w:type="dxa"/>
            <w:vAlign w:val="bottom"/>
            <w:shd w:val="clear" w:color="auto" w:fill="E5E5E5"/>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120" w:type="dxa"/>
            <w:vAlign w:val="bottom"/>
          </w:tcPr>
          <w:p>
            <w:pPr>
              <w:spacing w:after="0"/>
              <w:rPr>
                <w:sz w:val="21"/>
                <w:szCs w:val="21"/>
                <w:color w:val="auto"/>
              </w:rPr>
            </w:pPr>
          </w:p>
        </w:tc>
        <w:tc>
          <w:tcPr>
            <w:tcW w:w="440" w:type="dxa"/>
            <w:vAlign w:val="bottom"/>
            <w:shd w:val="clear" w:color="auto" w:fill="E5E5E5"/>
          </w:tcPr>
          <w:p>
            <w:pPr>
              <w:spacing w:after="0"/>
              <w:rPr>
                <w:sz w:val="21"/>
                <w:szCs w:val="21"/>
                <w:color w:val="auto"/>
              </w:rPr>
            </w:pPr>
          </w:p>
        </w:tc>
        <w:tc>
          <w:tcPr>
            <w:tcW w:w="1660" w:type="dxa"/>
            <w:vAlign w:val="bottom"/>
            <w:gridSpan w:val="4"/>
            <w:shd w:val="clear" w:color="auto" w:fill="E5E5E5"/>
          </w:tcPr>
          <w:p>
            <w:pPr>
              <w:jc w:val="center"/>
              <w:ind w:right="20"/>
              <w:spacing w:after="0"/>
              <w:rPr>
                <w:sz w:val="20"/>
                <w:szCs w:val="20"/>
                <w:color w:val="auto"/>
              </w:rPr>
            </w:pPr>
            <w:r>
              <w:rPr>
                <w:rFonts w:ascii="Arial" w:cs="Arial" w:eastAsia="Arial" w:hAnsi="Arial"/>
                <w:sz w:val="14"/>
                <w:szCs w:val="14"/>
                <w:color w:val="auto"/>
              </w:rPr>
              <w:t>2017 asset sale proceeds</w:t>
            </w:r>
          </w:p>
        </w:tc>
        <w:tc>
          <w:tcPr>
            <w:tcW w:w="120" w:type="dxa"/>
            <w:vAlign w:val="bottom"/>
            <w:shd w:val="clear" w:color="auto" w:fill="E5E5E5"/>
          </w:tcPr>
          <w:p>
            <w:pPr>
              <w:spacing w:after="0"/>
              <w:rPr>
                <w:sz w:val="21"/>
                <w:szCs w:val="21"/>
                <w:color w:val="auto"/>
              </w:rPr>
            </w:pPr>
          </w:p>
        </w:tc>
        <w:tc>
          <w:tcPr>
            <w:tcW w:w="240" w:type="dxa"/>
            <w:vAlign w:val="bottom"/>
            <w:shd w:val="clear" w:color="auto" w:fill="E5E5E5"/>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shd w:val="clear" w:color="auto" w:fill="E5E5E5"/>
          </w:tcPr>
          <w:p>
            <w:pPr>
              <w:spacing w:after="0"/>
              <w:rPr>
                <w:sz w:val="21"/>
                <w:szCs w:val="21"/>
                <w:color w:val="auto"/>
              </w:rPr>
            </w:pPr>
          </w:p>
        </w:tc>
        <w:tc>
          <w:tcPr>
            <w:tcW w:w="80" w:type="dxa"/>
            <w:vAlign w:val="bottom"/>
            <w:shd w:val="clear" w:color="auto" w:fill="E5E5E5"/>
          </w:tcPr>
          <w:p>
            <w:pPr>
              <w:spacing w:after="0"/>
              <w:rPr>
                <w:sz w:val="21"/>
                <w:szCs w:val="21"/>
                <w:color w:val="auto"/>
              </w:rPr>
            </w:pPr>
          </w:p>
        </w:tc>
        <w:tc>
          <w:tcPr>
            <w:tcW w:w="2120" w:type="dxa"/>
            <w:vAlign w:val="bottom"/>
            <w:gridSpan w:val="3"/>
            <w:shd w:val="clear" w:color="auto" w:fill="E5E5E5"/>
          </w:tcPr>
          <w:p>
            <w:pPr>
              <w:jc w:val="center"/>
              <w:ind w:left="315"/>
              <w:spacing w:after="0"/>
              <w:rPr>
                <w:sz w:val="20"/>
                <w:szCs w:val="20"/>
                <w:color w:val="auto"/>
              </w:rPr>
            </w:pPr>
            <w:r>
              <w:rPr>
                <w:rFonts w:ascii="Arial" w:cs="Arial" w:eastAsia="Arial" w:hAnsi="Arial"/>
                <w:sz w:val="14"/>
                <w:szCs w:val="14"/>
                <w:color w:val="auto"/>
              </w:rPr>
              <w:t>Completed upsized IPO of</w:t>
            </w:r>
          </w:p>
        </w:tc>
        <w:tc>
          <w:tcPr>
            <w:tcW w:w="440" w:type="dxa"/>
            <w:vAlign w:val="bottom"/>
            <w:shd w:val="clear" w:color="auto" w:fill="E5E5E5"/>
          </w:tcPr>
          <w:p>
            <w:pPr>
              <w:spacing w:after="0"/>
              <w:rPr>
                <w:sz w:val="21"/>
                <w:szCs w:val="21"/>
                <w:color w:val="auto"/>
              </w:rPr>
            </w:pPr>
          </w:p>
        </w:tc>
        <w:tc>
          <w:tcPr>
            <w:tcW w:w="240" w:type="dxa"/>
            <w:vAlign w:val="bottom"/>
            <w:tcBorders>
              <w:left w:val="single" w:sz="8" w:color="E5E5E5"/>
            </w:tcBorders>
          </w:tcPr>
          <w:p>
            <w:pPr>
              <w:spacing w:after="0"/>
              <w:rPr>
                <w:sz w:val="21"/>
                <w:szCs w:val="21"/>
                <w:color w:val="auto"/>
              </w:rPr>
            </w:pPr>
          </w:p>
        </w:tc>
        <w:tc>
          <w:tcPr>
            <w:tcW w:w="44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2080" w:type="dxa"/>
            <w:vAlign w:val="bottom"/>
            <w:gridSpan w:val="3"/>
            <w:shd w:val="clear" w:color="auto" w:fill="E5E5E5"/>
          </w:tcPr>
          <w:p>
            <w:pPr>
              <w:jc w:val="center"/>
              <w:ind w:right="377"/>
              <w:spacing w:after="0"/>
              <w:rPr>
                <w:sz w:val="20"/>
                <w:szCs w:val="20"/>
                <w:color w:val="auto"/>
              </w:rPr>
            </w:pPr>
            <w:r>
              <w:rPr>
                <w:rFonts w:ascii="Arial" w:cs="Arial" w:eastAsia="Arial" w:hAnsi="Arial"/>
                <w:sz w:val="14"/>
                <w:szCs w:val="14"/>
                <w:color w:val="auto"/>
              </w:rPr>
              <w:t>Sanctioned 120,000</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1660" w:type="dxa"/>
            <w:vAlign w:val="bottom"/>
            <w:gridSpan w:val="4"/>
            <w:shd w:val="clear" w:color="auto" w:fill="E5E5E5"/>
          </w:tcPr>
          <w:p>
            <w:pPr>
              <w:jc w:val="center"/>
              <w:ind w:right="20"/>
              <w:spacing w:after="0" w:line="142" w:lineRule="exact"/>
              <w:rPr>
                <w:sz w:val="20"/>
                <w:szCs w:val="20"/>
                <w:color w:val="auto"/>
              </w:rPr>
            </w:pPr>
            <w:r>
              <w:rPr>
                <w:rFonts w:ascii="Arial" w:cs="Arial" w:eastAsia="Arial" w:hAnsi="Arial"/>
                <w:sz w:val="14"/>
                <w:szCs w:val="14"/>
                <w:color w:val="auto"/>
              </w:rPr>
              <w:t>and release of $1.3 Billion</w:t>
            </w:r>
          </w:p>
        </w:tc>
        <w:tc>
          <w:tcPr>
            <w:tcW w:w="12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2120" w:type="dxa"/>
            <w:vAlign w:val="bottom"/>
            <w:gridSpan w:val="3"/>
            <w:shd w:val="clear" w:color="auto" w:fill="E5E5E5"/>
          </w:tcPr>
          <w:p>
            <w:pPr>
              <w:jc w:val="center"/>
              <w:ind w:left="315"/>
              <w:spacing w:after="0" w:line="142" w:lineRule="exact"/>
              <w:rPr>
                <w:sz w:val="20"/>
                <w:szCs w:val="20"/>
                <w:color w:val="auto"/>
              </w:rPr>
            </w:pPr>
            <w:r>
              <w:rPr>
                <w:rFonts w:ascii="Arial" w:cs="Arial" w:eastAsia="Arial" w:hAnsi="Arial"/>
                <w:sz w:val="14"/>
                <w:szCs w:val="14"/>
                <w:color w:val="auto"/>
              </w:rPr>
              <w:t>common units in</w:t>
            </w:r>
          </w:p>
        </w:tc>
        <w:tc>
          <w:tcPr>
            <w:tcW w:w="440" w:type="dxa"/>
            <w:vAlign w:val="bottom"/>
            <w:shd w:val="clear" w:color="auto" w:fill="E5E5E5"/>
          </w:tcPr>
          <w:p>
            <w:pPr>
              <w:spacing w:after="0"/>
              <w:rPr>
                <w:sz w:val="12"/>
                <w:szCs w:val="12"/>
                <w:color w:val="auto"/>
              </w:rPr>
            </w:pPr>
          </w:p>
        </w:tc>
        <w:tc>
          <w:tcPr>
            <w:tcW w:w="240" w:type="dxa"/>
            <w:vAlign w:val="bottom"/>
            <w:tcBorders>
              <w:left w:val="single" w:sz="8" w:color="E5E5E5"/>
            </w:tcBorders>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2180" w:type="dxa"/>
            <w:vAlign w:val="bottom"/>
            <w:gridSpan w:val="4"/>
            <w:shd w:val="clear" w:color="auto" w:fill="E5E5E5"/>
          </w:tcPr>
          <w:p>
            <w:pPr>
              <w:jc w:val="center"/>
              <w:ind w:right="297"/>
              <w:spacing w:after="0" w:line="142" w:lineRule="exact"/>
              <w:rPr>
                <w:sz w:val="20"/>
                <w:szCs w:val="20"/>
                <w:color w:val="auto"/>
              </w:rPr>
            </w:pPr>
            <w:r>
              <w:rPr>
                <w:rFonts w:ascii="Arial" w:cs="Arial" w:eastAsia="Arial" w:hAnsi="Arial"/>
                <w:sz w:val="14"/>
                <w:szCs w:val="14"/>
                <w:color w:val="auto"/>
              </w:rPr>
              <w:t>bopd (gross) development in</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40" w:type="dxa"/>
            <w:vAlign w:val="bottom"/>
            <w:shd w:val="clear" w:color="auto" w:fill="E5E5E5"/>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40" w:type="dxa"/>
            <w:vAlign w:val="bottom"/>
            <w:gridSpan w:val="4"/>
            <w:shd w:val="clear" w:color="auto" w:fill="E5E5E5"/>
          </w:tcPr>
          <w:p>
            <w:pPr>
              <w:spacing w:after="0" w:line="20" w:lineRule="exact"/>
              <w:rPr>
                <w:sz w:val="1"/>
                <w:szCs w:val="1"/>
                <w:color w:val="auto"/>
              </w:rPr>
            </w:pPr>
          </w:p>
        </w:tc>
        <w:tc>
          <w:tcPr>
            <w:tcW w:w="240" w:type="dxa"/>
            <w:vAlign w:val="bottom"/>
            <w:shd w:val="clear" w:color="auto" w:fill="E5E5E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E5E5E5"/>
          </w:tcPr>
          <w:p>
            <w:pPr>
              <w:spacing w:after="0" w:line="20" w:lineRule="exact"/>
              <w:rPr>
                <w:sz w:val="1"/>
                <w:szCs w:val="1"/>
                <w:color w:val="auto"/>
              </w:rPr>
            </w:pPr>
          </w:p>
        </w:tc>
        <w:tc>
          <w:tcPr>
            <w:tcW w:w="80" w:type="dxa"/>
            <w:vAlign w:val="bottom"/>
            <w:shd w:val="clear" w:color="auto" w:fill="E5E5E5"/>
          </w:tcPr>
          <w:p>
            <w:pPr>
              <w:spacing w:after="0" w:line="20" w:lineRule="exact"/>
              <w:rPr>
                <w:sz w:val="1"/>
                <w:szCs w:val="1"/>
                <w:color w:val="auto"/>
              </w:rPr>
            </w:pPr>
          </w:p>
        </w:tc>
        <w:tc>
          <w:tcPr>
            <w:tcW w:w="2560" w:type="dxa"/>
            <w:vAlign w:val="bottom"/>
            <w:gridSpan w:val="4"/>
            <w:vMerge w:val="restart"/>
            <w:shd w:val="clear" w:color="auto" w:fill="E5E5E5"/>
          </w:tcPr>
          <w:p>
            <w:pPr>
              <w:jc w:val="center"/>
              <w:spacing w:after="0"/>
              <w:rPr>
                <w:sz w:val="20"/>
                <w:szCs w:val="20"/>
                <w:color w:val="auto"/>
              </w:rPr>
            </w:pPr>
            <w:r>
              <w:rPr>
                <w:rFonts w:ascii="Arial" w:cs="Arial" w:eastAsia="Arial" w:hAnsi="Arial"/>
                <w:sz w:val="14"/>
                <w:szCs w:val="14"/>
                <w:color w:val="auto"/>
              </w:rPr>
              <w:t>Hess Midstream Partners LP</w:t>
            </w:r>
          </w:p>
        </w:tc>
        <w:tc>
          <w:tcPr>
            <w:tcW w:w="240" w:type="dxa"/>
            <w:vAlign w:val="bottom"/>
            <w:tcBorders>
              <w:left w:val="single" w:sz="8" w:color="E5E5E5"/>
            </w:tcBorders>
          </w:tcPr>
          <w:p>
            <w:pPr>
              <w:spacing w:after="0" w:line="20" w:lineRule="exact"/>
              <w:rPr>
                <w:sz w:val="1"/>
                <w:szCs w:val="1"/>
                <w:color w:val="auto"/>
              </w:rPr>
            </w:pPr>
          </w:p>
        </w:tc>
        <w:tc>
          <w:tcPr>
            <w:tcW w:w="440" w:type="dxa"/>
            <w:vAlign w:val="bottom"/>
            <w:shd w:val="clear" w:color="auto" w:fill="E5E5E5"/>
          </w:tcPr>
          <w:p>
            <w:pPr>
              <w:spacing w:after="0" w:line="20" w:lineRule="exact"/>
              <w:rPr>
                <w:sz w:val="1"/>
                <w:szCs w:val="1"/>
                <w:color w:val="auto"/>
              </w:rPr>
            </w:pPr>
          </w:p>
        </w:tc>
        <w:tc>
          <w:tcPr>
            <w:tcW w:w="2180" w:type="dxa"/>
            <w:vAlign w:val="bottom"/>
            <w:gridSpan w:val="4"/>
            <w:vMerge w:val="restart"/>
            <w:shd w:val="clear" w:color="auto" w:fill="E5E5E5"/>
          </w:tcPr>
          <w:p>
            <w:pPr>
              <w:jc w:val="center"/>
              <w:ind w:right="297"/>
              <w:spacing w:after="0"/>
              <w:rPr>
                <w:sz w:val="20"/>
                <w:szCs w:val="20"/>
                <w:color w:val="auto"/>
              </w:rPr>
            </w:pPr>
            <w:r>
              <w:rPr>
                <w:rFonts w:ascii="Arial" w:cs="Arial" w:eastAsia="Arial" w:hAnsi="Arial"/>
                <w:sz w:val="14"/>
                <w:szCs w:val="14"/>
                <w:color w:val="auto"/>
              </w:rPr>
              <w:t>Stabroek Block in Guyana</w:t>
            </w: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120" w:type="dxa"/>
            <w:vAlign w:val="bottom"/>
          </w:tcPr>
          <w:p>
            <w:pPr>
              <w:spacing w:after="0"/>
              <w:rPr>
                <w:sz w:val="14"/>
                <w:szCs w:val="14"/>
                <w:color w:val="auto"/>
              </w:rPr>
            </w:pPr>
          </w:p>
        </w:tc>
        <w:tc>
          <w:tcPr>
            <w:tcW w:w="2220" w:type="dxa"/>
            <w:vAlign w:val="bottom"/>
            <w:gridSpan w:val="6"/>
            <w:shd w:val="clear" w:color="auto" w:fill="E5E5E5"/>
          </w:tcPr>
          <w:p>
            <w:pPr>
              <w:jc w:val="center"/>
              <w:ind w:left="220"/>
              <w:spacing w:after="0"/>
              <w:rPr>
                <w:sz w:val="20"/>
                <w:szCs w:val="20"/>
                <w:color w:val="auto"/>
              </w:rPr>
            </w:pPr>
            <w:r>
              <w:rPr>
                <w:rFonts w:ascii="Arial" w:cs="Arial" w:eastAsia="Arial" w:hAnsi="Arial"/>
                <w:sz w:val="14"/>
                <w:szCs w:val="14"/>
                <w:color w:val="auto"/>
              </w:rPr>
              <w:t>in asset retirement obligations</w:t>
            </w:r>
          </w:p>
        </w:tc>
        <w:tc>
          <w:tcPr>
            <w:tcW w:w="240" w:type="dxa"/>
            <w:vAlign w:val="bottom"/>
            <w:shd w:val="clear" w:color="auto" w:fill="E5E5E5"/>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2560" w:type="dxa"/>
            <w:vAlign w:val="bottom"/>
            <w:gridSpan w:val="4"/>
            <w:vMerge w:val="continue"/>
            <w:shd w:val="clear" w:color="auto" w:fill="E5E5E5"/>
          </w:tcPr>
          <w:p>
            <w:pPr>
              <w:spacing w:after="0"/>
              <w:rPr>
                <w:sz w:val="14"/>
                <w:szCs w:val="14"/>
                <w:color w:val="auto"/>
              </w:rPr>
            </w:pPr>
          </w:p>
        </w:tc>
        <w:tc>
          <w:tcPr>
            <w:tcW w:w="240" w:type="dxa"/>
            <w:vAlign w:val="bottom"/>
            <w:tcBorders>
              <w:left w:val="single" w:sz="8" w:color="E5E5E5"/>
            </w:tcBorders>
          </w:tcPr>
          <w:p>
            <w:pPr>
              <w:spacing w:after="0"/>
              <w:rPr>
                <w:sz w:val="14"/>
                <w:szCs w:val="14"/>
                <w:color w:val="auto"/>
              </w:rPr>
            </w:pPr>
          </w:p>
        </w:tc>
        <w:tc>
          <w:tcPr>
            <w:tcW w:w="440" w:type="dxa"/>
            <w:vAlign w:val="bottom"/>
            <w:shd w:val="clear" w:color="auto" w:fill="E5E5E5"/>
          </w:tcPr>
          <w:p>
            <w:pPr>
              <w:spacing w:after="0"/>
              <w:rPr>
                <w:sz w:val="14"/>
                <w:szCs w:val="14"/>
                <w:color w:val="auto"/>
              </w:rPr>
            </w:pPr>
          </w:p>
        </w:tc>
        <w:tc>
          <w:tcPr>
            <w:tcW w:w="2180" w:type="dxa"/>
            <w:vAlign w:val="bottom"/>
            <w:gridSpan w:val="4"/>
            <w:vMerge w:val="continue"/>
            <w:shd w:val="clear" w:color="auto" w:fill="E5E5E5"/>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120" w:type="dxa"/>
            <w:vAlign w:val="bottom"/>
          </w:tcPr>
          <w:p>
            <w:pPr>
              <w:spacing w:after="0"/>
              <w:rPr>
                <w:sz w:val="10"/>
                <w:szCs w:val="10"/>
                <w:color w:val="auto"/>
              </w:rPr>
            </w:pPr>
          </w:p>
        </w:tc>
        <w:tc>
          <w:tcPr>
            <w:tcW w:w="440" w:type="dxa"/>
            <w:vAlign w:val="bottom"/>
            <w:shd w:val="clear" w:color="auto" w:fill="E5E5E5"/>
          </w:tcPr>
          <w:p>
            <w:pPr>
              <w:spacing w:after="0"/>
              <w:rPr>
                <w:sz w:val="10"/>
                <w:szCs w:val="10"/>
                <w:color w:val="auto"/>
              </w:rPr>
            </w:pPr>
          </w:p>
        </w:tc>
        <w:tc>
          <w:tcPr>
            <w:tcW w:w="240" w:type="dxa"/>
            <w:vAlign w:val="bottom"/>
            <w:shd w:val="clear" w:color="auto" w:fill="E5E5E5"/>
          </w:tcPr>
          <w:p>
            <w:pPr>
              <w:spacing w:after="0"/>
              <w:rPr>
                <w:sz w:val="10"/>
                <w:szCs w:val="10"/>
                <w:color w:val="auto"/>
              </w:rPr>
            </w:pPr>
          </w:p>
        </w:tc>
        <w:tc>
          <w:tcPr>
            <w:tcW w:w="580" w:type="dxa"/>
            <w:vAlign w:val="bottom"/>
            <w:shd w:val="clear" w:color="auto" w:fill="E5E5E5"/>
          </w:tcPr>
          <w:p>
            <w:pPr>
              <w:spacing w:after="0"/>
              <w:rPr>
                <w:sz w:val="10"/>
                <w:szCs w:val="10"/>
                <w:color w:val="auto"/>
              </w:rPr>
            </w:pPr>
          </w:p>
        </w:tc>
        <w:tc>
          <w:tcPr>
            <w:tcW w:w="240" w:type="dxa"/>
            <w:vAlign w:val="bottom"/>
            <w:shd w:val="clear" w:color="auto" w:fill="E5E5E5"/>
          </w:tcPr>
          <w:p>
            <w:pPr>
              <w:spacing w:after="0"/>
              <w:rPr>
                <w:sz w:val="10"/>
                <w:szCs w:val="10"/>
                <w:color w:val="auto"/>
              </w:rPr>
            </w:pPr>
          </w:p>
        </w:tc>
        <w:tc>
          <w:tcPr>
            <w:tcW w:w="600" w:type="dxa"/>
            <w:vAlign w:val="bottom"/>
            <w:shd w:val="clear" w:color="auto" w:fill="E5E5E5"/>
          </w:tcPr>
          <w:p>
            <w:pPr>
              <w:spacing w:after="0"/>
              <w:rPr>
                <w:sz w:val="10"/>
                <w:szCs w:val="10"/>
                <w:color w:val="auto"/>
              </w:rPr>
            </w:pPr>
          </w:p>
        </w:tc>
        <w:tc>
          <w:tcPr>
            <w:tcW w:w="120" w:type="dxa"/>
            <w:vAlign w:val="bottom"/>
            <w:shd w:val="clear" w:color="auto" w:fill="E5E5E5"/>
          </w:tcPr>
          <w:p>
            <w:pPr>
              <w:spacing w:after="0"/>
              <w:rPr>
                <w:sz w:val="10"/>
                <w:szCs w:val="10"/>
                <w:color w:val="auto"/>
              </w:rPr>
            </w:pPr>
          </w:p>
        </w:tc>
        <w:tc>
          <w:tcPr>
            <w:tcW w:w="240" w:type="dxa"/>
            <w:vAlign w:val="bottom"/>
            <w:shd w:val="clear" w:color="auto" w:fill="E5E5E5"/>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shd w:val="clear" w:color="auto" w:fill="E5E5E5"/>
          </w:tcPr>
          <w:p>
            <w:pPr>
              <w:spacing w:after="0"/>
              <w:rPr>
                <w:sz w:val="10"/>
                <w:szCs w:val="10"/>
                <w:color w:val="auto"/>
              </w:rPr>
            </w:pPr>
          </w:p>
        </w:tc>
        <w:tc>
          <w:tcPr>
            <w:tcW w:w="80" w:type="dxa"/>
            <w:vAlign w:val="bottom"/>
            <w:shd w:val="clear" w:color="auto" w:fill="E5E5E5"/>
          </w:tcPr>
          <w:p>
            <w:pPr>
              <w:spacing w:after="0"/>
              <w:rPr>
                <w:sz w:val="10"/>
                <w:szCs w:val="10"/>
                <w:color w:val="auto"/>
              </w:rPr>
            </w:pPr>
          </w:p>
        </w:tc>
        <w:tc>
          <w:tcPr>
            <w:tcW w:w="1200" w:type="dxa"/>
            <w:vAlign w:val="bottom"/>
            <w:shd w:val="clear" w:color="auto" w:fill="E5E5E5"/>
          </w:tcPr>
          <w:p>
            <w:pPr>
              <w:spacing w:after="0"/>
              <w:rPr>
                <w:sz w:val="10"/>
                <w:szCs w:val="10"/>
                <w:color w:val="auto"/>
              </w:rPr>
            </w:pPr>
          </w:p>
        </w:tc>
        <w:tc>
          <w:tcPr>
            <w:tcW w:w="240" w:type="dxa"/>
            <w:vAlign w:val="bottom"/>
            <w:shd w:val="clear" w:color="auto" w:fill="E5E5E5"/>
          </w:tcPr>
          <w:p>
            <w:pPr>
              <w:spacing w:after="0"/>
              <w:rPr>
                <w:sz w:val="10"/>
                <w:szCs w:val="10"/>
                <w:color w:val="auto"/>
              </w:rPr>
            </w:pPr>
          </w:p>
        </w:tc>
        <w:tc>
          <w:tcPr>
            <w:tcW w:w="680" w:type="dxa"/>
            <w:vAlign w:val="bottom"/>
            <w:shd w:val="clear" w:color="auto" w:fill="E5E5E5"/>
          </w:tcPr>
          <w:p>
            <w:pPr>
              <w:spacing w:after="0"/>
              <w:rPr>
                <w:sz w:val="10"/>
                <w:szCs w:val="10"/>
                <w:color w:val="auto"/>
              </w:rPr>
            </w:pPr>
          </w:p>
        </w:tc>
        <w:tc>
          <w:tcPr>
            <w:tcW w:w="440" w:type="dxa"/>
            <w:vAlign w:val="bottom"/>
            <w:shd w:val="clear" w:color="auto" w:fill="E5E5E5"/>
          </w:tcPr>
          <w:p>
            <w:pPr>
              <w:spacing w:after="0"/>
              <w:rPr>
                <w:sz w:val="10"/>
                <w:szCs w:val="10"/>
                <w:color w:val="auto"/>
              </w:rPr>
            </w:pPr>
          </w:p>
        </w:tc>
        <w:tc>
          <w:tcPr>
            <w:tcW w:w="240" w:type="dxa"/>
            <w:vAlign w:val="bottom"/>
            <w:tcBorders>
              <w:left w:val="single" w:sz="8" w:color="E5E5E5"/>
            </w:tcBorders>
          </w:tcPr>
          <w:p>
            <w:pPr>
              <w:spacing w:after="0"/>
              <w:rPr>
                <w:sz w:val="10"/>
                <w:szCs w:val="10"/>
                <w:color w:val="auto"/>
              </w:rPr>
            </w:pPr>
          </w:p>
        </w:tc>
        <w:tc>
          <w:tcPr>
            <w:tcW w:w="440" w:type="dxa"/>
            <w:vAlign w:val="bottom"/>
            <w:shd w:val="clear" w:color="auto" w:fill="E5E5E5"/>
          </w:tcPr>
          <w:p>
            <w:pPr>
              <w:spacing w:after="0"/>
              <w:rPr>
                <w:sz w:val="10"/>
                <w:szCs w:val="10"/>
                <w:color w:val="auto"/>
              </w:rPr>
            </w:pPr>
          </w:p>
        </w:tc>
        <w:tc>
          <w:tcPr>
            <w:tcW w:w="100" w:type="dxa"/>
            <w:vAlign w:val="bottom"/>
            <w:shd w:val="clear" w:color="auto" w:fill="E5E5E5"/>
          </w:tcPr>
          <w:p>
            <w:pPr>
              <w:spacing w:after="0"/>
              <w:rPr>
                <w:sz w:val="10"/>
                <w:szCs w:val="10"/>
                <w:color w:val="auto"/>
              </w:rPr>
            </w:pPr>
          </w:p>
        </w:tc>
        <w:tc>
          <w:tcPr>
            <w:tcW w:w="520" w:type="dxa"/>
            <w:vAlign w:val="bottom"/>
            <w:shd w:val="clear" w:color="auto" w:fill="E5E5E5"/>
          </w:tcPr>
          <w:p>
            <w:pPr>
              <w:spacing w:after="0"/>
              <w:rPr>
                <w:sz w:val="10"/>
                <w:szCs w:val="10"/>
                <w:color w:val="auto"/>
              </w:rPr>
            </w:pPr>
          </w:p>
        </w:tc>
        <w:tc>
          <w:tcPr>
            <w:tcW w:w="240" w:type="dxa"/>
            <w:vAlign w:val="bottom"/>
            <w:shd w:val="clear" w:color="auto" w:fill="E5E5E5"/>
          </w:tcPr>
          <w:p>
            <w:pPr>
              <w:spacing w:after="0"/>
              <w:rPr>
                <w:sz w:val="10"/>
                <w:szCs w:val="10"/>
                <w:color w:val="auto"/>
              </w:rPr>
            </w:pPr>
          </w:p>
        </w:tc>
        <w:tc>
          <w:tcPr>
            <w:tcW w:w="1320" w:type="dxa"/>
            <w:vAlign w:val="bottom"/>
            <w:shd w:val="clear" w:color="auto" w:fill="E5E5E5"/>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7"/>
        </w:trPr>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gridSpan w:val="3"/>
          </w:tcPr>
          <w:p>
            <w:pPr>
              <w:ind w:left="1020"/>
              <w:spacing w:after="0"/>
              <w:rPr>
                <w:sz w:val="20"/>
                <w:szCs w:val="20"/>
                <w:color w:val="auto"/>
              </w:rPr>
            </w:pPr>
            <w:r>
              <w:rPr>
                <w:rFonts w:ascii="Arial" w:cs="Arial" w:eastAsia="Arial" w:hAnsi="Arial"/>
                <w:sz w:val="18"/>
                <w:szCs w:val="18"/>
                <w:b w:val="1"/>
                <w:bCs w:val="1"/>
                <w:color w:val="007549"/>
              </w:rPr>
              <w:t>Finance</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56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gridSpan w:val="2"/>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gridSpan w:val="2"/>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423"/>
        </w:trPr>
        <w:tc>
          <w:tcPr>
            <w:tcW w:w="2380" w:type="dxa"/>
            <w:vAlign w:val="bottom"/>
            <w:gridSpan w:val="4"/>
            <w:shd w:val="clear" w:color="auto" w:fill="E5E5E5"/>
          </w:tcPr>
          <w:p>
            <w:pPr>
              <w:ind w:left="700"/>
              <w:spacing w:after="0"/>
              <w:rPr>
                <w:sz w:val="20"/>
                <w:szCs w:val="20"/>
                <w:color w:val="auto"/>
              </w:rPr>
            </w:pPr>
            <w:r>
              <w:rPr>
                <w:rFonts w:ascii="Arial" w:cs="Arial" w:eastAsia="Arial" w:hAnsi="Arial"/>
                <w:sz w:val="21"/>
                <w:szCs w:val="21"/>
                <w:b w:val="1"/>
                <w:bCs w:val="1"/>
                <w:color w:val="007549"/>
              </w:rPr>
              <w:t>$8.9 Billion</w:t>
            </w:r>
          </w:p>
        </w:tc>
        <w:tc>
          <w:tcPr>
            <w:tcW w:w="240" w:type="dxa"/>
            <w:vAlign w:val="bottom"/>
          </w:tcPr>
          <w:p>
            <w:pPr>
              <w:spacing w:after="0"/>
              <w:rPr>
                <w:sz w:val="24"/>
                <w:szCs w:val="24"/>
                <w:color w:val="auto"/>
              </w:rPr>
            </w:pPr>
          </w:p>
        </w:tc>
        <w:tc>
          <w:tcPr>
            <w:tcW w:w="600" w:type="dxa"/>
            <w:vAlign w:val="bottom"/>
            <w:shd w:val="clear" w:color="auto" w:fill="E5E5E5"/>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1780" w:type="dxa"/>
            <w:vAlign w:val="bottom"/>
            <w:gridSpan w:val="5"/>
            <w:shd w:val="clear" w:color="auto" w:fill="E5E5E5"/>
          </w:tcPr>
          <w:p>
            <w:pPr>
              <w:ind w:left="60"/>
              <w:spacing w:after="0"/>
              <w:rPr>
                <w:sz w:val="20"/>
                <w:szCs w:val="20"/>
                <w:color w:val="auto"/>
              </w:rPr>
            </w:pPr>
            <w:r>
              <w:rPr>
                <w:rFonts w:ascii="Arial" w:cs="Arial" w:eastAsia="Arial" w:hAnsi="Arial"/>
                <w:sz w:val="21"/>
                <w:szCs w:val="21"/>
                <w:b w:val="1"/>
                <w:bCs w:val="1"/>
                <w:color w:val="007549"/>
              </w:rPr>
              <w:t>$1.5 Billion</w:t>
            </w:r>
          </w:p>
        </w:tc>
        <w:tc>
          <w:tcPr>
            <w:tcW w:w="240" w:type="dxa"/>
            <w:vAlign w:val="bottom"/>
          </w:tcPr>
          <w:p>
            <w:pPr>
              <w:spacing w:after="0"/>
              <w:rPr>
                <w:sz w:val="24"/>
                <w:szCs w:val="24"/>
                <w:color w:val="auto"/>
              </w:rPr>
            </w:pPr>
          </w:p>
        </w:tc>
        <w:tc>
          <w:tcPr>
            <w:tcW w:w="680" w:type="dxa"/>
            <w:vAlign w:val="bottom"/>
            <w:shd w:val="clear" w:color="auto" w:fill="E5E5E5"/>
          </w:tcPr>
          <w:p>
            <w:pPr>
              <w:spacing w:after="0"/>
              <w:rPr>
                <w:sz w:val="24"/>
                <w:szCs w:val="24"/>
                <w:color w:val="auto"/>
              </w:rPr>
            </w:pPr>
          </w:p>
        </w:tc>
        <w:tc>
          <w:tcPr>
            <w:tcW w:w="1220" w:type="dxa"/>
            <w:vAlign w:val="bottom"/>
            <w:gridSpan w:val="4"/>
            <w:shd w:val="clear" w:color="auto" w:fill="E5E5E5"/>
          </w:tcPr>
          <w:p>
            <w:pPr>
              <w:spacing w:after="0"/>
              <w:rPr>
                <w:sz w:val="20"/>
                <w:szCs w:val="20"/>
                <w:color w:val="auto"/>
              </w:rPr>
            </w:pPr>
            <w:r>
              <w:rPr>
                <w:rFonts w:ascii="Arial" w:cs="Arial" w:eastAsia="Arial" w:hAnsi="Arial"/>
                <w:sz w:val="21"/>
                <w:szCs w:val="21"/>
                <w:b w:val="1"/>
                <w:bCs w:val="1"/>
                <w:color w:val="007549"/>
              </w:rPr>
              <w:t>$500 Million</w:t>
            </w:r>
          </w:p>
        </w:tc>
        <w:tc>
          <w:tcPr>
            <w:tcW w:w="520" w:type="dxa"/>
            <w:vAlign w:val="bottom"/>
            <w:shd w:val="clear" w:color="auto" w:fill="E5E5E5"/>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2"/>
            <w:shd w:val="clear" w:color="auto" w:fill="E5E5E5"/>
          </w:tcPr>
          <w:p>
            <w:pPr>
              <w:ind w:left="700"/>
              <w:spacing w:after="0"/>
              <w:rPr>
                <w:sz w:val="20"/>
                <w:szCs w:val="20"/>
                <w:color w:val="auto"/>
              </w:rPr>
            </w:pPr>
            <w:r>
              <w:rPr>
                <w:rFonts w:ascii="Arial" w:cs="Arial" w:eastAsia="Arial" w:hAnsi="Arial"/>
                <w:sz w:val="21"/>
                <w:szCs w:val="21"/>
                <w:b w:val="1"/>
                <w:bCs w:val="1"/>
                <w:color w:val="007549"/>
              </w:rPr>
              <w:t>$150 Million</w:t>
            </w:r>
          </w:p>
        </w:tc>
        <w:tc>
          <w:tcPr>
            <w:tcW w:w="0" w:type="dxa"/>
            <w:vAlign w:val="bottom"/>
          </w:tcPr>
          <w:p>
            <w:pPr>
              <w:spacing w:after="0"/>
              <w:rPr>
                <w:sz w:val="1"/>
                <w:szCs w:val="1"/>
                <w:color w:val="auto"/>
              </w:rPr>
            </w:pPr>
          </w:p>
        </w:tc>
      </w:tr>
      <w:tr>
        <w:trPr>
          <w:trHeight w:val="247"/>
        </w:trPr>
        <w:tc>
          <w:tcPr>
            <w:tcW w:w="2380" w:type="dxa"/>
            <w:vAlign w:val="bottom"/>
            <w:gridSpan w:val="4"/>
            <w:shd w:val="clear" w:color="auto" w:fill="E5E5E5"/>
          </w:tcPr>
          <w:p>
            <w:pPr>
              <w:jc w:val="center"/>
              <w:ind w:left="17"/>
              <w:spacing w:after="0"/>
              <w:rPr>
                <w:sz w:val="20"/>
                <w:szCs w:val="20"/>
                <w:color w:val="auto"/>
              </w:rPr>
            </w:pPr>
            <w:r>
              <w:rPr>
                <w:rFonts w:ascii="Arial" w:cs="Arial" w:eastAsia="Arial" w:hAnsi="Arial"/>
                <w:sz w:val="14"/>
                <w:szCs w:val="14"/>
                <w:color w:val="auto"/>
              </w:rPr>
              <w:t>Total liquidity at 12/31/2017</w:t>
            </w:r>
          </w:p>
        </w:tc>
        <w:tc>
          <w:tcPr>
            <w:tcW w:w="240" w:type="dxa"/>
            <w:vAlign w:val="bottom"/>
          </w:tcPr>
          <w:p>
            <w:pPr>
              <w:spacing w:after="0"/>
              <w:rPr>
                <w:sz w:val="21"/>
                <w:szCs w:val="21"/>
                <w:color w:val="auto"/>
              </w:rPr>
            </w:pPr>
          </w:p>
        </w:tc>
        <w:tc>
          <w:tcPr>
            <w:tcW w:w="60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1780" w:type="dxa"/>
            <w:vAlign w:val="bottom"/>
            <w:gridSpan w:val="5"/>
            <w:shd w:val="clear" w:color="auto" w:fill="E5E5E5"/>
          </w:tcPr>
          <w:p>
            <w:pPr>
              <w:jc w:val="center"/>
              <w:ind w:right="515"/>
              <w:spacing w:after="0"/>
              <w:rPr>
                <w:sz w:val="20"/>
                <w:szCs w:val="20"/>
                <w:color w:val="auto"/>
              </w:rPr>
            </w:pPr>
            <w:r>
              <w:rPr>
                <w:rFonts w:ascii="Arial" w:cs="Arial" w:eastAsia="Arial" w:hAnsi="Arial"/>
                <w:sz w:val="14"/>
                <w:szCs w:val="14"/>
                <w:color w:val="auto"/>
              </w:rPr>
              <w:t>Announced Share</w:t>
            </w:r>
          </w:p>
        </w:tc>
        <w:tc>
          <w:tcPr>
            <w:tcW w:w="240" w:type="dxa"/>
            <w:vAlign w:val="bottom"/>
          </w:tcPr>
          <w:p>
            <w:pPr>
              <w:spacing w:after="0"/>
              <w:rPr>
                <w:sz w:val="21"/>
                <w:szCs w:val="21"/>
                <w:color w:val="auto"/>
              </w:rPr>
            </w:pPr>
          </w:p>
        </w:tc>
        <w:tc>
          <w:tcPr>
            <w:tcW w:w="680" w:type="dxa"/>
            <w:vAlign w:val="bottom"/>
            <w:shd w:val="clear" w:color="auto" w:fill="E5E5E5"/>
          </w:tcPr>
          <w:p>
            <w:pPr>
              <w:spacing w:after="0"/>
              <w:rPr>
                <w:sz w:val="21"/>
                <w:szCs w:val="21"/>
                <w:color w:val="auto"/>
              </w:rPr>
            </w:pPr>
          </w:p>
        </w:tc>
        <w:tc>
          <w:tcPr>
            <w:tcW w:w="1120" w:type="dxa"/>
            <w:vAlign w:val="bottom"/>
            <w:gridSpan w:val="3"/>
            <w:shd w:val="clear" w:color="auto" w:fill="E5E5E5"/>
          </w:tcPr>
          <w:p>
            <w:pPr>
              <w:jc w:val="center"/>
              <w:spacing w:after="0"/>
              <w:rPr>
                <w:sz w:val="20"/>
                <w:szCs w:val="20"/>
                <w:color w:val="auto"/>
              </w:rPr>
            </w:pPr>
            <w:r>
              <w:rPr>
                <w:rFonts w:ascii="Arial" w:cs="Arial" w:eastAsia="Arial" w:hAnsi="Arial"/>
                <w:sz w:val="14"/>
                <w:szCs w:val="14"/>
                <w:color w:val="auto"/>
              </w:rPr>
              <w:t>Announced Debt</w:t>
            </w:r>
          </w:p>
        </w:tc>
        <w:tc>
          <w:tcPr>
            <w:tcW w:w="100" w:type="dxa"/>
            <w:vAlign w:val="bottom"/>
            <w:shd w:val="clear" w:color="auto" w:fill="E5E5E5"/>
          </w:tcPr>
          <w:p>
            <w:pPr>
              <w:spacing w:after="0"/>
              <w:rPr>
                <w:sz w:val="21"/>
                <w:szCs w:val="21"/>
                <w:color w:val="auto"/>
              </w:rPr>
            </w:pPr>
          </w:p>
        </w:tc>
        <w:tc>
          <w:tcPr>
            <w:tcW w:w="520" w:type="dxa"/>
            <w:vAlign w:val="bottom"/>
            <w:shd w:val="clear" w:color="auto" w:fill="E5E5E5"/>
          </w:tcPr>
          <w:p>
            <w:pPr>
              <w:spacing w:after="0"/>
              <w:rPr>
                <w:sz w:val="21"/>
                <w:szCs w:val="21"/>
                <w:color w:val="auto"/>
              </w:rPr>
            </w:pPr>
          </w:p>
        </w:tc>
        <w:tc>
          <w:tcPr>
            <w:tcW w:w="240" w:type="dxa"/>
            <w:vAlign w:val="bottom"/>
          </w:tcPr>
          <w:p>
            <w:pPr>
              <w:spacing w:after="0"/>
              <w:rPr>
                <w:sz w:val="21"/>
                <w:szCs w:val="21"/>
                <w:color w:val="auto"/>
              </w:rPr>
            </w:pPr>
          </w:p>
        </w:tc>
        <w:tc>
          <w:tcPr>
            <w:tcW w:w="2420" w:type="dxa"/>
            <w:vAlign w:val="bottom"/>
            <w:gridSpan w:val="2"/>
            <w:shd w:val="clear" w:color="auto" w:fill="E5E5E5"/>
          </w:tcPr>
          <w:p>
            <w:pPr>
              <w:jc w:val="center"/>
              <w:ind w:left="37"/>
              <w:spacing w:after="0"/>
              <w:rPr>
                <w:sz w:val="20"/>
                <w:szCs w:val="20"/>
                <w:color w:val="auto"/>
              </w:rPr>
            </w:pPr>
            <w:r>
              <w:rPr>
                <w:rFonts w:ascii="Arial" w:cs="Arial" w:eastAsia="Arial" w:hAnsi="Arial"/>
                <w:sz w:val="14"/>
                <w:szCs w:val="14"/>
                <w:color w:val="auto"/>
              </w:rPr>
              <w:t>Annual Cost</w:t>
            </w:r>
          </w:p>
        </w:tc>
        <w:tc>
          <w:tcPr>
            <w:tcW w:w="0" w:type="dxa"/>
            <w:vAlign w:val="bottom"/>
          </w:tcPr>
          <w:p>
            <w:pPr>
              <w:spacing w:after="0"/>
              <w:rPr>
                <w:sz w:val="1"/>
                <w:szCs w:val="1"/>
                <w:color w:val="auto"/>
              </w:rPr>
            </w:pPr>
          </w:p>
        </w:tc>
      </w:tr>
      <w:tr>
        <w:trPr>
          <w:trHeight w:val="170"/>
        </w:trPr>
        <w:tc>
          <w:tcPr>
            <w:tcW w:w="2380" w:type="dxa"/>
            <w:vAlign w:val="bottom"/>
            <w:gridSpan w:val="4"/>
            <w:shd w:val="clear" w:color="auto" w:fill="E5E5E5"/>
          </w:tcPr>
          <w:p>
            <w:pPr>
              <w:jc w:val="center"/>
              <w:ind w:left="17"/>
              <w:spacing w:after="0"/>
              <w:rPr>
                <w:sz w:val="20"/>
                <w:szCs w:val="20"/>
                <w:color w:val="auto"/>
              </w:rPr>
            </w:pPr>
            <w:r>
              <w:rPr>
                <w:rFonts w:ascii="Arial" w:cs="Arial" w:eastAsia="Arial" w:hAnsi="Arial"/>
                <w:sz w:val="14"/>
                <w:szCs w:val="14"/>
                <w:color w:val="auto"/>
              </w:rPr>
              <w:t>including committed facilities</w:t>
            </w:r>
          </w:p>
        </w:tc>
        <w:tc>
          <w:tcPr>
            <w:tcW w:w="240" w:type="dxa"/>
            <w:vAlign w:val="bottom"/>
          </w:tcPr>
          <w:p>
            <w:pPr>
              <w:spacing w:after="0"/>
              <w:rPr>
                <w:sz w:val="14"/>
                <w:szCs w:val="14"/>
                <w:color w:val="auto"/>
              </w:rPr>
            </w:pPr>
          </w:p>
        </w:tc>
        <w:tc>
          <w:tcPr>
            <w:tcW w:w="600" w:type="dxa"/>
            <w:vAlign w:val="bottom"/>
            <w:shd w:val="clear" w:color="auto" w:fill="E5E5E5"/>
          </w:tcPr>
          <w:p>
            <w:pPr>
              <w:spacing w:after="0"/>
              <w:rPr>
                <w:sz w:val="14"/>
                <w:szCs w:val="14"/>
                <w:color w:val="auto"/>
              </w:rPr>
            </w:pPr>
          </w:p>
        </w:tc>
        <w:tc>
          <w:tcPr>
            <w:tcW w:w="1900" w:type="dxa"/>
            <w:vAlign w:val="bottom"/>
            <w:gridSpan w:val="6"/>
            <w:shd w:val="clear" w:color="auto" w:fill="E5E5E5"/>
          </w:tcPr>
          <w:p>
            <w:pPr>
              <w:jc w:val="center"/>
              <w:ind w:right="415"/>
              <w:spacing w:after="0"/>
              <w:rPr>
                <w:sz w:val="20"/>
                <w:szCs w:val="20"/>
                <w:color w:val="auto"/>
              </w:rPr>
            </w:pPr>
            <w:r>
              <w:rPr>
                <w:rFonts w:ascii="Arial" w:cs="Arial" w:eastAsia="Arial" w:hAnsi="Arial"/>
                <w:sz w:val="14"/>
                <w:szCs w:val="14"/>
                <w:color w:val="auto"/>
              </w:rPr>
              <w:t>Repurchase Program</w:t>
            </w:r>
          </w:p>
        </w:tc>
        <w:tc>
          <w:tcPr>
            <w:tcW w:w="240" w:type="dxa"/>
            <w:vAlign w:val="bottom"/>
          </w:tcPr>
          <w:p>
            <w:pPr>
              <w:spacing w:after="0"/>
              <w:rPr>
                <w:sz w:val="14"/>
                <w:szCs w:val="14"/>
                <w:color w:val="auto"/>
              </w:rPr>
            </w:pPr>
          </w:p>
        </w:tc>
        <w:tc>
          <w:tcPr>
            <w:tcW w:w="680" w:type="dxa"/>
            <w:vAlign w:val="bottom"/>
            <w:shd w:val="clear" w:color="auto" w:fill="E5E5E5"/>
          </w:tcPr>
          <w:p>
            <w:pPr>
              <w:spacing w:after="0"/>
              <w:rPr>
                <w:sz w:val="14"/>
                <w:szCs w:val="14"/>
                <w:color w:val="auto"/>
              </w:rPr>
            </w:pPr>
          </w:p>
        </w:tc>
        <w:tc>
          <w:tcPr>
            <w:tcW w:w="1120" w:type="dxa"/>
            <w:vAlign w:val="bottom"/>
            <w:gridSpan w:val="3"/>
            <w:shd w:val="clear" w:color="auto" w:fill="E5E5E5"/>
          </w:tcPr>
          <w:p>
            <w:pPr>
              <w:jc w:val="center"/>
              <w:spacing w:after="0"/>
              <w:rPr>
                <w:sz w:val="20"/>
                <w:szCs w:val="20"/>
                <w:color w:val="auto"/>
              </w:rPr>
            </w:pPr>
            <w:r>
              <w:rPr>
                <w:rFonts w:ascii="Arial" w:cs="Arial" w:eastAsia="Arial" w:hAnsi="Arial"/>
                <w:sz w:val="14"/>
                <w:szCs w:val="14"/>
                <w:color w:val="auto"/>
              </w:rPr>
              <w:t>Reduction Plan</w:t>
            </w:r>
          </w:p>
        </w:tc>
        <w:tc>
          <w:tcPr>
            <w:tcW w:w="100" w:type="dxa"/>
            <w:vAlign w:val="bottom"/>
            <w:shd w:val="clear" w:color="auto" w:fill="E5E5E5"/>
          </w:tcPr>
          <w:p>
            <w:pPr>
              <w:spacing w:after="0"/>
              <w:rPr>
                <w:sz w:val="14"/>
                <w:szCs w:val="14"/>
                <w:color w:val="auto"/>
              </w:rPr>
            </w:pPr>
          </w:p>
        </w:tc>
        <w:tc>
          <w:tcPr>
            <w:tcW w:w="520" w:type="dxa"/>
            <w:vAlign w:val="bottom"/>
            <w:shd w:val="clear" w:color="auto" w:fill="E5E5E5"/>
          </w:tcPr>
          <w:p>
            <w:pPr>
              <w:spacing w:after="0"/>
              <w:rPr>
                <w:sz w:val="14"/>
                <w:szCs w:val="14"/>
                <w:color w:val="auto"/>
              </w:rPr>
            </w:pPr>
          </w:p>
        </w:tc>
        <w:tc>
          <w:tcPr>
            <w:tcW w:w="240" w:type="dxa"/>
            <w:vAlign w:val="bottom"/>
          </w:tcPr>
          <w:p>
            <w:pPr>
              <w:spacing w:after="0"/>
              <w:rPr>
                <w:sz w:val="14"/>
                <w:szCs w:val="14"/>
                <w:color w:val="auto"/>
              </w:rPr>
            </w:pPr>
          </w:p>
        </w:tc>
        <w:tc>
          <w:tcPr>
            <w:tcW w:w="2420" w:type="dxa"/>
            <w:vAlign w:val="bottom"/>
            <w:gridSpan w:val="2"/>
            <w:shd w:val="clear" w:color="auto" w:fill="E5E5E5"/>
          </w:tcPr>
          <w:p>
            <w:pPr>
              <w:jc w:val="center"/>
              <w:ind w:left="37"/>
              <w:spacing w:after="0"/>
              <w:rPr>
                <w:sz w:val="20"/>
                <w:szCs w:val="20"/>
                <w:color w:val="auto"/>
              </w:rPr>
            </w:pPr>
            <w:r>
              <w:rPr>
                <w:rFonts w:ascii="Arial" w:cs="Arial" w:eastAsia="Arial" w:hAnsi="Arial"/>
                <w:sz w:val="14"/>
                <w:szCs w:val="14"/>
                <w:color w:val="auto"/>
              </w:rPr>
              <w:t>Reduction Program</w:t>
            </w:r>
          </w:p>
        </w:tc>
        <w:tc>
          <w:tcPr>
            <w:tcW w:w="0" w:type="dxa"/>
            <w:vAlign w:val="bottom"/>
          </w:tcPr>
          <w:p>
            <w:pPr>
              <w:spacing w:after="0"/>
              <w:rPr>
                <w:sz w:val="1"/>
                <w:szCs w:val="1"/>
                <w:color w:val="auto"/>
              </w:rPr>
            </w:pPr>
          </w:p>
        </w:tc>
      </w:tr>
      <w:tr>
        <w:trPr>
          <w:trHeight w:val="118"/>
        </w:trPr>
        <w:tc>
          <w:tcPr>
            <w:tcW w:w="1120" w:type="dxa"/>
            <w:vAlign w:val="bottom"/>
            <w:shd w:val="clear" w:color="auto" w:fill="E5E5E5"/>
          </w:tcPr>
          <w:p>
            <w:pPr>
              <w:spacing w:after="0"/>
              <w:rPr>
                <w:sz w:val="10"/>
                <w:szCs w:val="10"/>
                <w:color w:val="auto"/>
              </w:rPr>
            </w:pPr>
          </w:p>
        </w:tc>
        <w:tc>
          <w:tcPr>
            <w:tcW w:w="440" w:type="dxa"/>
            <w:vAlign w:val="bottom"/>
            <w:shd w:val="clear" w:color="auto" w:fill="E5E5E5"/>
          </w:tcPr>
          <w:p>
            <w:pPr>
              <w:spacing w:after="0"/>
              <w:rPr>
                <w:sz w:val="10"/>
                <w:szCs w:val="10"/>
                <w:color w:val="auto"/>
              </w:rPr>
            </w:pPr>
          </w:p>
        </w:tc>
        <w:tc>
          <w:tcPr>
            <w:tcW w:w="240" w:type="dxa"/>
            <w:vAlign w:val="bottom"/>
            <w:shd w:val="clear" w:color="auto" w:fill="E5E5E5"/>
          </w:tcPr>
          <w:p>
            <w:pPr>
              <w:spacing w:after="0"/>
              <w:rPr>
                <w:sz w:val="10"/>
                <w:szCs w:val="10"/>
                <w:color w:val="auto"/>
              </w:rPr>
            </w:pPr>
          </w:p>
        </w:tc>
        <w:tc>
          <w:tcPr>
            <w:tcW w:w="580" w:type="dxa"/>
            <w:vAlign w:val="bottom"/>
            <w:shd w:val="clear" w:color="auto" w:fill="E5E5E5"/>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shd w:val="clear" w:color="auto" w:fill="E5E5E5"/>
          </w:tcPr>
          <w:p>
            <w:pPr>
              <w:spacing w:after="0"/>
              <w:rPr>
                <w:sz w:val="10"/>
                <w:szCs w:val="10"/>
                <w:color w:val="auto"/>
              </w:rPr>
            </w:pPr>
          </w:p>
        </w:tc>
        <w:tc>
          <w:tcPr>
            <w:tcW w:w="120" w:type="dxa"/>
            <w:vAlign w:val="bottom"/>
            <w:shd w:val="clear" w:color="auto" w:fill="E5E5E5"/>
          </w:tcPr>
          <w:p>
            <w:pPr>
              <w:spacing w:after="0"/>
              <w:rPr>
                <w:sz w:val="10"/>
                <w:szCs w:val="10"/>
                <w:color w:val="auto"/>
              </w:rPr>
            </w:pPr>
          </w:p>
        </w:tc>
        <w:tc>
          <w:tcPr>
            <w:tcW w:w="240" w:type="dxa"/>
            <w:vAlign w:val="bottom"/>
            <w:shd w:val="clear" w:color="auto" w:fill="E5E5E5"/>
          </w:tcPr>
          <w:p>
            <w:pPr>
              <w:spacing w:after="0"/>
              <w:rPr>
                <w:sz w:val="10"/>
                <w:szCs w:val="10"/>
                <w:color w:val="auto"/>
              </w:rPr>
            </w:pPr>
          </w:p>
        </w:tc>
        <w:tc>
          <w:tcPr>
            <w:tcW w:w="200" w:type="dxa"/>
            <w:vAlign w:val="bottom"/>
            <w:tcBorders>
              <w:left w:val="single" w:sz="8" w:color="E5E5E5"/>
            </w:tcBorders>
            <w:shd w:val="clear" w:color="auto" w:fill="E5E5E5"/>
          </w:tcPr>
          <w:p>
            <w:pPr>
              <w:spacing w:after="0"/>
              <w:rPr>
                <w:sz w:val="10"/>
                <w:szCs w:val="10"/>
                <w:color w:val="auto"/>
              </w:rPr>
            </w:pPr>
          </w:p>
        </w:tc>
        <w:tc>
          <w:tcPr>
            <w:tcW w:w="60" w:type="dxa"/>
            <w:vAlign w:val="bottom"/>
            <w:shd w:val="clear" w:color="auto" w:fill="E5E5E5"/>
          </w:tcPr>
          <w:p>
            <w:pPr>
              <w:spacing w:after="0"/>
              <w:rPr>
                <w:sz w:val="10"/>
                <w:szCs w:val="10"/>
                <w:color w:val="auto"/>
              </w:rPr>
            </w:pPr>
          </w:p>
        </w:tc>
        <w:tc>
          <w:tcPr>
            <w:tcW w:w="80" w:type="dxa"/>
            <w:vAlign w:val="bottom"/>
            <w:shd w:val="clear" w:color="auto" w:fill="E5E5E5"/>
          </w:tcPr>
          <w:p>
            <w:pPr>
              <w:spacing w:after="0"/>
              <w:rPr>
                <w:sz w:val="10"/>
                <w:szCs w:val="10"/>
                <w:color w:val="auto"/>
              </w:rPr>
            </w:pPr>
          </w:p>
        </w:tc>
        <w:tc>
          <w:tcPr>
            <w:tcW w:w="1200" w:type="dxa"/>
            <w:vAlign w:val="bottom"/>
            <w:shd w:val="clear" w:color="auto" w:fill="E5E5E5"/>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gridSpan w:val="2"/>
            <w:shd w:val="clear" w:color="auto" w:fill="E5E5E5"/>
          </w:tcPr>
          <w:p>
            <w:pPr>
              <w:spacing w:after="0"/>
              <w:rPr>
                <w:sz w:val="10"/>
                <w:szCs w:val="10"/>
                <w:color w:val="auto"/>
              </w:rPr>
            </w:pPr>
          </w:p>
        </w:tc>
        <w:tc>
          <w:tcPr>
            <w:tcW w:w="240" w:type="dxa"/>
            <w:vAlign w:val="bottom"/>
            <w:tcBorders>
              <w:left w:val="single" w:sz="8" w:color="E5E5E5"/>
              <w:right w:val="single" w:sz="8" w:color="E5E5E5"/>
            </w:tcBorders>
            <w:shd w:val="clear" w:color="auto" w:fill="E5E5E5"/>
          </w:tcPr>
          <w:p>
            <w:pPr>
              <w:spacing w:after="0"/>
              <w:rPr>
                <w:sz w:val="10"/>
                <w:szCs w:val="10"/>
                <w:color w:val="auto"/>
              </w:rPr>
            </w:pPr>
          </w:p>
        </w:tc>
        <w:tc>
          <w:tcPr>
            <w:tcW w:w="440" w:type="dxa"/>
            <w:vAlign w:val="bottom"/>
            <w:shd w:val="clear" w:color="auto" w:fill="E5E5E5"/>
          </w:tcPr>
          <w:p>
            <w:pPr>
              <w:spacing w:after="0"/>
              <w:rPr>
                <w:sz w:val="10"/>
                <w:szCs w:val="10"/>
                <w:color w:val="auto"/>
              </w:rPr>
            </w:pPr>
          </w:p>
        </w:tc>
        <w:tc>
          <w:tcPr>
            <w:tcW w:w="100" w:type="dxa"/>
            <w:vAlign w:val="bottom"/>
            <w:shd w:val="clear" w:color="auto" w:fill="E5E5E5"/>
          </w:tcPr>
          <w:p>
            <w:pPr>
              <w:spacing w:after="0"/>
              <w:rPr>
                <w:sz w:val="10"/>
                <w:szCs w:val="10"/>
                <w:color w:val="auto"/>
              </w:rPr>
            </w:pPr>
          </w:p>
        </w:tc>
        <w:tc>
          <w:tcPr>
            <w:tcW w:w="520" w:type="dxa"/>
            <w:vAlign w:val="bottom"/>
            <w:shd w:val="clear" w:color="auto" w:fill="E5E5E5"/>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shd w:val="clear" w:color="auto" w:fill="E5E5E5"/>
          </w:tcPr>
          <w:p>
            <w:pPr>
              <w:spacing w:after="0"/>
              <w:rPr>
                <w:sz w:val="10"/>
                <w:szCs w:val="10"/>
                <w:color w:val="auto"/>
              </w:rPr>
            </w:pPr>
          </w:p>
        </w:tc>
        <w:tc>
          <w:tcPr>
            <w:tcW w:w="1100" w:type="dxa"/>
            <w:vAlign w:val="bottom"/>
            <w:shd w:val="clear" w:color="auto" w:fill="E5E5E5"/>
          </w:tcPr>
          <w:p>
            <w:pPr>
              <w:spacing w:after="0"/>
              <w:rPr>
                <w:sz w:val="10"/>
                <w:szCs w:val="10"/>
                <w:color w:val="auto"/>
              </w:rPr>
            </w:pPr>
          </w:p>
        </w:tc>
        <w:tc>
          <w:tcPr>
            <w:tcW w:w="0" w:type="dxa"/>
            <w:vAlign w:val="bottom"/>
          </w:tcPr>
          <w:p>
            <w:pPr>
              <w:spacing w:after="0"/>
              <w:rPr>
                <w:sz w:val="1"/>
                <w:szCs w:val="1"/>
                <w:color w:val="auto"/>
              </w:rPr>
            </w:pPr>
          </w:p>
        </w:tc>
      </w:tr>
      <w:tr>
        <w:trPr>
          <w:trHeight w:val="637"/>
        </w:trPr>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gridSpan w:val="4"/>
          </w:tcPr>
          <w:p>
            <w:pPr>
              <w:jc w:val="center"/>
              <w:ind w:left="195"/>
              <w:spacing w:after="0"/>
              <w:rPr>
                <w:sz w:val="20"/>
                <w:szCs w:val="20"/>
                <w:color w:val="auto"/>
              </w:rPr>
            </w:pPr>
            <w:r>
              <w:rPr>
                <w:rFonts w:ascii="Arial" w:cs="Arial" w:eastAsia="Arial" w:hAnsi="Arial"/>
                <w:sz w:val="18"/>
                <w:szCs w:val="18"/>
                <w:b w:val="1"/>
                <w:bCs w:val="1"/>
                <w:color w:val="007549"/>
                <w:w w:val="97"/>
              </w:rPr>
              <w:t>Exploration and Reserves</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56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1420" w:type="dxa"/>
            <w:vAlign w:val="bottom"/>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gridSpan w:val="2"/>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180" w:type="dxa"/>
            <w:vAlign w:val="bottom"/>
            <w:gridSpan w:val="4"/>
          </w:tcPr>
          <w:p>
            <w:pPr>
              <w:spacing w:after="0"/>
              <w:rPr>
                <w:sz w:val="3"/>
                <w:szCs w:val="3"/>
                <w:color w:val="auto"/>
              </w:rPr>
            </w:pPr>
          </w:p>
        </w:tc>
        <w:tc>
          <w:tcPr>
            <w:tcW w:w="0" w:type="dxa"/>
            <w:vAlign w:val="bottom"/>
          </w:tcPr>
          <w:p>
            <w:pPr>
              <w:spacing w:after="0"/>
              <w:rPr>
                <w:sz w:val="1"/>
                <w:szCs w:val="1"/>
                <w:color w:val="auto"/>
              </w:rPr>
            </w:pPr>
          </w:p>
        </w:tc>
      </w:tr>
      <w:tr>
        <w:trPr>
          <w:trHeight w:val="423"/>
        </w:trPr>
        <w:tc>
          <w:tcPr>
            <w:tcW w:w="1120" w:type="dxa"/>
            <w:vAlign w:val="bottom"/>
          </w:tcPr>
          <w:p>
            <w:pPr>
              <w:spacing w:after="0"/>
              <w:rPr>
                <w:sz w:val="24"/>
                <w:szCs w:val="24"/>
                <w:color w:val="auto"/>
              </w:rPr>
            </w:pPr>
          </w:p>
        </w:tc>
        <w:tc>
          <w:tcPr>
            <w:tcW w:w="2100" w:type="dxa"/>
            <w:vAlign w:val="bottom"/>
            <w:gridSpan w:val="5"/>
            <w:shd w:val="clear" w:color="auto" w:fill="E5E5E5"/>
          </w:tcPr>
          <w:p>
            <w:pPr>
              <w:jc w:val="right"/>
              <w:ind w:right="500"/>
              <w:spacing w:after="0"/>
              <w:rPr>
                <w:sz w:val="20"/>
                <w:szCs w:val="20"/>
                <w:color w:val="auto"/>
              </w:rPr>
            </w:pPr>
            <w:r>
              <w:rPr>
                <w:rFonts w:ascii="Arial" w:cs="Arial" w:eastAsia="Arial" w:hAnsi="Arial"/>
                <w:sz w:val="21"/>
                <w:szCs w:val="21"/>
                <w:b w:val="1"/>
                <w:bCs w:val="1"/>
                <w:color w:val="007549"/>
              </w:rPr>
              <w:t>351%</w:t>
            </w:r>
          </w:p>
        </w:tc>
        <w:tc>
          <w:tcPr>
            <w:tcW w:w="120" w:type="dxa"/>
            <w:vAlign w:val="bottom"/>
            <w:shd w:val="clear" w:color="auto" w:fill="E5E5E5"/>
          </w:tcPr>
          <w:p>
            <w:pPr>
              <w:spacing w:after="0"/>
              <w:rPr>
                <w:sz w:val="24"/>
                <w:szCs w:val="24"/>
                <w:color w:val="auto"/>
              </w:rPr>
            </w:pPr>
          </w:p>
        </w:tc>
        <w:tc>
          <w:tcPr>
            <w:tcW w:w="240" w:type="dxa"/>
            <w:vAlign w:val="bottom"/>
            <w:shd w:val="clear" w:color="auto" w:fill="E5E5E5"/>
          </w:tcPr>
          <w:p>
            <w:pPr>
              <w:spacing w:after="0"/>
              <w:rPr>
                <w:sz w:val="24"/>
                <w:szCs w:val="24"/>
                <w:color w:val="auto"/>
              </w:rPr>
            </w:pPr>
          </w:p>
        </w:tc>
        <w:tc>
          <w:tcPr>
            <w:tcW w:w="200" w:type="dxa"/>
            <w:vAlign w:val="bottom"/>
            <w:tcBorders>
              <w:left w:val="single" w:sz="8" w:color="E5E5E5"/>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shd w:val="clear" w:color="auto" w:fill="E5E5E5"/>
          </w:tcPr>
          <w:p>
            <w:pPr>
              <w:spacing w:after="0"/>
              <w:rPr>
                <w:sz w:val="24"/>
                <w:szCs w:val="24"/>
                <w:color w:val="auto"/>
              </w:rPr>
            </w:pPr>
          </w:p>
        </w:tc>
        <w:tc>
          <w:tcPr>
            <w:tcW w:w="1440" w:type="dxa"/>
            <w:vAlign w:val="bottom"/>
            <w:gridSpan w:val="2"/>
            <w:shd w:val="clear" w:color="auto" w:fill="E5E5E5"/>
          </w:tcPr>
          <w:p>
            <w:pPr>
              <w:jc w:val="right"/>
              <w:ind w:right="60"/>
              <w:spacing w:after="0"/>
              <w:rPr>
                <w:sz w:val="20"/>
                <w:szCs w:val="20"/>
                <w:color w:val="auto"/>
              </w:rPr>
            </w:pPr>
            <w:r>
              <w:rPr>
                <w:rFonts w:ascii="Arial" w:cs="Arial" w:eastAsia="Arial" w:hAnsi="Arial"/>
                <w:sz w:val="21"/>
                <w:szCs w:val="21"/>
                <w:b w:val="1"/>
                <w:bCs w:val="1"/>
                <w:color w:val="007549"/>
              </w:rPr>
              <w:t>5</w:t>
            </w:r>
          </w:p>
        </w:tc>
        <w:tc>
          <w:tcPr>
            <w:tcW w:w="680" w:type="dxa"/>
            <w:vAlign w:val="bottom"/>
            <w:shd w:val="clear" w:color="auto" w:fill="E5E5E5"/>
          </w:tcPr>
          <w:p>
            <w:pPr>
              <w:spacing w:after="0"/>
              <w:rPr>
                <w:sz w:val="24"/>
                <w:szCs w:val="24"/>
                <w:color w:val="auto"/>
              </w:rPr>
            </w:pPr>
          </w:p>
        </w:tc>
        <w:tc>
          <w:tcPr>
            <w:tcW w:w="440" w:type="dxa"/>
            <w:vAlign w:val="bottom"/>
            <w:shd w:val="clear" w:color="auto" w:fill="E5E5E5"/>
          </w:tcPr>
          <w:p>
            <w:pPr>
              <w:spacing w:after="0"/>
              <w:rPr>
                <w:sz w:val="24"/>
                <w:szCs w:val="24"/>
                <w:color w:val="auto"/>
              </w:rPr>
            </w:pPr>
          </w:p>
        </w:tc>
        <w:tc>
          <w:tcPr>
            <w:tcW w:w="240" w:type="dxa"/>
            <w:vAlign w:val="bottom"/>
            <w:tcBorders>
              <w:right w:val="single" w:sz="8" w:color="E5E5E5"/>
            </w:tcBorders>
          </w:tcPr>
          <w:p>
            <w:pPr>
              <w:spacing w:after="0"/>
              <w:rPr>
                <w:sz w:val="24"/>
                <w:szCs w:val="24"/>
                <w:color w:val="auto"/>
              </w:rPr>
            </w:pPr>
          </w:p>
        </w:tc>
        <w:tc>
          <w:tcPr>
            <w:tcW w:w="440" w:type="dxa"/>
            <w:vAlign w:val="bottom"/>
            <w:shd w:val="clear" w:color="auto" w:fill="E5E5E5"/>
          </w:tcPr>
          <w:p>
            <w:pPr>
              <w:spacing w:after="0"/>
              <w:rPr>
                <w:sz w:val="24"/>
                <w:szCs w:val="24"/>
                <w:color w:val="auto"/>
              </w:rPr>
            </w:pPr>
          </w:p>
        </w:tc>
        <w:tc>
          <w:tcPr>
            <w:tcW w:w="100" w:type="dxa"/>
            <w:vAlign w:val="bottom"/>
            <w:shd w:val="clear" w:color="auto" w:fill="E5E5E5"/>
          </w:tcPr>
          <w:p>
            <w:pPr>
              <w:spacing w:after="0"/>
              <w:rPr>
                <w:sz w:val="24"/>
                <w:szCs w:val="24"/>
                <w:color w:val="auto"/>
              </w:rPr>
            </w:pPr>
          </w:p>
        </w:tc>
        <w:tc>
          <w:tcPr>
            <w:tcW w:w="2080" w:type="dxa"/>
            <w:vAlign w:val="bottom"/>
            <w:gridSpan w:val="3"/>
            <w:shd w:val="clear" w:color="auto" w:fill="E5E5E5"/>
          </w:tcPr>
          <w:p>
            <w:pPr>
              <w:jc w:val="center"/>
              <w:ind w:right="317"/>
              <w:spacing w:after="0"/>
              <w:rPr>
                <w:sz w:val="20"/>
                <w:szCs w:val="20"/>
                <w:color w:val="auto"/>
              </w:rPr>
            </w:pPr>
            <w:r>
              <w:rPr>
                <w:rFonts w:ascii="Arial" w:cs="Arial" w:eastAsia="Arial" w:hAnsi="Arial"/>
                <w:sz w:val="21"/>
                <w:szCs w:val="21"/>
                <w:b w:val="1"/>
                <w:bCs w:val="1"/>
                <w:color w:val="007549"/>
              </w:rPr>
              <w:t>Nearly 3X</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120" w:type="dxa"/>
            <w:vAlign w:val="bottom"/>
          </w:tcPr>
          <w:p>
            <w:pPr>
              <w:spacing w:after="0"/>
              <w:rPr>
                <w:sz w:val="21"/>
                <w:szCs w:val="21"/>
                <w:color w:val="auto"/>
              </w:rPr>
            </w:pPr>
          </w:p>
        </w:tc>
        <w:tc>
          <w:tcPr>
            <w:tcW w:w="2220" w:type="dxa"/>
            <w:vAlign w:val="bottom"/>
            <w:gridSpan w:val="6"/>
            <w:shd w:val="clear" w:color="auto" w:fill="E5E5E5"/>
          </w:tcPr>
          <w:p>
            <w:pPr>
              <w:jc w:val="center"/>
              <w:ind w:left="280"/>
              <w:spacing w:after="0"/>
              <w:rPr>
                <w:sz w:val="20"/>
                <w:szCs w:val="20"/>
                <w:color w:val="auto"/>
              </w:rPr>
            </w:pPr>
            <w:r>
              <w:rPr>
                <w:rFonts w:ascii="Arial" w:cs="Arial" w:eastAsia="Arial" w:hAnsi="Arial"/>
                <w:sz w:val="14"/>
                <w:szCs w:val="14"/>
                <w:color w:val="auto"/>
              </w:rPr>
              <w:t>Reserve Replacement Ratio</w:t>
            </w:r>
          </w:p>
        </w:tc>
        <w:tc>
          <w:tcPr>
            <w:tcW w:w="240" w:type="dxa"/>
            <w:vAlign w:val="bottom"/>
            <w:shd w:val="clear" w:color="auto" w:fill="E5E5E5"/>
          </w:tcPr>
          <w:p>
            <w:pPr>
              <w:spacing w:after="0"/>
              <w:rPr>
                <w:sz w:val="21"/>
                <w:szCs w:val="21"/>
                <w:color w:val="auto"/>
              </w:rPr>
            </w:pPr>
          </w:p>
        </w:tc>
        <w:tc>
          <w:tcPr>
            <w:tcW w:w="200" w:type="dxa"/>
            <w:vAlign w:val="bottom"/>
            <w:tcBorders>
              <w:left w:val="single" w:sz="8" w:color="E5E5E5"/>
            </w:tcBorders>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shd w:val="clear" w:color="auto" w:fill="E5E5E5"/>
          </w:tcPr>
          <w:p>
            <w:pPr>
              <w:spacing w:after="0"/>
              <w:rPr>
                <w:sz w:val="21"/>
                <w:szCs w:val="21"/>
                <w:color w:val="auto"/>
              </w:rPr>
            </w:pPr>
          </w:p>
        </w:tc>
        <w:tc>
          <w:tcPr>
            <w:tcW w:w="2120" w:type="dxa"/>
            <w:vAlign w:val="bottom"/>
            <w:gridSpan w:val="3"/>
            <w:shd w:val="clear" w:color="auto" w:fill="E5E5E5"/>
          </w:tcPr>
          <w:p>
            <w:pPr>
              <w:jc w:val="center"/>
              <w:ind w:left="355"/>
              <w:spacing w:after="0"/>
              <w:rPr>
                <w:sz w:val="20"/>
                <w:szCs w:val="20"/>
                <w:color w:val="auto"/>
              </w:rPr>
            </w:pPr>
            <w:r>
              <w:rPr>
                <w:rFonts w:ascii="Arial" w:cs="Arial" w:eastAsia="Arial" w:hAnsi="Arial"/>
                <w:sz w:val="14"/>
                <w:szCs w:val="14"/>
                <w:color w:val="auto"/>
              </w:rPr>
              <w:t>Successful exploration and</w:t>
            </w:r>
          </w:p>
        </w:tc>
        <w:tc>
          <w:tcPr>
            <w:tcW w:w="440" w:type="dxa"/>
            <w:vAlign w:val="bottom"/>
            <w:shd w:val="clear" w:color="auto" w:fill="E5E5E5"/>
          </w:tcPr>
          <w:p>
            <w:pPr>
              <w:spacing w:after="0"/>
              <w:rPr>
                <w:sz w:val="21"/>
                <w:szCs w:val="21"/>
                <w:color w:val="auto"/>
              </w:rPr>
            </w:pPr>
          </w:p>
        </w:tc>
        <w:tc>
          <w:tcPr>
            <w:tcW w:w="240" w:type="dxa"/>
            <w:vAlign w:val="bottom"/>
            <w:tcBorders>
              <w:right w:val="single" w:sz="8" w:color="E5E5E5"/>
            </w:tcBorders>
          </w:tcPr>
          <w:p>
            <w:pPr>
              <w:spacing w:after="0"/>
              <w:rPr>
                <w:sz w:val="21"/>
                <w:szCs w:val="21"/>
                <w:color w:val="auto"/>
              </w:rPr>
            </w:pPr>
          </w:p>
        </w:tc>
        <w:tc>
          <w:tcPr>
            <w:tcW w:w="44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2080" w:type="dxa"/>
            <w:vAlign w:val="bottom"/>
            <w:gridSpan w:val="3"/>
            <w:shd w:val="clear" w:color="auto" w:fill="E5E5E5"/>
          </w:tcPr>
          <w:p>
            <w:pPr>
              <w:jc w:val="center"/>
              <w:ind w:right="397"/>
              <w:spacing w:after="0"/>
              <w:rPr>
                <w:sz w:val="20"/>
                <w:szCs w:val="20"/>
                <w:color w:val="auto"/>
              </w:rPr>
            </w:pPr>
            <w:r>
              <w:rPr>
                <w:rFonts w:ascii="Arial" w:cs="Arial" w:eastAsia="Arial" w:hAnsi="Arial"/>
                <w:sz w:val="14"/>
                <w:szCs w:val="14"/>
                <w:color w:val="auto"/>
              </w:rPr>
              <w:t>Guyana gross discovered</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120" w:type="dxa"/>
            <w:vAlign w:val="bottom"/>
          </w:tcPr>
          <w:p>
            <w:pPr>
              <w:spacing w:after="0"/>
              <w:rPr>
                <w:sz w:val="13"/>
                <w:szCs w:val="13"/>
                <w:color w:val="auto"/>
              </w:rPr>
            </w:pPr>
          </w:p>
        </w:tc>
        <w:tc>
          <w:tcPr>
            <w:tcW w:w="2460" w:type="dxa"/>
            <w:vAlign w:val="bottom"/>
            <w:gridSpan w:val="7"/>
            <w:shd w:val="clear" w:color="auto" w:fill="E5E5E5"/>
          </w:tcPr>
          <w:p>
            <w:pPr>
              <w:jc w:val="center"/>
              <w:ind w:left="40"/>
              <w:spacing w:after="0" w:line="160" w:lineRule="exact"/>
              <w:rPr>
                <w:sz w:val="20"/>
                <w:szCs w:val="20"/>
                <w:color w:val="auto"/>
              </w:rPr>
            </w:pPr>
            <w:r>
              <w:rPr>
                <w:rFonts w:ascii="Arial" w:cs="Arial" w:eastAsia="Arial" w:hAnsi="Arial"/>
                <w:sz w:val="14"/>
                <w:szCs w:val="14"/>
                <w:color w:val="auto"/>
              </w:rPr>
              <w:t>at a Finding and Development cost</w:t>
            </w:r>
          </w:p>
        </w:tc>
        <w:tc>
          <w:tcPr>
            <w:tcW w:w="200" w:type="dxa"/>
            <w:vAlign w:val="bottom"/>
            <w:tcBorders>
              <w:left w:val="single" w:sz="8" w:color="E5E5E5"/>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shd w:val="clear" w:color="auto" w:fill="E5E5E5"/>
          </w:tcPr>
          <w:p>
            <w:pPr>
              <w:spacing w:after="0"/>
              <w:rPr>
                <w:sz w:val="13"/>
                <w:szCs w:val="13"/>
                <w:color w:val="auto"/>
              </w:rPr>
            </w:pPr>
          </w:p>
        </w:tc>
        <w:tc>
          <w:tcPr>
            <w:tcW w:w="2560" w:type="dxa"/>
            <w:vAlign w:val="bottom"/>
            <w:gridSpan w:val="4"/>
            <w:shd w:val="clear" w:color="auto" w:fill="E5E5E5"/>
          </w:tcPr>
          <w:p>
            <w:pPr>
              <w:jc w:val="center"/>
              <w:spacing w:after="0" w:line="160" w:lineRule="exact"/>
              <w:rPr>
                <w:sz w:val="20"/>
                <w:szCs w:val="20"/>
                <w:color w:val="auto"/>
              </w:rPr>
            </w:pPr>
            <w:r>
              <w:rPr>
                <w:rFonts w:ascii="Arial" w:cs="Arial" w:eastAsia="Arial" w:hAnsi="Arial"/>
                <w:sz w:val="14"/>
                <w:szCs w:val="14"/>
                <w:color w:val="auto"/>
              </w:rPr>
              <w:t>appraisal wells in Guyana in 2017</w:t>
            </w:r>
          </w:p>
        </w:tc>
        <w:tc>
          <w:tcPr>
            <w:tcW w:w="240" w:type="dxa"/>
            <w:vAlign w:val="bottom"/>
            <w:tcBorders>
              <w:right w:val="single" w:sz="8" w:color="E5E5E5"/>
            </w:tcBorders>
          </w:tcPr>
          <w:p>
            <w:pPr>
              <w:spacing w:after="0"/>
              <w:rPr>
                <w:sz w:val="13"/>
                <w:szCs w:val="13"/>
                <w:color w:val="auto"/>
              </w:rPr>
            </w:pPr>
          </w:p>
        </w:tc>
        <w:tc>
          <w:tcPr>
            <w:tcW w:w="2620" w:type="dxa"/>
            <w:vAlign w:val="bottom"/>
            <w:gridSpan w:val="5"/>
            <w:shd w:val="clear" w:color="auto" w:fill="E5E5E5"/>
          </w:tcPr>
          <w:p>
            <w:pPr>
              <w:jc w:val="center"/>
              <w:spacing w:after="0" w:line="160" w:lineRule="exact"/>
              <w:rPr>
                <w:sz w:val="20"/>
                <w:szCs w:val="20"/>
                <w:color w:val="auto"/>
              </w:rPr>
            </w:pPr>
            <w:r>
              <w:rPr>
                <w:rFonts w:ascii="Arial" w:cs="Arial" w:eastAsia="Arial" w:hAnsi="Arial"/>
                <w:sz w:val="14"/>
                <w:szCs w:val="14"/>
                <w:color w:val="auto"/>
              </w:rPr>
              <w:t>recoverable resources nearly triple</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440" w:type="dxa"/>
            <w:vAlign w:val="bottom"/>
            <w:shd w:val="clear" w:color="auto" w:fill="E5E5E5"/>
          </w:tcPr>
          <w:p>
            <w:pPr>
              <w:spacing w:after="0"/>
              <w:rPr>
                <w:sz w:val="14"/>
                <w:szCs w:val="14"/>
                <w:color w:val="auto"/>
              </w:rPr>
            </w:pPr>
          </w:p>
        </w:tc>
        <w:tc>
          <w:tcPr>
            <w:tcW w:w="1660" w:type="dxa"/>
            <w:vAlign w:val="bottom"/>
            <w:gridSpan w:val="4"/>
            <w:shd w:val="clear" w:color="auto" w:fill="E5E5E5"/>
          </w:tcPr>
          <w:p>
            <w:pPr>
              <w:jc w:val="center"/>
              <w:spacing w:after="0"/>
              <w:rPr>
                <w:sz w:val="20"/>
                <w:szCs w:val="20"/>
                <w:color w:val="auto"/>
              </w:rPr>
            </w:pPr>
            <w:r>
              <w:rPr>
                <w:rFonts w:ascii="Arial" w:cs="Arial" w:eastAsia="Arial" w:hAnsi="Arial"/>
                <w:sz w:val="14"/>
                <w:szCs w:val="14"/>
                <w:color w:val="auto"/>
              </w:rPr>
              <w:t>of just over $5 per boe</w:t>
            </w:r>
          </w:p>
        </w:tc>
        <w:tc>
          <w:tcPr>
            <w:tcW w:w="120" w:type="dxa"/>
            <w:vAlign w:val="bottom"/>
            <w:shd w:val="clear" w:color="auto" w:fill="E5E5E5"/>
          </w:tcPr>
          <w:p>
            <w:pPr>
              <w:spacing w:after="0"/>
              <w:rPr>
                <w:sz w:val="14"/>
                <w:szCs w:val="14"/>
                <w:color w:val="auto"/>
              </w:rPr>
            </w:pPr>
          </w:p>
        </w:tc>
        <w:tc>
          <w:tcPr>
            <w:tcW w:w="240" w:type="dxa"/>
            <w:vAlign w:val="bottom"/>
            <w:shd w:val="clear" w:color="auto" w:fill="E5E5E5"/>
          </w:tcPr>
          <w:p>
            <w:pPr>
              <w:spacing w:after="0"/>
              <w:rPr>
                <w:sz w:val="14"/>
                <w:szCs w:val="14"/>
                <w:color w:val="auto"/>
              </w:rPr>
            </w:pPr>
          </w:p>
        </w:tc>
        <w:tc>
          <w:tcPr>
            <w:tcW w:w="200" w:type="dxa"/>
            <w:vAlign w:val="bottom"/>
            <w:tcBorders>
              <w:left w:val="single" w:sz="8" w:color="E5E5E5"/>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1200" w:type="dxa"/>
            <w:vAlign w:val="bottom"/>
            <w:shd w:val="clear" w:color="auto" w:fill="E5E5E5"/>
          </w:tcPr>
          <w:p>
            <w:pPr>
              <w:spacing w:after="0"/>
              <w:rPr>
                <w:sz w:val="14"/>
                <w:szCs w:val="14"/>
                <w:color w:val="auto"/>
              </w:rPr>
            </w:pPr>
          </w:p>
        </w:tc>
        <w:tc>
          <w:tcPr>
            <w:tcW w:w="240" w:type="dxa"/>
            <w:vAlign w:val="bottom"/>
            <w:shd w:val="clear" w:color="auto" w:fill="E5E5E5"/>
          </w:tcPr>
          <w:p>
            <w:pPr>
              <w:spacing w:after="0"/>
              <w:rPr>
                <w:sz w:val="14"/>
                <w:szCs w:val="14"/>
                <w:color w:val="auto"/>
              </w:rPr>
            </w:pPr>
          </w:p>
        </w:tc>
        <w:tc>
          <w:tcPr>
            <w:tcW w:w="680" w:type="dxa"/>
            <w:vAlign w:val="bottom"/>
            <w:shd w:val="clear" w:color="auto" w:fill="E5E5E5"/>
          </w:tcPr>
          <w:p>
            <w:pPr>
              <w:spacing w:after="0"/>
              <w:rPr>
                <w:sz w:val="14"/>
                <w:szCs w:val="14"/>
                <w:color w:val="auto"/>
              </w:rPr>
            </w:pPr>
          </w:p>
        </w:tc>
        <w:tc>
          <w:tcPr>
            <w:tcW w:w="440" w:type="dxa"/>
            <w:vAlign w:val="bottom"/>
            <w:shd w:val="clear" w:color="auto" w:fill="E5E5E5"/>
          </w:tcPr>
          <w:p>
            <w:pPr>
              <w:spacing w:after="0"/>
              <w:rPr>
                <w:sz w:val="14"/>
                <w:szCs w:val="14"/>
                <w:color w:val="auto"/>
              </w:rPr>
            </w:pPr>
          </w:p>
        </w:tc>
        <w:tc>
          <w:tcPr>
            <w:tcW w:w="240" w:type="dxa"/>
            <w:vAlign w:val="bottom"/>
            <w:tcBorders>
              <w:right w:val="single" w:sz="8" w:color="E5E5E5"/>
            </w:tcBorders>
          </w:tcPr>
          <w:p>
            <w:pPr>
              <w:spacing w:after="0"/>
              <w:rPr>
                <w:sz w:val="14"/>
                <w:szCs w:val="14"/>
                <w:color w:val="auto"/>
              </w:rPr>
            </w:pPr>
          </w:p>
        </w:tc>
        <w:tc>
          <w:tcPr>
            <w:tcW w:w="2620" w:type="dxa"/>
            <w:vAlign w:val="bottom"/>
            <w:gridSpan w:val="5"/>
            <w:shd w:val="clear" w:color="auto" w:fill="E5E5E5"/>
          </w:tcPr>
          <w:p>
            <w:pPr>
              <w:jc w:val="center"/>
              <w:spacing w:after="0"/>
              <w:rPr>
                <w:sz w:val="20"/>
                <w:szCs w:val="20"/>
                <w:color w:val="auto"/>
              </w:rPr>
            </w:pPr>
            <w:r>
              <w:rPr>
                <w:rFonts w:ascii="Arial" w:cs="Arial" w:eastAsia="Arial" w:hAnsi="Arial"/>
                <w:sz w:val="14"/>
                <w:szCs w:val="14"/>
                <w:color w:val="auto"/>
              </w:rPr>
              <w:t>the estimate at year-end 2016</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120" w:type="dxa"/>
            <w:vAlign w:val="bottom"/>
          </w:tcPr>
          <w:p>
            <w:pPr>
              <w:spacing w:after="0"/>
              <w:rPr>
                <w:sz w:val="10"/>
                <w:szCs w:val="10"/>
                <w:color w:val="auto"/>
              </w:rPr>
            </w:pPr>
          </w:p>
        </w:tc>
        <w:tc>
          <w:tcPr>
            <w:tcW w:w="440" w:type="dxa"/>
            <w:vAlign w:val="bottom"/>
            <w:shd w:val="clear" w:color="auto" w:fill="E5E5E5"/>
          </w:tcPr>
          <w:p>
            <w:pPr>
              <w:spacing w:after="0"/>
              <w:rPr>
                <w:sz w:val="10"/>
                <w:szCs w:val="10"/>
                <w:color w:val="auto"/>
              </w:rPr>
            </w:pPr>
          </w:p>
        </w:tc>
        <w:tc>
          <w:tcPr>
            <w:tcW w:w="240" w:type="dxa"/>
            <w:vAlign w:val="bottom"/>
            <w:shd w:val="clear" w:color="auto" w:fill="E5E5E5"/>
          </w:tcPr>
          <w:p>
            <w:pPr>
              <w:spacing w:after="0"/>
              <w:rPr>
                <w:sz w:val="10"/>
                <w:szCs w:val="10"/>
                <w:color w:val="auto"/>
              </w:rPr>
            </w:pPr>
          </w:p>
        </w:tc>
        <w:tc>
          <w:tcPr>
            <w:tcW w:w="580" w:type="dxa"/>
            <w:vAlign w:val="bottom"/>
            <w:shd w:val="clear" w:color="auto" w:fill="E5E5E5"/>
          </w:tcPr>
          <w:p>
            <w:pPr>
              <w:spacing w:after="0"/>
              <w:rPr>
                <w:sz w:val="10"/>
                <w:szCs w:val="10"/>
                <w:color w:val="auto"/>
              </w:rPr>
            </w:pPr>
          </w:p>
        </w:tc>
        <w:tc>
          <w:tcPr>
            <w:tcW w:w="240" w:type="dxa"/>
            <w:vAlign w:val="bottom"/>
            <w:shd w:val="clear" w:color="auto" w:fill="E5E5E5"/>
          </w:tcPr>
          <w:p>
            <w:pPr>
              <w:spacing w:after="0"/>
              <w:rPr>
                <w:sz w:val="10"/>
                <w:szCs w:val="10"/>
                <w:color w:val="auto"/>
              </w:rPr>
            </w:pPr>
          </w:p>
        </w:tc>
        <w:tc>
          <w:tcPr>
            <w:tcW w:w="600" w:type="dxa"/>
            <w:vAlign w:val="bottom"/>
            <w:shd w:val="clear" w:color="auto" w:fill="E5E5E5"/>
          </w:tcPr>
          <w:p>
            <w:pPr>
              <w:spacing w:after="0"/>
              <w:rPr>
                <w:sz w:val="10"/>
                <w:szCs w:val="10"/>
                <w:color w:val="auto"/>
              </w:rPr>
            </w:pPr>
          </w:p>
        </w:tc>
        <w:tc>
          <w:tcPr>
            <w:tcW w:w="120" w:type="dxa"/>
            <w:vAlign w:val="bottom"/>
            <w:shd w:val="clear" w:color="auto" w:fill="E5E5E5"/>
          </w:tcPr>
          <w:p>
            <w:pPr>
              <w:spacing w:after="0"/>
              <w:rPr>
                <w:sz w:val="10"/>
                <w:szCs w:val="10"/>
                <w:color w:val="auto"/>
              </w:rPr>
            </w:pPr>
          </w:p>
        </w:tc>
        <w:tc>
          <w:tcPr>
            <w:tcW w:w="240" w:type="dxa"/>
            <w:vAlign w:val="bottom"/>
            <w:shd w:val="clear" w:color="auto" w:fill="E5E5E5"/>
          </w:tcPr>
          <w:p>
            <w:pPr>
              <w:spacing w:after="0"/>
              <w:rPr>
                <w:sz w:val="10"/>
                <w:szCs w:val="10"/>
                <w:color w:val="auto"/>
              </w:rPr>
            </w:pPr>
          </w:p>
        </w:tc>
        <w:tc>
          <w:tcPr>
            <w:tcW w:w="200" w:type="dxa"/>
            <w:vAlign w:val="bottom"/>
            <w:tcBorders>
              <w:left w:val="single" w:sz="8" w:color="E5E5E5"/>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shd w:val="clear" w:color="auto" w:fill="E5E5E5"/>
          </w:tcPr>
          <w:p>
            <w:pPr>
              <w:spacing w:after="0"/>
              <w:rPr>
                <w:sz w:val="10"/>
                <w:szCs w:val="10"/>
                <w:color w:val="auto"/>
              </w:rPr>
            </w:pPr>
          </w:p>
        </w:tc>
        <w:tc>
          <w:tcPr>
            <w:tcW w:w="1200" w:type="dxa"/>
            <w:vAlign w:val="bottom"/>
            <w:shd w:val="clear" w:color="auto" w:fill="E5E5E5"/>
          </w:tcPr>
          <w:p>
            <w:pPr>
              <w:spacing w:after="0"/>
              <w:rPr>
                <w:sz w:val="10"/>
                <w:szCs w:val="10"/>
                <w:color w:val="auto"/>
              </w:rPr>
            </w:pPr>
          </w:p>
        </w:tc>
        <w:tc>
          <w:tcPr>
            <w:tcW w:w="240" w:type="dxa"/>
            <w:vAlign w:val="bottom"/>
            <w:shd w:val="clear" w:color="auto" w:fill="E5E5E5"/>
          </w:tcPr>
          <w:p>
            <w:pPr>
              <w:spacing w:after="0"/>
              <w:rPr>
                <w:sz w:val="10"/>
                <w:szCs w:val="10"/>
                <w:color w:val="auto"/>
              </w:rPr>
            </w:pPr>
          </w:p>
        </w:tc>
        <w:tc>
          <w:tcPr>
            <w:tcW w:w="680" w:type="dxa"/>
            <w:vAlign w:val="bottom"/>
            <w:shd w:val="clear" w:color="auto" w:fill="E5E5E5"/>
          </w:tcPr>
          <w:p>
            <w:pPr>
              <w:spacing w:after="0"/>
              <w:rPr>
                <w:sz w:val="10"/>
                <w:szCs w:val="10"/>
                <w:color w:val="auto"/>
              </w:rPr>
            </w:pPr>
          </w:p>
        </w:tc>
        <w:tc>
          <w:tcPr>
            <w:tcW w:w="440" w:type="dxa"/>
            <w:vAlign w:val="bottom"/>
            <w:shd w:val="clear" w:color="auto" w:fill="E5E5E5"/>
          </w:tcPr>
          <w:p>
            <w:pPr>
              <w:spacing w:after="0"/>
              <w:rPr>
                <w:sz w:val="10"/>
                <w:szCs w:val="10"/>
                <w:color w:val="auto"/>
              </w:rPr>
            </w:pPr>
          </w:p>
        </w:tc>
        <w:tc>
          <w:tcPr>
            <w:tcW w:w="240" w:type="dxa"/>
            <w:vAlign w:val="bottom"/>
            <w:tcBorders>
              <w:right w:val="single" w:sz="8" w:color="E5E5E5"/>
            </w:tcBorders>
          </w:tcPr>
          <w:p>
            <w:pPr>
              <w:spacing w:after="0"/>
              <w:rPr>
                <w:sz w:val="10"/>
                <w:szCs w:val="10"/>
                <w:color w:val="auto"/>
              </w:rPr>
            </w:pPr>
          </w:p>
        </w:tc>
        <w:tc>
          <w:tcPr>
            <w:tcW w:w="440" w:type="dxa"/>
            <w:vAlign w:val="bottom"/>
            <w:shd w:val="clear" w:color="auto" w:fill="E5E5E5"/>
          </w:tcPr>
          <w:p>
            <w:pPr>
              <w:spacing w:after="0"/>
              <w:rPr>
                <w:sz w:val="10"/>
                <w:szCs w:val="10"/>
                <w:color w:val="auto"/>
              </w:rPr>
            </w:pPr>
          </w:p>
        </w:tc>
        <w:tc>
          <w:tcPr>
            <w:tcW w:w="100" w:type="dxa"/>
            <w:vAlign w:val="bottom"/>
            <w:shd w:val="clear" w:color="auto" w:fill="E5E5E5"/>
          </w:tcPr>
          <w:p>
            <w:pPr>
              <w:spacing w:after="0"/>
              <w:rPr>
                <w:sz w:val="10"/>
                <w:szCs w:val="10"/>
                <w:color w:val="auto"/>
              </w:rPr>
            </w:pPr>
          </w:p>
        </w:tc>
        <w:tc>
          <w:tcPr>
            <w:tcW w:w="520" w:type="dxa"/>
            <w:vAlign w:val="bottom"/>
            <w:shd w:val="clear" w:color="auto" w:fill="E5E5E5"/>
          </w:tcPr>
          <w:p>
            <w:pPr>
              <w:spacing w:after="0"/>
              <w:rPr>
                <w:sz w:val="10"/>
                <w:szCs w:val="10"/>
                <w:color w:val="auto"/>
              </w:rPr>
            </w:pPr>
          </w:p>
        </w:tc>
        <w:tc>
          <w:tcPr>
            <w:tcW w:w="240" w:type="dxa"/>
            <w:vAlign w:val="bottom"/>
            <w:shd w:val="clear" w:color="auto" w:fill="E5E5E5"/>
          </w:tcPr>
          <w:p>
            <w:pPr>
              <w:spacing w:after="0"/>
              <w:rPr>
                <w:sz w:val="10"/>
                <w:szCs w:val="10"/>
                <w:color w:val="auto"/>
              </w:rPr>
            </w:pPr>
          </w:p>
        </w:tc>
        <w:tc>
          <w:tcPr>
            <w:tcW w:w="1320" w:type="dxa"/>
            <w:vAlign w:val="bottom"/>
            <w:shd w:val="clear" w:color="auto" w:fill="E5E5E5"/>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-1925320</wp:posOffset>
            </wp:positionV>
            <wp:extent cx="6910705" cy="2070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10705" cy="2070100"/>
                    </a:xfrm>
                    <a:prstGeom prst="rect">
                      <a:avLst/>
                    </a:prstGeom>
                    <a:noFill/>
                  </pic:spPr>
                </pic:pic>
              </a:graphicData>
            </a:graphic>
          </wp:anchor>
        </w:drawing>
      </w:r>
    </w:p>
    <w:p>
      <w:pPr>
        <w:spacing w:after="0" w:line="383" w:lineRule="exact"/>
        <w:rPr>
          <w:sz w:val="20"/>
          <w:szCs w:val="20"/>
          <w:color w:val="auto"/>
        </w:rPr>
      </w:pPr>
    </w:p>
    <w:p>
      <w:pPr>
        <w:jc w:val="both"/>
        <w:ind w:left="280"/>
        <w:spacing w:after="0" w:line="247" w:lineRule="auto"/>
        <w:rPr>
          <w:sz w:val="20"/>
          <w:szCs w:val="20"/>
          <w:color w:val="auto"/>
        </w:rPr>
      </w:pPr>
      <w:r>
        <w:rPr>
          <w:rFonts w:ascii="Arial" w:cs="Arial" w:eastAsia="Arial" w:hAnsi="Arial"/>
          <w:sz w:val="18"/>
          <w:szCs w:val="18"/>
          <w:b w:val="1"/>
          <w:bCs w:val="1"/>
          <w:i w:val="1"/>
          <w:iCs w:val="1"/>
          <w:color w:val="007549"/>
        </w:rPr>
        <w:t xml:space="preserve">Stockholder Return. </w:t>
      </w:r>
      <w:r>
        <w:rPr>
          <w:rFonts w:ascii="Arial" w:cs="Arial" w:eastAsia="Arial" w:hAnsi="Arial"/>
          <w:sz w:val="18"/>
          <w:szCs w:val="18"/>
          <w:color w:val="000000"/>
        </w:rPr>
        <w:t>We continue to focus on long-term value creation for our stockholders. The following chart compares the five-year</w:t>
      </w:r>
      <w:r>
        <w:rPr>
          <w:rFonts w:ascii="Arial" w:cs="Arial" w:eastAsia="Arial" w:hAnsi="Arial"/>
          <w:sz w:val="18"/>
          <w:szCs w:val="18"/>
          <w:b w:val="1"/>
          <w:bCs w:val="1"/>
          <w:i w:val="1"/>
          <w:iCs w:val="1"/>
          <w:color w:val="007549"/>
        </w:rPr>
        <w:t xml:space="preserve"> </w:t>
      </w:r>
      <w:r>
        <w:rPr>
          <w:rFonts w:ascii="Arial" w:cs="Arial" w:eastAsia="Arial" w:hAnsi="Arial"/>
          <w:sz w:val="18"/>
          <w:szCs w:val="18"/>
          <w:color w:val="000000"/>
        </w:rPr>
        <w:t>stockholder returns on a $ 100 investment in our common stock assuming reinvestment of dividends, against the cumulative total returns for the S&amp;P Energy Sector Index and our proxy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1550035</wp:posOffset>
            </wp:positionH>
            <wp:positionV relativeFrom="paragraph">
              <wp:posOffset>140970</wp:posOffset>
            </wp:positionV>
            <wp:extent cx="4164965" cy="29146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164965"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740" w:hanging="454"/>
        <w:spacing w:after="0"/>
        <w:tabs>
          <w:tab w:leader="none" w:pos="740" w:val="left"/>
        </w:tabs>
        <w:numPr>
          <w:ilvl w:val="0"/>
          <w:numId w:val="8"/>
        </w:numPr>
        <w:rPr>
          <w:rFonts w:ascii="Arial" w:cs="Arial" w:eastAsia="Arial" w:hAnsi="Arial"/>
          <w:sz w:val="14"/>
          <w:szCs w:val="14"/>
          <w:b w:val="1"/>
          <w:bCs w:val="1"/>
          <w:color w:val="007549"/>
        </w:rPr>
      </w:pPr>
      <w:r>
        <w:rPr>
          <w:rFonts w:ascii="Arial" w:cs="Arial" w:eastAsia="Arial" w:hAnsi="Arial"/>
          <w:sz w:val="12"/>
          <w:szCs w:val="12"/>
          <w:b w:val="1"/>
          <w:bCs w:val="1"/>
          <w:color w:val="666666"/>
        </w:rPr>
        <w:t>2018 PROXY STATEMENT</w:t>
      </w:r>
    </w:p>
    <w:p>
      <w:pPr>
        <w:sectPr>
          <w:pgSz w:w="11900" w:h="16838" w:orient="portrait"/>
          <w:cols w:equalWidth="0" w:num="1">
            <w:col w:w="11140"/>
          </w:cols>
          <w:pgMar w:left="240" w:top="454" w:right="5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9920"/>
        <w:spacing w:after="0"/>
        <w:rPr>
          <w:sz w:val="20"/>
          <w:szCs w:val="20"/>
          <w:color w:val="auto"/>
        </w:rPr>
      </w:pPr>
      <w:r>
        <w:rPr>
          <w:rFonts w:ascii="Arial" w:cs="Arial" w:eastAsia="Arial" w:hAnsi="Arial"/>
          <w:sz w:val="16"/>
          <w:szCs w:val="16"/>
          <w:b w:val="1"/>
          <w:bCs w:val="1"/>
          <w:color w:val="007549"/>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55245</wp:posOffset>
            </wp:positionV>
            <wp:extent cx="68935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238"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333333"/>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63500</wp:posOffset>
            </wp:positionV>
            <wp:extent cx="68935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239"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5680" w:type="dxa"/>
            <w:vAlign w:val="bottom"/>
            <w:shd w:val="clear" w:color="auto" w:fill="007549"/>
          </w:tcPr>
          <w:p>
            <w:pPr>
              <w:spacing w:after="0"/>
              <w:rPr>
                <w:sz w:val="14"/>
                <w:szCs w:val="14"/>
                <w:color w:val="auto"/>
              </w:rPr>
            </w:pPr>
          </w:p>
        </w:tc>
        <w:tc>
          <w:tcPr>
            <w:tcW w:w="320" w:type="dxa"/>
            <w:vAlign w:val="bottom"/>
            <w:shd w:val="clear" w:color="auto" w:fill="007549"/>
          </w:tcPr>
          <w:p>
            <w:pPr>
              <w:spacing w:after="0"/>
              <w:rPr>
                <w:sz w:val="14"/>
                <w:szCs w:val="14"/>
                <w:color w:val="auto"/>
              </w:rPr>
            </w:pPr>
          </w:p>
        </w:tc>
        <w:tc>
          <w:tcPr>
            <w:tcW w:w="600" w:type="dxa"/>
            <w:vAlign w:val="bottom"/>
            <w:shd w:val="clear" w:color="auto" w:fill="007549"/>
          </w:tcPr>
          <w:p>
            <w:pPr>
              <w:jc w:val="center"/>
              <w:spacing w:after="0"/>
              <w:rPr>
                <w:sz w:val="20"/>
                <w:szCs w:val="20"/>
                <w:color w:val="auto"/>
              </w:rPr>
            </w:pPr>
            <w:r>
              <w:rPr>
                <w:rFonts w:ascii="Arial" w:cs="Arial" w:eastAsia="Arial" w:hAnsi="Arial"/>
                <w:sz w:val="14"/>
                <w:szCs w:val="14"/>
                <w:b w:val="1"/>
                <w:bCs w:val="1"/>
                <w:color w:val="FFFFFF"/>
              </w:rPr>
              <w:t>Director</w:t>
            </w:r>
          </w:p>
        </w:tc>
        <w:tc>
          <w:tcPr>
            <w:tcW w:w="120" w:type="dxa"/>
            <w:vAlign w:val="bottom"/>
            <w:shd w:val="clear" w:color="auto" w:fill="007549"/>
          </w:tcPr>
          <w:p>
            <w:pPr>
              <w:spacing w:after="0"/>
              <w:rPr>
                <w:sz w:val="14"/>
                <w:szCs w:val="14"/>
                <w:color w:val="auto"/>
              </w:rPr>
            </w:pPr>
          </w:p>
        </w:tc>
        <w:tc>
          <w:tcPr>
            <w:tcW w:w="760" w:type="dxa"/>
            <w:vAlign w:val="bottom"/>
            <w:shd w:val="clear" w:color="auto" w:fill="007549"/>
          </w:tcPr>
          <w:p>
            <w:pPr>
              <w:spacing w:after="0"/>
              <w:rPr>
                <w:sz w:val="14"/>
                <w:szCs w:val="14"/>
                <w:color w:val="auto"/>
              </w:rPr>
            </w:pPr>
          </w:p>
        </w:tc>
        <w:tc>
          <w:tcPr>
            <w:tcW w:w="2460" w:type="dxa"/>
            <w:vAlign w:val="bottom"/>
            <w:gridSpan w:val="2"/>
            <w:shd w:val="clear" w:color="auto" w:fill="007549"/>
          </w:tcPr>
          <w:p>
            <w:pPr>
              <w:ind w:left="460"/>
              <w:spacing w:after="0"/>
              <w:rPr>
                <w:sz w:val="20"/>
                <w:szCs w:val="20"/>
                <w:color w:val="auto"/>
              </w:rPr>
            </w:pPr>
            <w:r>
              <w:rPr>
                <w:rFonts w:ascii="Arial" w:cs="Arial" w:eastAsia="Arial" w:hAnsi="Arial"/>
                <w:sz w:val="14"/>
                <w:szCs w:val="14"/>
                <w:b w:val="1"/>
                <w:bCs w:val="1"/>
                <w:color w:val="FFFFFF"/>
              </w:rPr>
              <w:t>Committee Memberships</w:t>
            </w:r>
          </w:p>
        </w:tc>
        <w:tc>
          <w:tcPr>
            <w:tcW w:w="920" w:type="dxa"/>
            <w:vAlign w:val="bottom"/>
            <w:shd w:val="clear" w:color="auto" w:fill="007549"/>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680" w:type="dxa"/>
            <w:vAlign w:val="bottom"/>
            <w:shd w:val="clear" w:color="auto" w:fill="007549"/>
          </w:tcPr>
          <w:p>
            <w:pPr>
              <w:spacing w:after="0"/>
              <w:rPr>
                <w:sz w:val="16"/>
                <w:szCs w:val="16"/>
                <w:color w:val="auto"/>
              </w:rPr>
            </w:pPr>
          </w:p>
        </w:tc>
        <w:tc>
          <w:tcPr>
            <w:tcW w:w="320" w:type="dxa"/>
            <w:vAlign w:val="bottom"/>
            <w:shd w:val="clear" w:color="auto" w:fill="007549"/>
          </w:tcPr>
          <w:p>
            <w:pPr>
              <w:jc w:val="center"/>
              <w:spacing w:after="0"/>
              <w:rPr>
                <w:sz w:val="20"/>
                <w:szCs w:val="20"/>
                <w:color w:val="auto"/>
              </w:rPr>
            </w:pPr>
            <w:r>
              <w:rPr>
                <w:rFonts w:ascii="Arial" w:cs="Arial" w:eastAsia="Arial" w:hAnsi="Arial"/>
                <w:sz w:val="14"/>
                <w:szCs w:val="14"/>
                <w:b w:val="1"/>
                <w:bCs w:val="1"/>
                <w:color w:val="FFFFFF"/>
                <w:w w:val="98"/>
              </w:rPr>
              <w:t>Age</w:t>
            </w:r>
          </w:p>
        </w:tc>
        <w:tc>
          <w:tcPr>
            <w:tcW w:w="600" w:type="dxa"/>
            <w:vAlign w:val="bottom"/>
            <w:shd w:val="clear" w:color="auto" w:fill="007549"/>
          </w:tcPr>
          <w:p>
            <w:pPr>
              <w:jc w:val="center"/>
              <w:spacing w:after="0"/>
              <w:rPr>
                <w:sz w:val="20"/>
                <w:szCs w:val="20"/>
                <w:color w:val="auto"/>
              </w:rPr>
            </w:pPr>
            <w:r>
              <w:rPr>
                <w:rFonts w:ascii="Arial" w:cs="Arial" w:eastAsia="Arial" w:hAnsi="Arial"/>
                <w:sz w:val="14"/>
                <w:szCs w:val="14"/>
                <w:b w:val="1"/>
                <w:bCs w:val="1"/>
                <w:color w:val="FFFFFF"/>
              </w:rPr>
              <w:t>Since</w:t>
            </w:r>
          </w:p>
        </w:tc>
        <w:tc>
          <w:tcPr>
            <w:tcW w:w="120" w:type="dxa"/>
            <w:vAlign w:val="bottom"/>
            <w:shd w:val="clear" w:color="auto" w:fill="007549"/>
          </w:tcPr>
          <w:p>
            <w:pPr>
              <w:spacing w:after="0"/>
              <w:rPr>
                <w:sz w:val="16"/>
                <w:szCs w:val="16"/>
                <w:color w:val="auto"/>
              </w:rPr>
            </w:pPr>
          </w:p>
        </w:tc>
        <w:tc>
          <w:tcPr>
            <w:tcW w:w="760" w:type="dxa"/>
            <w:vAlign w:val="bottom"/>
            <w:vMerge w:val="restart"/>
            <w:shd w:val="clear" w:color="auto" w:fill="007549"/>
          </w:tcPr>
          <w:p>
            <w:pPr>
              <w:jc w:val="center"/>
              <w:spacing w:after="0"/>
              <w:rPr>
                <w:sz w:val="20"/>
                <w:szCs w:val="20"/>
                <w:color w:val="auto"/>
              </w:rPr>
            </w:pPr>
            <w:r>
              <w:rPr>
                <w:rFonts w:ascii="Arial" w:cs="Arial" w:eastAsia="Arial" w:hAnsi="Arial"/>
                <w:sz w:val="14"/>
                <w:szCs w:val="14"/>
                <w:b w:val="1"/>
                <w:bCs w:val="1"/>
                <w:color w:val="FFFFFF"/>
              </w:rPr>
              <w:t>Audit</w:t>
            </w:r>
          </w:p>
        </w:tc>
        <w:tc>
          <w:tcPr>
            <w:tcW w:w="2460" w:type="dxa"/>
            <w:vAlign w:val="bottom"/>
            <w:gridSpan w:val="2"/>
            <w:vMerge w:val="restart"/>
            <w:shd w:val="clear" w:color="auto" w:fill="007549"/>
          </w:tcPr>
          <w:p>
            <w:pPr>
              <w:ind w:left="200"/>
              <w:spacing w:after="0"/>
              <w:rPr>
                <w:sz w:val="20"/>
                <w:szCs w:val="20"/>
                <w:color w:val="auto"/>
              </w:rPr>
            </w:pPr>
            <w:r>
              <w:rPr>
                <w:rFonts w:ascii="Arial" w:cs="Arial" w:eastAsia="Arial" w:hAnsi="Arial"/>
                <w:sz w:val="14"/>
                <w:szCs w:val="14"/>
                <w:b w:val="1"/>
                <w:bCs w:val="1"/>
                <w:color w:val="FFFFFF"/>
              </w:rPr>
              <w:t>Compensation   Governance</w:t>
            </w:r>
          </w:p>
        </w:tc>
        <w:tc>
          <w:tcPr>
            <w:tcW w:w="920" w:type="dxa"/>
            <w:vAlign w:val="bottom"/>
            <w:vMerge w:val="restart"/>
            <w:shd w:val="clear" w:color="auto" w:fill="007549"/>
          </w:tcPr>
          <w:p>
            <w:pPr>
              <w:jc w:val="center"/>
              <w:spacing w:after="0"/>
              <w:rPr>
                <w:sz w:val="20"/>
                <w:szCs w:val="20"/>
                <w:color w:val="auto"/>
              </w:rPr>
            </w:pPr>
            <w:r>
              <w:rPr>
                <w:rFonts w:ascii="Arial" w:cs="Arial" w:eastAsia="Arial" w:hAnsi="Arial"/>
                <w:sz w:val="14"/>
                <w:szCs w:val="14"/>
                <w:b w:val="1"/>
                <w:bCs w:val="1"/>
                <w:color w:val="FFFFFF"/>
              </w:rPr>
              <w:t>EHS**</w:t>
            </w:r>
          </w:p>
        </w:tc>
        <w:tc>
          <w:tcPr>
            <w:tcW w:w="0" w:type="dxa"/>
            <w:vAlign w:val="bottom"/>
          </w:tcPr>
          <w:p>
            <w:pPr>
              <w:spacing w:after="0"/>
              <w:rPr>
                <w:sz w:val="1"/>
                <w:szCs w:val="1"/>
                <w:color w:val="auto"/>
              </w:rPr>
            </w:pPr>
          </w:p>
        </w:tc>
      </w:tr>
      <w:tr>
        <w:trPr>
          <w:trHeight w:val="78"/>
        </w:trPr>
        <w:tc>
          <w:tcPr>
            <w:tcW w:w="5680" w:type="dxa"/>
            <w:vAlign w:val="bottom"/>
            <w:shd w:val="clear" w:color="auto" w:fill="007549"/>
          </w:tcPr>
          <w:p>
            <w:pPr>
              <w:spacing w:after="0"/>
              <w:rPr>
                <w:sz w:val="6"/>
                <w:szCs w:val="6"/>
                <w:color w:val="auto"/>
              </w:rPr>
            </w:pPr>
          </w:p>
        </w:tc>
        <w:tc>
          <w:tcPr>
            <w:tcW w:w="320" w:type="dxa"/>
            <w:vAlign w:val="bottom"/>
            <w:shd w:val="clear" w:color="auto" w:fill="007549"/>
          </w:tcPr>
          <w:p>
            <w:pPr>
              <w:spacing w:after="0"/>
              <w:rPr>
                <w:sz w:val="6"/>
                <w:szCs w:val="6"/>
                <w:color w:val="auto"/>
              </w:rPr>
            </w:pPr>
          </w:p>
        </w:tc>
        <w:tc>
          <w:tcPr>
            <w:tcW w:w="600" w:type="dxa"/>
            <w:vAlign w:val="bottom"/>
            <w:shd w:val="clear" w:color="auto" w:fill="007549"/>
          </w:tcPr>
          <w:p>
            <w:pPr>
              <w:spacing w:after="0"/>
              <w:rPr>
                <w:sz w:val="6"/>
                <w:szCs w:val="6"/>
                <w:color w:val="auto"/>
              </w:rPr>
            </w:pPr>
          </w:p>
        </w:tc>
        <w:tc>
          <w:tcPr>
            <w:tcW w:w="120" w:type="dxa"/>
            <w:vAlign w:val="bottom"/>
            <w:shd w:val="clear" w:color="auto" w:fill="007549"/>
          </w:tcPr>
          <w:p>
            <w:pPr>
              <w:spacing w:after="0"/>
              <w:rPr>
                <w:sz w:val="6"/>
                <w:szCs w:val="6"/>
                <w:color w:val="auto"/>
              </w:rPr>
            </w:pPr>
          </w:p>
        </w:tc>
        <w:tc>
          <w:tcPr>
            <w:tcW w:w="760" w:type="dxa"/>
            <w:vAlign w:val="bottom"/>
            <w:vMerge w:val="continue"/>
            <w:shd w:val="clear" w:color="auto" w:fill="007549"/>
          </w:tcPr>
          <w:p>
            <w:pPr>
              <w:spacing w:after="0"/>
              <w:rPr>
                <w:sz w:val="6"/>
                <w:szCs w:val="6"/>
                <w:color w:val="auto"/>
              </w:rPr>
            </w:pPr>
          </w:p>
        </w:tc>
        <w:tc>
          <w:tcPr>
            <w:tcW w:w="2460" w:type="dxa"/>
            <w:vAlign w:val="bottom"/>
            <w:gridSpan w:val="2"/>
            <w:vMerge w:val="continue"/>
            <w:shd w:val="clear" w:color="auto" w:fill="007549"/>
          </w:tcPr>
          <w:p>
            <w:pPr>
              <w:spacing w:after="0"/>
              <w:rPr>
                <w:sz w:val="6"/>
                <w:szCs w:val="6"/>
                <w:color w:val="auto"/>
              </w:rPr>
            </w:pPr>
          </w:p>
        </w:tc>
        <w:tc>
          <w:tcPr>
            <w:tcW w:w="920" w:type="dxa"/>
            <w:vAlign w:val="bottom"/>
            <w:vMerge w:val="continue"/>
            <w:shd w:val="clear" w:color="auto" w:fill="007549"/>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5680" w:type="dxa"/>
            <w:vAlign w:val="bottom"/>
            <w:shd w:val="clear" w:color="auto" w:fill="E5E5E5"/>
          </w:tcPr>
          <w:p>
            <w:pPr>
              <w:ind w:left="80"/>
              <w:spacing w:after="0"/>
              <w:rPr>
                <w:sz w:val="20"/>
                <w:szCs w:val="20"/>
                <w:color w:val="auto"/>
              </w:rPr>
            </w:pPr>
            <w:r>
              <w:rPr>
                <w:rFonts w:ascii="Arial" w:cs="Arial" w:eastAsia="Arial" w:hAnsi="Arial"/>
                <w:sz w:val="16"/>
                <w:szCs w:val="16"/>
                <w:b w:val="1"/>
                <w:bCs w:val="1"/>
                <w:color w:val="007549"/>
              </w:rPr>
              <w:t>Rodney F. Chase*</w:t>
            </w:r>
          </w:p>
        </w:tc>
        <w:tc>
          <w:tcPr>
            <w:tcW w:w="320" w:type="dxa"/>
            <w:vAlign w:val="bottom"/>
            <w:vMerge w:val="restart"/>
            <w:shd w:val="clear" w:color="auto" w:fill="E5E5E5"/>
          </w:tcPr>
          <w:p>
            <w:pPr>
              <w:jc w:val="center"/>
              <w:spacing w:after="0"/>
              <w:rPr>
                <w:sz w:val="20"/>
                <w:szCs w:val="20"/>
                <w:color w:val="auto"/>
              </w:rPr>
            </w:pPr>
            <w:r>
              <w:rPr>
                <w:rFonts w:ascii="Arial" w:cs="Arial" w:eastAsia="Arial" w:hAnsi="Arial"/>
                <w:sz w:val="16"/>
                <w:szCs w:val="16"/>
                <w:color w:val="auto"/>
              </w:rPr>
              <w:t>74</w:t>
            </w:r>
          </w:p>
        </w:tc>
        <w:tc>
          <w:tcPr>
            <w:tcW w:w="600" w:type="dxa"/>
            <w:vAlign w:val="bottom"/>
            <w:vMerge w:val="restart"/>
            <w:shd w:val="clear" w:color="auto" w:fill="E5E5E5"/>
          </w:tcPr>
          <w:p>
            <w:pPr>
              <w:jc w:val="center"/>
              <w:spacing w:after="0"/>
              <w:rPr>
                <w:sz w:val="20"/>
                <w:szCs w:val="20"/>
                <w:color w:val="auto"/>
              </w:rPr>
            </w:pPr>
            <w:r>
              <w:rPr>
                <w:rFonts w:ascii="Arial" w:cs="Arial" w:eastAsia="Arial" w:hAnsi="Arial"/>
                <w:sz w:val="16"/>
                <w:szCs w:val="16"/>
                <w:color w:val="auto"/>
                <w:w w:val="95"/>
              </w:rPr>
              <w:t>2013</w:t>
            </w:r>
          </w:p>
        </w:tc>
        <w:tc>
          <w:tcPr>
            <w:tcW w:w="120" w:type="dxa"/>
            <w:vAlign w:val="bottom"/>
            <w:shd w:val="clear" w:color="auto" w:fill="E5E5E5"/>
          </w:tcPr>
          <w:p>
            <w:pPr>
              <w:spacing w:after="0"/>
              <w:rPr>
                <w:sz w:val="18"/>
                <w:szCs w:val="18"/>
                <w:color w:val="auto"/>
              </w:rPr>
            </w:pPr>
          </w:p>
        </w:tc>
        <w:tc>
          <w:tcPr>
            <w:tcW w:w="760" w:type="dxa"/>
            <w:vAlign w:val="bottom"/>
            <w:vMerge w:val="restart"/>
            <w:shd w:val="clear" w:color="auto" w:fill="E5E5E5"/>
          </w:tcPr>
          <w:p>
            <w:pPr>
              <w:jc w:val="center"/>
              <w:spacing w:after="0"/>
              <w:rPr>
                <w:sz w:val="20"/>
                <w:szCs w:val="20"/>
                <w:color w:val="auto"/>
              </w:rPr>
            </w:pPr>
            <w:r>
              <w:rPr>
                <w:rFonts w:ascii="Arial" w:cs="Arial" w:eastAsia="Arial" w:hAnsi="Arial"/>
                <w:sz w:val="18"/>
                <w:szCs w:val="18"/>
                <w:color w:val="007549"/>
                <w:w w:val="91"/>
              </w:rPr>
              <w:t>●</w:t>
            </w:r>
          </w:p>
        </w:tc>
        <w:tc>
          <w:tcPr>
            <w:tcW w:w="1260" w:type="dxa"/>
            <w:vAlign w:val="bottom"/>
            <w:shd w:val="clear" w:color="auto" w:fill="E5E5E5"/>
          </w:tcPr>
          <w:p>
            <w:pPr>
              <w:spacing w:after="0"/>
              <w:rPr>
                <w:sz w:val="18"/>
                <w:szCs w:val="18"/>
                <w:color w:val="auto"/>
              </w:rPr>
            </w:pPr>
          </w:p>
        </w:tc>
        <w:tc>
          <w:tcPr>
            <w:tcW w:w="1200" w:type="dxa"/>
            <w:vAlign w:val="bottom"/>
            <w:vMerge w:val="restart"/>
            <w:shd w:val="clear" w:color="auto" w:fill="E5E5E5"/>
          </w:tcPr>
          <w:p>
            <w:pPr>
              <w:jc w:val="center"/>
              <w:spacing w:after="0"/>
              <w:rPr>
                <w:sz w:val="20"/>
                <w:szCs w:val="20"/>
                <w:color w:val="auto"/>
              </w:rPr>
            </w:pPr>
            <w:r>
              <w:rPr>
                <w:rFonts w:ascii="Arial" w:cs="Arial" w:eastAsia="Arial" w:hAnsi="Arial"/>
                <w:sz w:val="18"/>
                <w:szCs w:val="18"/>
                <w:color w:val="007549"/>
              </w:rPr>
              <w:t>●</w:t>
            </w:r>
          </w:p>
        </w:tc>
        <w:tc>
          <w:tcPr>
            <w:tcW w:w="920" w:type="dxa"/>
            <w:vAlign w:val="bottom"/>
            <w:vMerge w:val="restart"/>
            <w:shd w:val="clear" w:color="auto" w:fill="E5E5E5"/>
          </w:tcPr>
          <w:p>
            <w:pPr>
              <w:jc w:val="center"/>
              <w:spacing w:after="0"/>
              <w:rPr>
                <w:sz w:val="20"/>
                <w:szCs w:val="20"/>
                <w:color w:val="auto"/>
              </w:rPr>
            </w:pPr>
            <w:r>
              <w:rPr>
                <w:rFonts w:ascii="Arial" w:cs="Arial" w:eastAsia="Arial" w:hAnsi="Arial"/>
                <w:sz w:val="18"/>
                <w:szCs w:val="18"/>
                <w:color w:val="007549"/>
              </w:rPr>
              <w:t>●</w:t>
            </w:r>
          </w:p>
        </w:tc>
        <w:tc>
          <w:tcPr>
            <w:tcW w:w="0" w:type="dxa"/>
            <w:vAlign w:val="bottom"/>
          </w:tcPr>
          <w:p>
            <w:pPr>
              <w:spacing w:after="0"/>
              <w:rPr>
                <w:sz w:val="1"/>
                <w:szCs w:val="1"/>
                <w:color w:val="auto"/>
              </w:rPr>
            </w:pPr>
          </w:p>
        </w:tc>
      </w:tr>
      <w:tr>
        <w:trPr>
          <w:trHeight w:val="227"/>
        </w:trPr>
        <w:tc>
          <w:tcPr>
            <w:tcW w:w="5680" w:type="dxa"/>
            <w:vAlign w:val="bottom"/>
            <w:shd w:val="clear" w:color="auto" w:fill="E5E5E5"/>
          </w:tcPr>
          <w:p>
            <w:pPr>
              <w:ind w:left="160"/>
              <w:spacing w:after="0"/>
              <w:rPr>
                <w:sz w:val="20"/>
                <w:szCs w:val="20"/>
                <w:color w:val="auto"/>
              </w:rPr>
            </w:pPr>
            <w:r>
              <w:rPr>
                <w:rFonts w:ascii="Arial" w:cs="Arial" w:eastAsia="Arial" w:hAnsi="Arial"/>
                <w:sz w:val="16"/>
                <w:szCs w:val="16"/>
                <w:i w:val="1"/>
                <w:iCs w:val="1"/>
                <w:color w:val="auto"/>
              </w:rPr>
              <w:t>Former Deputy Group Chief Executive, BP</w:t>
            </w:r>
          </w:p>
        </w:tc>
        <w:tc>
          <w:tcPr>
            <w:tcW w:w="320" w:type="dxa"/>
            <w:vAlign w:val="bottom"/>
            <w:vMerge w:val="continue"/>
            <w:shd w:val="clear" w:color="auto" w:fill="E5E5E5"/>
          </w:tcPr>
          <w:p>
            <w:pPr>
              <w:spacing w:after="0"/>
              <w:rPr>
                <w:sz w:val="19"/>
                <w:szCs w:val="19"/>
                <w:color w:val="auto"/>
              </w:rPr>
            </w:pPr>
          </w:p>
        </w:tc>
        <w:tc>
          <w:tcPr>
            <w:tcW w:w="600" w:type="dxa"/>
            <w:vAlign w:val="bottom"/>
            <w:vMerge w:val="continue"/>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760" w:type="dxa"/>
            <w:vAlign w:val="bottom"/>
            <w:vMerge w:val="continue"/>
            <w:shd w:val="clear" w:color="auto" w:fill="E5E5E5"/>
          </w:tcPr>
          <w:p>
            <w:pPr>
              <w:spacing w:after="0"/>
              <w:rPr>
                <w:sz w:val="19"/>
                <w:szCs w:val="19"/>
                <w:color w:val="auto"/>
              </w:rPr>
            </w:pPr>
          </w:p>
        </w:tc>
        <w:tc>
          <w:tcPr>
            <w:tcW w:w="1260" w:type="dxa"/>
            <w:vAlign w:val="bottom"/>
            <w:shd w:val="clear" w:color="auto" w:fill="E5E5E5"/>
          </w:tcPr>
          <w:p>
            <w:pPr>
              <w:spacing w:after="0"/>
              <w:rPr>
                <w:sz w:val="19"/>
                <w:szCs w:val="19"/>
                <w:color w:val="auto"/>
              </w:rPr>
            </w:pPr>
          </w:p>
        </w:tc>
        <w:tc>
          <w:tcPr>
            <w:tcW w:w="1200" w:type="dxa"/>
            <w:vAlign w:val="bottom"/>
            <w:vMerge w:val="continue"/>
            <w:shd w:val="clear" w:color="auto" w:fill="E5E5E5"/>
          </w:tcPr>
          <w:p>
            <w:pPr>
              <w:spacing w:after="0"/>
              <w:rPr>
                <w:sz w:val="19"/>
                <w:szCs w:val="19"/>
                <w:color w:val="auto"/>
              </w:rPr>
            </w:pPr>
          </w:p>
        </w:tc>
        <w:tc>
          <w:tcPr>
            <w:tcW w:w="920" w:type="dxa"/>
            <w:vAlign w:val="bottom"/>
            <w:vMerge w:val="continue"/>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680" w:type="dxa"/>
            <w:vAlign w:val="bottom"/>
          </w:tcPr>
          <w:p>
            <w:pPr>
              <w:ind w:left="80"/>
              <w:spacing w:after="0"/>
              <w:rPr>
                <w:sz w:val="20"/>
                <w:szCs w:val="20"/>
                <w:color w:val="auto"/>
              </w:rPr>
            </w:pPr>
            <w:r>
              <w:rPr>
                <w:rFonts w:ascii="Arial" w:cs="Arial" w:eastAsia="Arial" w:hAnsi="Arial"/>
                <w:sz w:val="16"/>
                <w:szCs w:val="16"/>
                <w:b w:val="1"/>
                <w:bCs w:val="1"/>
                <w:color w:val="007549"/>
              </w:rPr>
              <w:t>Terrence J. Checki*</w:t>
            </w:r>
          </w:p>
        </w:tc>
        <w:tc>
          <w:tcPr>
            <w:tcW w:w="320" w:type="dxa"/>
            <w:vAlign w:val="bottom"/>
            <w:vMerge w:val="restart"/>
          </w:tcPr>
          <w:p>
            <w:pPr>
              <w:jc w:val="center"/>
              <w:spacing w:after="0"/>
              <w:rPr>
                <w:sz w:val="20"/>
                <w:szCs w:val="20"/>
                <w:color w:val="auto"/>
              </w:rPr>
            </w:pPr>
            <w:r>
              <w:rPr>
                <w:rFonts w:ascii="Arial" w:cs="Arial" w:eastAsia="Arial" w:hAnsi="Arial"/>
                <w:sz w:val="16"/>
                <w:szCs w:val="16"/>
                <w:color w:val="auto"/>
              </w:rPr>
              <w:t>72</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auto"/>
                <w:w w:val="95"/>
              </w:rPr>
              <w:t>2014</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vMerge w:val="restart"/>
          </w:tcPr>
          <w:p>
            <w:pPr>
              <w:jc w:val="center"/>
              <w:ind w:left="39"/>
              <w:spacing w:after="0"/>
              <w:rPr>
                <w:sz w:val="20"/>
                <w:szCs w:val="20"/>
                <w:color w:val="auto"/>
              </w:rPr>
            </w:pPr>
            <w:r>
              <w:rPr>
                <w:rFonts w:ascii="Arial" w:cs="Arial" w:eastAsia="Arial" w:hAnsi="Arial"/>
                <w:sz w:val="18"/>
                <w:szCs w:val="18"/>
                <w:color w:val="007549"/>
                <w:w w:val="91"/>
              </w:rPr>
              <w:t>●</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7549"/>
              </w:rPr>
              <w: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5680" w:type="dxa"/>
            <w:vAlign w:val="bottom"/>
            <w:vMerge w:val="restart"/>
          </w:tcPr>
          <w:p>
            <w:pPr>
              <w:ind w:left="160"/>
              <w:spacing w:after="0"/>
              <w:rPr>
                <w:sz w:val="20"/>
                <w:szCs w:val="20"/>
                <w:color w:val="auto"/>
              </w:rPr>
            </w:pPr>
            <w:r>
              <w:rPr>
                <w:rFonts w:ascii="Arial" w:cs="Arial" w:eastAsia="Arial" w:hAnsi="Arial"/>
                <w:sz w:val="16"/>
                <w:szCs w:val="16"/>
                <w:i w:val="1"/>
                <w:iCs w:val="1"/>
                <w:color w:val="auto"/>
              </w:rPr>
              <w:t>Former EVP, Federal Reserve Bank of NY</w:t>
            </w:r>
          </w:p>
        </w:tc>
        <w:tc>
          <w:tcPr>
            <w:tcW w:w="32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56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5680" w:type="dxa"/>
            <w:vAlign w:val="bottom"/>
            <w:shd w:val="clear" w:color="auto" w:fill="E5E5E5"/>
          </w:tcPr>
          <w:p>
            <w:pPr>
              <w:ind w:left="80"/>
              <w:spacing w:after="0"/>
              <w:rPr>
                <w:sz w:val="20"/>
                <w:szCs w:val="20"/>
                <w:color w:val="auto"/>
              </w:rPr>
            </w:pPr>
            <w:r>
              <w:rPr>
                <w:rFonts w:ascii="Arial" w:cs="Arial" w:eastAsia="Arial" w:hAnsi="Arial"/>
                <w:sz w:val="16"/>
                <w:szCs w:val="16"/>
                <w:b w:val="1"/>
                <w:bCs w:val="1"/>
                <w:color w:val="007549"/>
              </w:rPr>
              <w:t>Leonard S. Coleman, Jr.*</w:t>
            </w:r>
          </w:p>
        </w:tc>
        <w:tc>
          <w:tcPr>
            <w:tcW w:w="320" w:type="dxa"/>
            <w:vAlign w:val="bottom"/>
            <w:vMerge w:val="restart"/>
            <w:shd w:val="clear" w:color="auto" w:fill="E5E5E5"/>
          </w:tcPr>
          <w:p>
            <w:pPr>
              <w:jc w:val="center"/>
              <w:spacing w:after="0"/>
              <w:rPr>
                <w:sz w:val="20"/>
                <w:szCs w:val="20"/>
                <w:color w:val="auto"/>
              </w:rPr>
            </w:pPr>
            <w:r>
              <w:rPr>
                <w:rFonts w:ascii="Arial" w:cs="Arial" w:eastAsia="Arial" w:hAnsi="Arial"/>
                <w:sz w:val="16"/>
                <w:szCs w:val="16"/>
                <w:color w:val="auto"/>
              </w:rPr>
              <w:t>68</w:t>
            </w:r>
          </w:p>
        </w:tc>
        <w:tc>
          <w:tcPr>
            <w:tcW w:w="600" w:type="dxa"/>
            <w:vAlign w:val="bottom"/>
            <w:vMerge w:val="restart"/>
            <w:shd w:val="clear" w:color="auto" w:fill="E5E5E5"/>
          </w:tcPr>
          <w:p>
            <w:pPr>
              <w:jc w:val="center"/>
              <w:spacing w:after="0"/>
              <w:rPr>
                <w:sz w:val="20"/>
                <w:szCs w:val="20"/>
                <w:color w:val="auto"/>
              </w:rPr>
            </w:pPr>
            <w:r>
              <w:rPr>
                <w:rFonts w:ascii="Arial" w:cs="Arial" w:eastAsia="Arial" w:hAnsi="Arial"/>
                <w:sz w:val="16"/>
                <w:szCs w:val="16"/>
                <w:color w:val="auto"/>
                <w:w w:val="95"/>
              </w:rPr>
              <w:t>2016</w:t>
            </w:r>
          </w:p>
        </w:tc>
        <w:tc>
          <w:tcPr>
            <w:tcW w:w="120" w:type="dxa"/>
            <w:vAlign w:val="bottom"/>
            <w:shd w:val="clear" w:color="auto" w:fill="E5E5E5"/>
          </w:tcPr>
          <w:p>
            <w:pPr>
              <w:spacing w:after="0"/>
              <w:rPr>
                <w:sz w:val="19"/>
                <w:szCs w:val="19"/>
                <w:color w:val="auto"/>
              </w:rPr>
            </w:pPr>
          </w:p>
        </w:tc>
        <w:tc>
          <w:tcPr>
            <w:tcW w:w="760" w:type="dxa"/>
            <w:vAlign w:val="bottom"/>
            <w:shd w:val="clear" w:color="auto" w:fill="E5E5E5"/>
          </w:tcPr>
          <w:p>
            <w:pPr>
              <w:spacing w:after="0"/>
              <w:rPr>
                <w:sz w:val="19"/>
                <w:szCs w:val="19"/>
                <w:color w:val="auto"/>
              </w:rPr>
            </w:pPr>
          </w:p>
        </w:tc>
        <w:tc>
          <w:tcPr>
            <w:tcW w:w="1260" w:type="dxa"/>
            <w:vAlign w:val="bottom"/>
            <w:shd w:val="clear" w:color="auto" w:fill="E5E5E5"/>
          </w:tcPr>
          <w:p>
            <w:pPr>
              <w:spacing w:after="0"/>
              <w:rPr>
                <w:sz w:val="19"/>
                <w:szCs w:val="19"/>
                <w:color w:val="auto"/>
              </w:rPr>
            </w:pPr>
          </w:p>
        </w:tc>
        <w:tc>
          <w:tcPr>
            <w:tcW w:w="1200" w:type="dxa"/>
            <w:vAlign w:val="bottom"/>
            <w:vMerge w:val="restart"/>
            <w:shd w:val="clear" w:color="auto" w:fill="E5E5E5"/>
          </w:tcPr>
          <w:p>
            <w:pPr>
              <w:jc w:val="center"/>
              <w:spacing w:after="0"/>
              <w:rPr>
                <w:sz w:val="20"/>
                <w:szCs w:val="20"/>
                <w:color w:val="auto"/>
              </w:rPr>
            </w:pPr>
            <w:r>
              <w:rPr>
                <w:rFonts w:ascii="Arial" w:cs="Arial" w:eastAsia="Arial" w:hAnsi="Arial"/>
                <w:sz w:val="18"/>
                <w:szCs w:val="18"/>
                <w:color w:val="007549"/>
              </w:rPr>
              <w:t>●</w:t>
            </w:r>
          </w:p>
        </w:tc>
        <w:tc>
          <w:tcPr>
            <w:tcW w:w="920" w:type="dxa"/>
            <w:vAlign w:val="bottom"/>
            <w:vMerge w:val="restart"/>
            <w:shd w:val="clear" w:color="auto" w:fill="E5E5E5"/>
          </w:tcPr>
          <w:p>
            <w:pPr>
              <w:jc w:val="center"/>
              <w:spacing w:after="0"/>
              <w:rPr>
                <w:sz w:val="20"/>
                <w:szCs w:val="20"/>
                <w:color w:val="auto"/>
              </w:rPr>
            </w:pPr>
            <w:r>
              <w:rPr>
                <w:rFonts w:ascii="Arial" w:cs="Arial" w:eastAsia="Arial" w:hAnsi="Arial"/>
                <w:sz w:val="18"/>
                <w:szCs w:val="18"/>
                <w:color w:val="007549"/>
              </w:rPr>
              <w:t>●</w:t>
            </w:r>
          </w:p>
        </w:tc>
        <w:tc>
          <w:tcPr>
            <w:tcW w:w="0" w:type="dxa"/>
            <w:vAlign w:val="bottom"/>
          </w:tcPr>
          <w:p>
            <w:pPr>
              <w:spacing w:after="0"/>
              <w:rPr>
                <w:sz w:val="1"/>
                <w:szCs w:val="1"/>
                <w:color w:val="auto"/>
              </w:rPr>
            </w:pPr>
          </w:p>
        </w:tc>
      </w:tr>
      <w:tr>
        <w:trPr>
          <w:trHeight w:val="186"/>
        </w:trPr>
        <w:tc>
          <w:tcPr>
            <w:tcW w:w="5680" w:type="dxa"/>
            <w:vAlign w:val="bottom"/>
            <w:shd w:val="clear" w:color="auto" w:fill="E5E5E5"/>
          </w:tcPr>
          <w:p>
            <w:pPr>
              <w:ind w:left="160"/>
              <w:spacing w:after="0"/>
              <w:rPr>
                <w:sz w:val="20"/>
                <w:szCs w:val="20"/>
                <w:color w:val="auto"/>
              </w:rPr>
            </w:pPr>
            <w:r>
              <w:rPr>
                <w:rFonts w:ascii="Arial" w:cs="Arial" w:eastAsia="Arial" w:hAnsi="Arial"/>
                <w:sz w:val="16"/>
                <w:szCs w:val="16"/>
                <w:i w:val="1"/>
                <w:iCs w:val="1"/>
                <w:color w:val="auto"/>
              </w:rPr>
              <w:t>Former President of the National League of Major League Baseball;</w:t>
            </w:r>
          </w:p>
        </w:tc>
        <w:tc>
          <w:tcPr>
            <w:tcW w:w="320" w:type="dxa"/>
            <w:vAlign w:val="bottom"/>
            <w:vMerge w:val="continue"/>
            <w:shd w:val="clear" w:color="auto" w:fill="E5E5E5"/>
          </w:tcPr>
          <w:p>
            <w:pPr>
              <w:spacing w:after="0"/>
              <w:rPr>
                <w:sz w:val="16"/>
                <w:szCs w:val="16"/>
                <w:color w:val="auto"/>
              </w:rPr>
            </w:pPr>
          </w:p>
        </w:tc>
        <w:tc>
          <w:tcPr>
            <w:tcW w:w="600" w:type="dxa"/>
            <w:vAlign w:val="bottom"/>
            <w:vMerge w:val="continue"/>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1260" w:type="dxa"/>
            <w:vAlign w:val="bottom"/>
            <w:shd w:val="clear" w:color="auto" w:fill="E5E5E5"/>
          </w:tcPr>
          <w:p>
            <w:pPr>
              <w:spacing w:after="0"/>
              <w:rPr>
                <w:sz w:val="16"/>
                <w:szCs w:val="16"/>
                <w:color w:val="auto"/>
              </w:rPr>
            </w:pPr>
          </w:p>
        </w:tc>
        <w:tc>
          <w:tcPr>
            <w:tcW w:w="1200" w:type="dxa"/>
            <w:vAlign w:val="bottom"/>
            <w:vMerge w:val="continue"/>
            <w:shd w:val="clear" w:color="auto" w:fill="E5E5E5"/>
          </w:tcPr>
          <w:p>
            <w:pPr>
              <w:spacing w:after="0"/>
              <w:rPr>
                <w:sz w:val="16"/>
                <w:szCs w:val="16"/>
                <w:color w:val="auto"/>
              </w:rPr>
            </w:pPr>
          </w:p>
        </w:tc>
        <w:tc>
          <w:tcPr>
            <w:tcW w:w="920" w:type="dxa"/>
            <w:vAlign w:val="bottom"/>
            <w:vMerge w:val="continue"/>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5680" w:type="dxa"/>
            <w:vAlign w:val="bottom"/>
            <w:shd w:val="clear" w:color="auto" w:fill="E5E5E5"/>
          </w:tcPr>
          <w:p>
            <w:pPr>
              <w:ind w:left="160"/>
              <w:spacing w:after="0"/>
              <w:rPr>
                <w:sz w:val="20"/>
                <w:szCs w:val="20"/>
                <w:color w:val="auto"/>
              </w:rPr>
            </w:pPr>
            <w:r>
              <w:rPr>
                <w:rFonts w:ascii="Arial" w:cs="Arial" w:eastAsia="Arial" w:hAnsi="Arial"/>
                <w:sz w:val="16"/>
                <w:szCs w:val="16"/>
                <w:i w:val="1"/>
                <w:iCs w:val="1"/>
                <w:color w:val="auto"/>
              </w:rPr>
              <w:t>Former Commissioner of the New Jersey Department of Energy</w:t>
            </w:r>
          </w:p>
        </w:tc>
        <w:tc>
          <w:tcPr>
            <w:tcW w:w="320" w:type="dxa"/>
            <w:vAlign w:val="bottom"/>
            <w:shd w:val="clear" w:color="auto" w:fill="E5E5E5"/>
          </w:tcPr>
          <w:p>
            <w:pPr>
              <w:spacing w:after="0"/>
              <w:rPr>
                <w:sz w:val="19"/>
                <w:szCs w:val="19"/>
                <w:color w:val="auto"/>
              </w:rPr>
            </w:pPr>
          </w:p>
        </w:tc>
        <w:tc>
          <w:tcPr>
            <w:tcW w:w="60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760" w:type="dxa"/>
            <w:vAlign w:val="bottom"/>
            <w:shd w:val="clear" w:color="auto" w:fill="E5E5E5"/>
          </w:tcPr>
          <w:p>
            <w:pPr>
              <w:spacing w:after="0"/>
              <w:rPr>
                <w:sz w:val="19"/>
                <w:szCs w:val="19"/>
                <w:color w:val="auto"/>
              </w:rPr>
            </w:pPr>
          </w:p>
        </w:tc>
        <w:tc>
          <w:tcPr>
            <w:tcW w:w="1260" w:type="dxa"/>
            <w:vAlign w:val="bottom"/>
            <w:shd w:val="clear" w:color="auto" w:fill="E5E5E5"/>
          </w:tcPr>
          <w:p>
            <w:pPr>
              <w:spacing w:after="0"/>
              <w:rPr>
                <w:sz w:val="19"/>
                <w:szCs w:val="19"/>
                <w:color w:val="auto"/>
              </w:rPr>
            </w:pPr>
          </w:p>
        </w:tc>
        <w:tc>
          <w:tcPr>
            <w:tcW w:w="1200" w:type="dxa"/>
            <w:vAlign w:val="bottom"/>
            <w:shd w:val="clear" w:color="auto" w:fill="E5E5E5"/>
          </w:tcPr>
          <w:p>
            <w:pPr>
              <w:spacing w:after="0"/>
              <w:rPr>
                <w:sz w:val="19"/>
                <w:szCs w:val="19"/>
                <w:color w:val="auto"/>
              </w:rPr>
            </w:pPr>
          </w:p>
        </w:tc>
        <w:tc>
          <w:tcPr>
            <w:tcW w:w="92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680" w:type="dxa"/>
            <w:vAlign w:val="bottom"/>
          </w:tcPr>
          <w:p>
            <w:pPr>
              <w:ind w:left="80"/>
              <w:spacing w:after="0"/>
              <w:rPr>
                <w:sz w:val="20"/>
                <w:szCs w:val="20"/>
                <w:color w:val="auto"/>
              </w:rPr>
            </w:pPr>
            <w:r>
              <w:rPr>
                <w:rFonts w:ascii="Arial" w:cs="Arial" w:eastAsia="Arial" w:hAnsi="Arial"/>
                <w:sz w:val="16"/>
                <w:szCs w:val="16"/>
                <w:b w:val="1"/>
                <w:bCs w:val="1"/>
                <w:color w:val="007549"/>
              </w:rPr>
              <w:t>John B. Hess</w:t>
            </w:r>
          </w:p>
        </w:tc>
        <w:tc>
          <w:tcPr>
            <w:tcW w:w="320" w:type="dxa"/>
            <w:vAlign w:val="bottom"/>
            <w:vMerge w:val="restart"/>
          </w:tcPr>
          <w:p>
            <w:pPr>
              <w:jc w:val="center"/>
              <w:spacing w:after="0"/>
              <w:rPr>
                <w:sz w:val="20"/>
                <w:szCs w:val="20"/>
                <w:color w:val="auto"/>
              </w:rPr>
            </w:pPr>
            <w:r>
              <w:rPr>
                <w:rFonts w:ascii="Arial" w:cs="Arial" w:eastAsia="Arial" w:hAnsi="Arial"/>
                <w:sz w:val="16"/>
                <w:szCs w:val="16"/>
                <w:color w:val="auto"/>
              </w:rPr>
              <w:t>63</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auto"/>
                <w:w w:val="95"/>
              </w:rPr>
              <w:t>1978</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5680" w:type="dxa"/>
            <w:vAlign w:val="bottom"/>
            <w:vMerge w:val="restart"/>
          </w:tcPr>
          <w:p>
            <w:pPr>
              <w:ind w:left="160"/>
              <w:spacing w:after="0"/>
              <w:rPr>
                <w:sz w:val="20"/>
                <w:szCs w:val="20"/>
                <w:color w:val="auto"/>
              </w:rPr>
            </w:pPr>
            <w:r>
              <w:rPr>
                <w:rFonts w:ascii="Arial" w:cs="Arial" w:eastAsia="Arial" w:hAnsi="Arial"/>
                <w:sz w:val="16"/>
                <w:szCs w:val="16"/>
                <w:i w:val="1"/>
                <w:iCs w:val="1"/>
                <w:color w:val="auto"/>
              </w:rPr>
              <w:t>Chief Executive Officer</w:t>
            </w:r>
          </w:p>
        </w:tc>
        <w:tc>
          <w:tcPr>
            <w:tcW w:w="3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56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5680" w:type="dxa"/>
            <w:vAlign w:val="bottom"/>
            <w:shd w:val="clear" w:color="auto" w:fill="E5E5E5"/>
          </w:tcPr>
          <w:p>
            <w:pPr>
              <w:ind w:left="80"/>
              <w:spacing w:after="0"/>
              <w:rPr>
                <w:sz w:val="20"/>
                <w:szCs w:val="20"/>
                <w:color w:val="auto"/>
              </w:rPr>
            </w:pPr>
            <w:r>
              <w:rPr>
                <w:rFonts w:ascii="Arial" w:cs="Arial" w:eastAsia="Arial" w:hAnsi="Arial"/>
                <w:sz w:val="16"/>
                <w:szCs w:val="16"/>
                <w:b w:val="1"/>
                <w:bCs w:val="1"/>
                <w:color w:val="007549"/>
              </w:rPr>
              <w:t>Edith E. Holiday*</w:t>
            </w:r>
          </w:p>
        </w:tc>
        <w:tc>
          <w:tcPr>
            <w:tcW w:w="320" w:type="dxa"/>
            <w:vAlign w:val="bottom"/>
            <w:vMerge w:val="restart"/>
            <w:shd w:val="clear" w:color="auto" w:fill="E5E5E5"/>
          </w:tcPr>
          <w:p>
            <w:pPr>
              <w:jc w:val="center"/>
              <w:spacing w:after="0"/>
              <w:rPr>
                <w:sz w:val="20"/>
                <w:szCs w:val="20"/>
                <w:color w:val="auto"/>
              </w:rPr>
            </w:pPr>
            <w:r>
              <w:rPr>
                <w:rFonts w:ascii="Arial" w:cs="Arial" w:eastAsia="Arial" w:hAnsi="Arial"/>
                <w:sz w:val="16"/>
                <w:szCs w:val="16"/>
                <w:color w:val="auto"/>
              </w:rPr>
              <w:t>65</w:t>
            </w:r>
          </w:p>
        </w:tc>
        <w:tc>
          <w:tcPr>
            <w:tcW w:w="600" w:type="dxa"/>
            <w:vAlign w:val="bottom"/>
            <w:vMerge w:val="restart"/>
            <w:shd w:val="clear" w:color="auto" w:fill="E5E5E5"/>
          </w:tcPr>
          <w:p>
            <w:pPr>
              <w:jc w:val="center"/>
              <w:spacing w:after="0"/>
              <w:rPr>
                <w:sz w:val="20"/>
                <w:szCs w:val="20"/>
                <w:color w:val="auto"/>
              </w:rPr>
            </w:pPr>
            <w:r>
              <w:rPr>
                <w:rFonts w:ascii="Arial" w:cs="Arial" w:eastAsia="Arial" w:hAnsi="Arial"/>
                <w:sz w:val="16"/>
                <w:szCs w:val="16"/>
                <w:color w:val="auto"/>
                <w:w w:val="95"/>
              </w:rPr>
              <w:t>1993</w:t>
            </w:r>
          </w:p>
        </w:tc>
        <w:tc>
          <w:tcPr>
            <w:tcW w:w="120" w:type="dxa"/>
            <w:vAlign w:val="bottom"/>
            <w:shd w:val="clear" w:color="auto" w:fill="E5E5E5"/>
          </w:tcPr>
          <w:p>
            <w:pPr>
              <w:spacing w:after="0"/>
              <w:rPr>
                <w:sz w:val="19"/>
                <w:szCs w:val="19"/>
                <w:color w:val="auto"/>
              </w:rPr>
            </w:pPr>
          </w:p>
        </w:tc>
        <w:tc>
          <w:tcPr>
            <w:tcW w:w="760" w:type="dxa"/>
            <w:vAlign w:val="bottom"/>
            <w:shd w:val="clear" w:color="auto" w:fill="E5E5E5"/>
          </w:tcPr>
          <w:p>
            <w:pPr>
              <w:spacing w:after="0"/>
              <w:rPr>
                <w:sz w:val="19"/>
                <w:szCs w:val="19"/>
                <w:color w:val="auto"/>
              </w:rPr>
            </w:pPr>
          </w:p>
        </w:tc>
        <w:tc>
          <w:tcPr>
            <w:tcW w:w="1260" w:type="dxa"/>
            <w:vAlign w:val="bottom"/>
            <w:shd w:val="clear" w:color="auto" w:fill="E5E5E5"/>
          </w:tcPr>
          <w:p>
            <w:pPr>
              <w:spacing w:after="0"/>
              <w:rPr>
                <w:sz w:val="19"/>
                <w:szCs w:val="19"/>
                <w:color w:val="auto"/>
              </w:rPr>
            </w:pPr>
          </w:p>
        </w:tc>
        <w:tc>
          <w:tcPr>
            <w:tcW w:w="1200" w:type="dxa"/>
            <w:vAlign w:val="bottom"/>
            <w:vMerge w:val="restart"/>
            <w:shd w:val="clear" w:color="auto" w:fill="E5E5E5"/>
          </w:tcPr>
          <w:p>
            <w:pPr>
              <w:jc w:val="center"/>
              <w:spacing w:after="0"/>
              <w:rPr>
                <w:sz w:val="20"/>
                <w:szCs w:val="20"/>
                <w:color w:val="auto"/>
              </w:rPr>
            </w:pPr>
            <w:r>
              <w:rPr>
                <w:rFonts w:ascii="Arial" w:cs="Arial" w:eastAsia="Arial" w:hAnsi="Arial"/>
                <w:sz w:val="14"/>
                <w:szCs w:val="14"/>
                <w:b w:val="1"/>
                <w:bCs w:val="1"/>
                <w:color w:val="007549"/>
              </w:rPr>
              <w:t>Chair</w:t>
            </w:r>
          </w:p>
        </w:tc>
        <w:tc>
          <w:tcPr>
            <w:tcW w:w="92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89"/>
        </w:trPr>
        <w:tc>
          <w:tcPr>
            <w:tcW w:w="5680" w:type="dxa"/>
            <w:vAlign w:val="bottom"/>
            <w:vMerge w:val="restart"/>
            <w:shd w:val="clear" w:color="auto" w:fill="E5E5E5"/>
          </w:tcPr>
          <w:p>
            <w:pPr>
              <w:ind w:left="160"/>
              <w:spacing w:after="0"/>
              <w:rPr>
                <w:sz w:val="20"/>
                <w:szCs w:val="20"/>
                <w:color w:val="auto"/>
              </w:rPr>
            </w:pPr>
            <w:r>
              <w:rPr>
                <w:rFonts w:ascii="Arial" w:cs="Arial" w:eastAsia="Arial" w:hAnsi="Arial"/>
                <w:sz w:val="16"/>
                <w:szCs w:val="16"/>
                <w:i w:val="1"/>
                <w:iCs w:val="1"/>
                <w:color w:val="auto"/>
              </w:rPr>
              <w:t>Corporate Director and Trustee</w:t>
            </w:r>
          </w:p>
        </w:tc>
        <w:tc>
          <w:tcPr>
            <w:tcW w:w="320" w:type="dxa"/>
            <w:vAlign w:val="bottom"/>
            <w:vMerge w:val="continue"/>
            <w:shd w:val="clear" w:color="auto" w:fill="E5E5E5"/>
          </w:tcPr>
          <w:p>
            <w:pPr>
              <w:spacing w:after="0"/>
              <w:rPr>
                <w:sz w:val="7"/>
                <w:szCs w:val="7"/>
                <w:color w:val="auto"/>
              </w:rPr>
            </w:pPr>
          </w:p>
        </w:tc>
        <w:tc>
          <w:tcPr>
            <w:tcW w:w="600" w:type="dxa"/>
            <w:vAlign w:val="bottom"/>
            <w:vMerge w:val="continue"/>
            <w:shd w:val="clear" w:color="auto" w:fill="E5E5E5"/>
          </w:tcPr>
          <w:p>
            <w:pPr>
              <w:spacing w:after="0"/>
              <w:rPr>
                <w:sz w:val="7"/>
                <w:szCs w:val="7"/>
                <w:color w:val="auto"/>
              </w:rPr>
            </w:pPr>
          </w:p>
        </w:tc>
        <w:tc>
          <w:tcPr>
            <w:tcW w:w="120" w:type="dxa"/>
            <w:vAlign w:val="bottom"/>
            <w:shd w:val="clear" w:color="auto" w:fill="E5E5E5"/>
          </w:tcPr>
          <w:p>
            <w:pPr>
              <w:spacing w:after="0"/>
              <w:rPr>
                <w:sz w:val="7"/>
                <w:szCs w:val="7"/>
                <w:color w:val="auto"/>
              </w:rPr>
            </w:pPr>
          </w:p>
        </w:tc>
        <w:tc>
          <w:tcPr>
            <w:tcW w:w="760" w:type="dxa"/>
            <w:vAlign w:val="bottom"/>
            <w:shd w:val="clear" w:color="auto" w:fill="E5E5E5"/>
          </w:tcPr>
          <w:p>
            <w:pPr>
              <w:spacing w:after="0"/>
              <w:rPr>
                <w:sz w:val="7"/>
                <w:szCs w:val="7"/>
                <w:color w:val="auto"/>
              </w:rPr>
            </w:pPr>
          </w:p>
        </w:tc>
        <w:tc>
          <w:tcPr>
            <w:tcW w:w="1260" w:type="dxa"/>
            <w:vAlign w:val="bottom"/>
            <w:shd w:val="clear" w:color="auto" w:fill="E5E5E5"/>
          </w:tcPr>
          <w:p>
            <w:pPr>
              <w:spacing w:after="0"/>
              <w:rPr>
                <w:sz w:val="7"/>
                <w:szCs w:val="7"/>
                <w:color w:val="auto"/>
              </w:rPr>
            </w:pPr>
          </w:p>
        </w:tc>
        <w:tc>
          <w:tcPr>
            <w:tcW w:w="1200" w:type="dxa"/>
            <w:vAlign w:val="bottom"/>
            <w:vMerge w:val="continue"/>
            <w:shd w:val="clear" w:color="auto" w:fill="E5E5E5"/>
          </w:tcPr>
          <w:p>
            <w:pPr>
              <w:spacing w:after="0"/>
              <w:rPr>
                <w:sz w:val="7"/>
                <w:szCs w:val="7"/>
                <w:color w:val="auto"/>
              </w:rPr>
            </w:pPr>
          </w:p>
        </w:tc>
        <w:tc>
          <w:tcPr>
            <w:tcW w:w="920" w:type="dxa"/>
            <w:vAlign w:val="bottom"/>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5680" w:type="dxa"/>
            <w:vAlign w:val="bottom"/>
            <w:vMerge w:val="continue"/>
            <w:shd w:val="clear" w:color="auto" w:fill="E5E5E5"/>
          </w:tcPr>
          <w:p>
            <w:pPr>
              <w:spacing w:after="0"/>
              <w:rPr>
                <w:sz w:val="12"/>
                <w:szCs w:val="12"/>
                <w:color w:val="auto"/>
              </w:rPr>
            </w:pPr>
          </w:p>
        </w:tc>
        <w:tc>
          <w:tcPr>
            <w:tcW w:w="32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120" w:type="dxa"/>
            <w:vAlign w:val="bottom"/>
            <w:shd w:val="clear" w:color="auto" w:fill="E5E5E5"/>
          </w:tcPr>
          <w:p>
            <w:pPr>
              <w:spacing w:after="0"/>
              <w:rPr>
                <w:sz w:val="12"/>
                <w:szCs w:val="12"/>
                <w:color w:val="auto"/>
              </w:rPr>
            </w:pPr>
          </w:p>
        </w:tc>
        <w:tc>
          <w:tcPr>
            <w:tcW w:w="760" w:type="dxa"/>
            <w:vAlign w:val="bottom"/>
            <w:shd w:val="clear" w:color="auto" w:fill="E5E5E5"/>
          </w:tcPr>
          <w:p>
            <w:pPr>
              <w:spacing w:after="0"/>
              <w:rPr>
                <w:sz w:val="12"/>
                <w:szCs w:val="12"/>
                <w:color w:val="auto"/>
              </w:rPr>
            </w:pPr>
          </w:p>
        </w:tc>
        <w:tc>
          <w:tcPr>
            <w:tcW w:w="1260" w:type="dxa"/>
            <w:vAlign w:val="bottom"/>
            <w:shd w:val="clear" w:color="auto" w:fill="E5E5E5"/>
          </w:tcPr>
          <w:p>
            <w:pPr>
              <w:spacing w:after="0"/>
              <w:rPr>
                <w:sz w:val="12"/>
                <w:szCs w:val="12"/>
                <w:color w:val="auto"/>
              </w:rPr>
            </w:pPr>
          </w:p>
        </w:tc>
        <w:tc>
          <w:tcPr>
            <w:tcW w:w="120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5680" w:type="dxa"/>
            <w:vAlign w:val="bottom"/>
          </w:tcPr>
          <w:p>
            <w:pPr>
              <w:ind w:left="80"/>
              <w:spacing w:after="0"/>
              <w:rPr>
                <w:sz w:val="20"/>
                <w:szCs w:val="20"/>
                <w:color w:val="auto"/>
              </w:rPr>
            </w:pPr>
            <w:r>
              <w:rPr>
                <w:rFonts w:ascii="Arial" w:cs="Arial" w:eastAsia="Arial" w:hAnsi="Arial"/>
                <w:sz w:val="16"/>
                <w:szCs w:val="16"/>
                <w:b w:val="1"/>
                <w:bCs w:val="1"/>
                <w:color w:val="007549"/>
              </w:rPr>
              <w:t>Risa Lavizzo-Mourey*</w:t>
            </w:r>
          </w:p>
        </w:tc>
        <w:tc>
          <w:tcPr>
            <w:tcW w:w="320" w:type="dxa"/>
            <w:vAlign w:val="bottom"/>
            <w:vMerge w:val="restart"/>
          </w:tcPr>
          <w:p>
            <w:pPr>
              <w:jc w:val="center"/>
              <w:spacing w:after="0"/>
              <w:rPr>
                <w:sz w:val="20"/>
                <w:szCs w:val="20"/>
                <w:color w:val="auto"/>
              </w:rPr>
            </w:pPr>
            <w:r>
              <w:rPr>
                <w:rFonts w:ascii="Arial" w:cs="Arial" w:eastAsia="Arial" w:hAnsi="Arial"/>
                <w:sz w:val="16"/>
                <w:szCs w:val="16"/>
                <w:color w:val="auto"/>
              </w:rPr>
              <w:t>63</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auto"/>
                <w:w w:val="95"/>
              </w:rPr>
              <w:t>2004</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vMerge w:val="restart"/>
          </w:tcPr>
          <w:p>
            <w:pPr>
              <w:jc w:val="center"/>
              <w:ind w:left="19"/>
              <w:spacing w:after="0"/>
              <w:rPr>
                <w:sz w:val="20"/>
                <w:szCs w:val="20"/>
                <w:color w:val="auto"/>
              </w:rPr>
            </w:pPr>
            <w:r>
              <w:rPr>
                <w:rFonts w:ascii="Arial" w:cs="Arial" w:eastAsia="Arial" w:hAnsi="Arial"/>
                <w:sz w:val="14"/>
                <w:szCs w:val="14"/>
                <w:b w:val="1"/>
                <w:bCs w:val="1"/>
                <w:color w:val="007549"/>
              </w:rPr>
              <w:t>Chair</w:t>
            </w: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5680" w:type="dxa"/>
            <w:vAlign w:val="bottom"/>
          </w:tcPr>
          <w:p>
            <w:pPr>
              <w:ind w:left="160"/>
              <w:spacing w:after="0"/>
              <w:rPr>
                <w:sz w:val="20"/>
                <w:szCs w:val="20"/>
                <w:color w:val="auto"/>
              </w:rPr>
            </w:pPr>
            <w:r>
              <w:rPr>
                <w:rFonts w:ascii="Arial" w:cs="Arial" w:eastAsia="Arial" w:hAnsi="Arial"/>
                <w:sz w:val="16"/>
                <w:szCs w:val="16"/>
                <w:i w:val="1"/>
                <w:iCs w:val="1"/>
                <w:color w:val="auto"/>
              </w:rPr>
              <w:t>Penn Integrates Knowledge Professor, University of Pennsylvania;</w:t>
            </w:r>
          </w:p>
        </w:tc>
        <w:tc>
          <w:tcPr>
            <w:tcW w:w="32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680" w:type="dxa"/>
            <w:vAlign w:val="bottom"/>
          </w:tcPr>
          <w:p>
            <w:pPr>
              <w:ind w:left="160"/>
              <w:spacing w:after="0"/>
              <w:rPr>
                <w:sz w:val="20"/>
                <w:szCs w:val="20"/>
                <w:color w:val="auto"/>
              </w:rPr>
            </w:pPr>
            <w:r>
              <w:rPr>
                <w:rFonts w:ascii="Arial" w:cs="Arial" w:eastAsia="Arial" w:hAnsi="Arial"/>
                <w:sz w:val="16"/>
                <w:szCs w:val="16"/>
                <w:i w:val="1"/>
                <w:iCs w:val="1"/>
                <w:color w:val="auto"/>
              </w:rPr>
              <w:t>Former President and CEO, Robert Wood Johnson Foundation</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5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5680" w:type="dxa"/>
            <w:vAlign w:val="bottom"/>
            <w:shd w:val="clear" w:color="auto" w:fill="E5E5E5"/>
          </w:tcPr>
          <w:p>
            <w:pPr>
              <w:ind w:left="80"/>
              <w:spacing w:after="0"/>
              <w:rPr>
                <w:sz w:val="20"/>
                <w:szCs w:val="20"/>
                <w:color w:val="auto"/>
              </w:rPr>
            </w:pPr>
            <w:r>
              <w:rPr>
                <w:rFonts w:ascii="Arial" w:cs="Arial" w:eastAsia="Arial" w:hAnsi="Arial"/>
                <w:sz w:val="16"/>
                <w:szCs w:val="16"/>
                <w:b w:val="1"/>
                <w:bCs w:val="1"/>
                <w:color w:val="007549"/>
              </w:rPr>
              <w:t>Marc S. Lipschultz*</w:t>
            </w:r>
          </w:p>
        </w:tc>
        <w:tc>
          <w:tcPr>
            <w:tcW w:w="320" w:type="dxa"/>
            <w:vAlign w:val="bottom"/>
            <w:vMerge w:val="restart"/>
            <w:shd w:val="clear" w:color="auto" w:fill="E5E5E5"/>
          </w:tcPr>
          <w:p>
            <w:pPr>
              <w:jc w:val="center"/>
              <w:spacing w:after="0"/>
              <w:rPr>
                <w:sz w:val="20"/>
                <w:szCs w:val="20"/>
                <w:color w:val="auto"/>
              </w:rPr>
            </w:pPr>
            <w:r>
              <w:rPr>
                <w:rFonts w:ascii="Arial" w:cs="Arial" w:eastAsia="Arial" w:hAnsi="Arial"/>
                <w:sz w:val="16"/>
                <w:szCs w:val="16"/>
                <w:color w:val="auto"/>
              </w:rPr>
              <w:t>49</w:t>
            </w:r>
          </w:p>
        </w:tc>
        <w:tc>
          <w:tcPr>
            <w:tcW w:w="600" w:type="dxa"/>
            <w:vAlign w:val="bottom"/>
            <w:vMerge w:val="restart"/>
            <w:shd w:val="clear" w:color="auto" w:fill="E5E5E5"/>
          </w:tcPr>
          <w:p>
            <w:pPr>
              <w:jc w:val="center"/>
              <w:spacing w:after="0"/>
              <w:rPr>
                <w:sz w:val="20"/>
                <w:szCs w:val="20"/>
                <w:color w:val="auto"/>
              </w:rPr>
            </w:pPr>
            <w:r>
              <w:rPr>
                <w:rFonts w:ascii="Arial" w:cs="Arial" w:eastAsia="Arial" w:hAnsi="Arial"/>
                <w:sz w:val="16"/>
                <w:szCs w:val="16"/>
                <w:color w:val="auto"/>
                <w:w w:val="95"/>
              </w:rPr>
              <w:t>2016</w:t>
            </w:r>
          </w:p>
        </w:tc>
        <w:tc>
          <w:tcPr>
            <w:tcW w:w="1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1260" w:type="dxa"/>
            <w:vAlign w:val="bottom"/>
            <w:vMerge w:val="restart"/>
            <w:shd w:val="clear" w:color="auto" w:fill="E5E5E5"/>
          </w:tcPr>
          <w:p>
            <w:pPr>
              <w:jc w:val="center"/>
              <w:ind w:left="39"/>
              <w:spacing w:after="0"/>
              <w:rPr>
                <w:sz w:val="20"/>
                <w:szCs w:val="20"/>
                <w:color w:val="auto"/>
              </w:rPr>
            </w:pPr>
            <w:r>
              <w:rPr>
                <w:rFonts w:ascii="Arial" w:cs="Arial" w:eastAsia="Arial" w:hAnsi="Arial"/>
                <w:sz w:val="18"/>
                <w:szCs w:val="18"/>
                <w:color w:val="007549"/>
                <w:w w:val="91"/>
              </w:rPr>
              <w:t>●</w:t>
            </w:r>
          </w:p>
        </w:tc>
        <w:tc>
          <w:tcPr>
            <w:tcW w:w="120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5680" w:type="dxa"/>
            <w:vAlign w:val="bottom"/>
            <w:shd w:val="clear" w:color="auto" w:fill="E5E5E5"/>
          </w:tcPr>
          <w:p>
            <w:pPr>
              <w:ind w:left="160"/>
              <w:spacing w:after="0"/>
              <w:rPr>
                <w:sz w:val="20"/>
                <w:szCs w:val="20"/>
                <w:color w:val="auto"/>
              </w:rPr>
            </w:pPr>
            <w:r>
              <w:rPr>
                <w:rFonts w:ascii="Arial" w:cs="Arial" w:eastAsia="Arial" w:hAnsi="Arial"/>
                <w:sz w:val="16"/>
                <w:szCs w:val="16"/>
                <w:i w:val="1"/>
                <w:iCs w:val="1"/>
                <w:color w:val="auto"/>
              </w:rPr>
              <w:t>Co-founder and President of Owl Rock Capital Partners and</w:t>
            </w:r>
          </w:p>
        </w:tc>
        <w:tc>
          <w:tcPr>
            <w:tcW w:w="320" w:type="dxa"/>
            <w:vAlign w:val="bottom"/>
            <w:vMerge w:val="continue"/>
            <w:shd w:val="clear" w:color="auto" w:fill="E5E5E5"/>
          </w:tcPr>
          <w:p>
            <w:pPr>
              <w:spacing w:after="0"/>
              <w:rPr>
                <w:sz w:val="16"/>
                <w:szCs w:val="16"/>
                <w:color w:val="auto"/>
              </w:rPr>
            </w:pPr>
          </w:p>
        </w:tc>
        <w:tc>
          <w:tcPr>
            <w:tcW w:w="600" w:type="dxa"/>
            <w:vAlign w:val="bottom"/>
            <w:vMerge w:val="continue"/>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1260" w:type="dxa"/>
            <w:vAlign w:val="bottom"/>
            <w:vMerge w:val="continue"/>
            <w:shd w:val="clear" w:color="auto" w:fill="E5E5E5"/>
          </w:tcPr>
          <w:p>
            <w:pPr>
              <w:spacing w:after="0"/>
              <w:rPr>
                <w:sz w:val="16"/>
                <w:szCs w:val="16"/>
                <w:color w:val="auto"/>
              </w:rPr>
            </w:pPr>
          </w:p>
        </w:tc>
        <w:tc>
          <w:tcPr>
            <w:tcW w:w="120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5680" w:type="dxa"/>
            <w:vAlign w:val="bottom"/>
            <w:shd w:val="clear" w:color="auto" w:fill="E5E5E5"/>
          </w:tcPr>
          <w:p>
            <w:pPr>
              <w:ind w:left="160"/>
              <w:spacing w:after="0"/>
              <w:rPr>
                <w:sz w:val="20"/>
                <w:szCs w:val="20"/>
                <w:color w:val="auto"/>
              </w:rPr>
            </w:pPr>
            <w:r>
              <w:rPr>
                <w:rFonts w:ascii="Arial" w:cs="Arial" w:eastAsia="Arial" w:hAnsi="Arial"/>
                <w:sz w:val="16"/>
                <w:szCs w:val="16"/>
                <w:i w:val="1"/>
                <w:iCs w:val="1"/>
                <w:color w:val="auto"/>
              </w:rPr>
              <w:t>Co-Chief Investment Officer of Owl Rock Capital Advisors</w:t>
            </w:r>
          </w:p>
        </w:tc>
        <w:tc>
          <w:tcPr>
            <w:tcW w:w="320" w:type="dxa"/>
            <w:vAlign w:val="bottom"/>
            <w:shd w:val="clear" w:color="auto" w:fill="E5E5E5"/>
          </w:tcPr>
          <w:p>
            <w:pPr>
              <w:spacing w:after="0"/>
              <w:rPr>
                <w:sz w:val="19"/>
                <w:szCs w:val="19"/>
                <w:color w:val="auto"/>
              </w:rPr>
            </w:pPr>
          </w:p>
        </w:tc>
        <w:tc>
          <w:tcPr>
            <w:tcW w:w="60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760" w:type="dxa"/>
            <w:vAlign w:val="bottom"/>
            <w:shd w:val="clear" w:color="auto" w:fill="E5E5E5"/>
          </w:tcPr>
          <w:p>
            <w:pPr>
              <w:spacing w:after="0"/>
              <w:rPr>
                <w:sz w:val="19"/>
                <w:szCs w:val="19"/>
                <w:color w:val="auto"/>
              </w:rPr>
            </w:pPr>
          </w:p>
        </w:tc>
        <w:tc>
          <w:tcPr>
            <w:tcW w:w="1260" w:type="dxa"/>
            <w:vAlign w:val="bottom"/>
            <w:shd w:val="clear" w:color="auto" w:fill="E5E5E5"/>
          </w:tcPr>
          <w:p>
            <w:pPr>
              <w:spacing w:after="0"/>
              <w:rPr>
                <w:sz w:val="19"/>
                <w:szCs w:val="19"/>
                <w:color w:val="auto"/>
              </w:rPr>
            </w:pPr>
          </w:p>
        </w:tc>
        <w:tc>
          <w:tcPr>
            <w:tcW w:w="1200" w:type="dxa"/>
            <w:vAlign w:val="bottom"/>
            <w:shd w:val="clear" w:color="auto" w:fill="E5E5E5"/>
          </w:tcPr>
          <w:p>
            <w:pPr>
              <w:spacing w:after="0"/>
              <w:rPr>
                <w:sz w:val="19"/>
                <w:szCs w:val="19"/>
                <w:color w:val="auto"/>
              </w:rPr>
            </w:pPr>
          </w:p>
        </w:tc>
        <w:tc>
          <w:tcPr>
            <w:tcW w:w="92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680" w:type="dxa"/>
            <w:vAlign w:val="bottom"/>
          </w:tcPr>
          <w:p>
            <w:pPr>
              <w:ind w:left="80"/>
              <w:spacing w:after="0"/>
              <w:rPr>
                <w:sz w:val="20"/>
                <w:szCs w:val="20"/>
                <w:color w:val="auto"/>
              </w:rPr>
            </w:pPr>
            <w:r>
              <w:rPr>
                <w:rFonts w:ascii="Arial" w:cs="Arial" w:eastAsia="Arial" w:hAnsi="Arial"/>
                <w:sz w:val="16"/>
                <w:szCs w:val="16"/>
                <w:b w:val="1"/>
                <w:bCs w:val="1"/>
                <w:color w:val="007549"/>
              </w:rPr>
              <w:t>David McManus*</w:t>
            </w:r>
          </w:p>
        </w:tc>
        <w:tc>
          <w:tcPr>
            <w:tcW w:w="320" w:type="dxa"/>
            <w:vAlign w:val="bottom"/>
            <w:vMerge w:val="restart"/>
          </w:tcPr>
          <w:p>
            <w:pPr>
              <w:jc w:val="center"/>
              <w:spacing w:after="0"/>
              <w:rPr>
                <w:sz w:val="20"/>
                <w:szCs w:val="20"/>
                <w:color w:val="auto"/>
              </w:rPr>
            </w:pPr>
            <w:r>
              <w:rPr>
                <w:rFonts w:ascii="Arial" w:cs="Arial" w:eastAsia="Arial" w:hAnsi="Arial"/>
                <w:sz w:val="16"/>
                <w:szCs w:val="16"/>
                <w:color w:val="auto"/>
              </w:rPr>
              <w:t>64</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auto"/>
                <w:w w:val="95"/>
              </w:rPr>
              <w:t>2013</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vMerge w:val="restart"/>
          </w:tcPr>
          <w:p>
            <w:pPr>
              <w:jc w:val="center"/>
              <w:ind w:left="39"/>
              <w:spacing w:after="0"/>
              <w:rPr>
                <w:sz w:val="20"/>
                <w:szCs w:val="20"/>
                <w:color w:val="auto"/>
              </w:rPr>
            </w:pPr>
            <w:r>
              <w:rPr>
                <w:rFonts w:ascii="Arial" w:cs="Arial" w:eastAsia="Arial" w:hAnsi="Arial"/>
                <w:sz w:val="18"/>
                <w:szCs w:val="18"/>
                <w:color w:val="007549"/>
                <w:w w:val="91"/>
              </w:rPr>
              <w:t>●</w:t>
            </w:r>
          </w:p>
        </w:tc>
        <w:tc>
          <w:tcPr>
            <w:tcW w:w="1200" w:type="dxa"/>
            <w:vAlign w:val="bottom"/>
          </w:tcPr>
          <w:p>
            <w:pPr>
              <w:spacing w:after="0"/>
              <w:rPr>
                <w:sz w:val="18"/>
                <w:szCs w:val="18"/>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7549"/>
              </w:rPr>
              <w:t>●</w:t>
            </w:r>
          </w:p>
        </w:tc>
        <w:tc>
          <w:tcPr>
            <w:tcW w:w="0" w:type="dxa"/>
            <w:vAlign w:val="bottom"/>
          </w:tcPr>
          <w:p>
            <w:pPr>
              <w:spacing w:after="0"/>
              <w:rPr>
                <w:sz w:val="1"/>
                <w:szCs w:val="1"/>
                <w:color w:val="auto"/>
              </w:rPr>
            </w:pPr>
          </w:p>
        </w:tc>
      </w:tr>
      <w:tr>
        <w:trPr>
          <w:trHeight w:val="93"/>
        </w:trPr>
        <w:tc>
          <w:tcPr>
            <w:tcW w:w="5680" w:type="dxa"/>
            <w:vAlign w:val="bottom"/>
            <w:vMerge w:val="restart"/>
          </w:tcPr>
          <w:p>
            <w:pPr>
              <w:ind w:left="160"/>
              <w:spacing w:after="0"/>
              <w:rPr>
                <w:sz w:val="20"/>
                <w:szCs w:val="20"/>
                <w:color w:val="auto"/>
              </w:rPr>
            </w:pPr>
            <w:r>
              <w:rPr>
                <w:rFonts w:ascii="Arial" w:cs="Arial" w:eastAsia="Arial" w:hAnsi="Arial"/>
                <w:sz w:val="16"/>
                <w:szCs w:val="16"/>
                <w:i w:val="1"/>
                <w:iCs w:val="1"/>
                <w:color w:val="auto"/>
              </w:rPr>
              <w:t>Former EVP, Pioneer Natural Resources</w:t>
            </w:r>
          </w:p>
        </w:tc>
        <w:tc>
          <w:tcPr>
            <w:tcW w:w="32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56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5680" w:type="dxa"/>
            <w:vAlign w:val="bottom"/>
            <w:shd w:val="clear" w:color="auto" w:fill="E5E5E5"/>
          </w:tcPr>
          <w:p>
            <w:pPr>
              <w:ind w:left="80"/>
              <w:spacing w:after="0"/>
              <w:rPr>
                <w:sz w:val="20"/>
                <w:szCs w:val="20"/>
                <w:color w:val="auto"/>
              </w:rPr>
            </w:pPr>
            <w:r>
              <w:rPr>
                <w:rFonts w:ascii="Arial" w:cs="Arial" w:eastAsia="Arial" w:hAnsi="Arial"/>
                <w:sz w:val="16"/>
                <w:szCs w:val="16"/>
                <w:b w:val="1"/>
                <w:bCs w:val="1"/>
                <w:color w:val="007549"/>
              </w:rPr>
              <w:t>Kevin O. Meyers*</w:t>
            </w:r>
          </w:p>
        </w:tc>
        <w:tc>
          <w:tcPr>
            <w:tcW w:w="320" w:type="dxa"/>
            <w:vAlign w:val="bottom"/>
            <w:vMerge w:val="restart"/>
            <w:shd w:val="clear" w:color="auto" w:fill="E5E5E5"/>
          </w:tcPr>
          <w:p>
            <w:pPr>
              <w:jc w:val="center"/>
              <w:spacing w:after="0"/>
              <w:rPr>
                <w:sz w:val="20"/>
                <w:szCs w:val="20"/>
                <w:color w:val="auto"/>
              </w:rPr>
            </w:pPr>
            <w:r>
              <w:rPr>
                <w:rFonts w:ascii="Arial" w:cs="Arial" w:eastAsia="Arial" w:hAnsi="Arial"/>
                <w:sz w:val="16"/>
                <w:szCs w:val="16"/>
                <w:color w:val="auto"/>
              </w:rPr>
              <w:t>64</w:t>
            </w:r>
          </w:p>
        </w:tc>
        <w:tc>
          <w:tcPr>
            <w:tcW w:w="600" w:type="dxa"/>
            <w:vAlign w:val="bottom"/>
            <w:vMerge w:val="restart"/>
            <w:shd w:val="clear" w:color="auto" w:fill="E5E5E5"/>
          </w:tcPr>
          <w:p>
            <w:pPr>
              <w:jc w:val="center"/>
              <w:spacing w:after="0"/>
              <w:rPr>
                <w:sz w:val="20"/>
                <w:szCs w:val="20"/>
                <w:color w:val="auto"/>
              </w:rPr>
            </w:pPr>
            <w:r>
              <w:rPr>
                <w:rFonts w:ascii="Arial" w:cs="Arial" w:eastAsia="Arial" w:hAnsi="Arial"/>
                <w:sz w:val="16"/>
                <w:szCs w:val="16"/>
                <w:color w:val="auto"/>
                <w:w w:val="95"/>
              </w:rPr>
              <w:t>2013</w:t>
            </w:r>
          </w:p>
        </w:tc>
        <w:tc>
          <w:tcPr>
            <w:tcW w:w="120" w:type="dxa"/>
            <w:vAlign w:val="bottom"/>
            <w:shd w:val="clear" w:color="auto" w:fill="E5E5E5"/>
          </w:tcPr>
          <w:p>
            <w:pPr>
              <w:spacing w:after="0"/>
              <w:rPr>
                <w:sz w:val="19"/>
                <w:szCs w:val="19"/>
                <w:color w:val="auto"/>
              </w:rPr>
            </w:pPr>
          </w:p>
        </w:tc>
        <w:tc>
          <w:tcPr>
            <w:tcW w:w="760" w:type="dxa"/>
            <w:vAlign w:val="bottom"/>
            <w:vMerge w:val="restart"/>
            <w:shd w:val="clear" w:color="auto" w:fill="E5E5E5"/>
          </w:tcPr>
          <w:p>
            <w:pPr>
              <w:jc w:val="center"/>
              <w:spacing w:after="0"/>
              <w:rPr>
                <w:sz w:val="20"/>
                <w:szCs w:val="20"/>
                <w:color w:val="auto"/>
              </w:rPr>
            </w:pPr>
            <w:r>
              <w:rPr>
                <w:rFonts w:ascii="Arial" w:cs="Arial" w:eastAsia="Arial" w:hAnsi="Arial"/>
                <w:sz w:val="18"/>
                <w:szCs w:val="18"/>
                <w:color w:val="007549"/>
                <w:w w:val="91"/>
              </w:rPr>
              <w:t>●</w:t>
            </w:r>
          </w:p>
        </w:tc>
        <w:tc>
          <w:tcPr>
            <w:tcW w:w="1260" w:type="dxa"/>
            <w:vAlign w:val="bottom"/>
            <w:shd w:val="clear" w:color="auto" w:fill="E5E5E5"/>
          </w:tcPr>
          <w:p>
            <w:pPr>
              <w:spacing w:after="0"/>
              <w:rPr>
                <w:sz w:val="19"/>
                <w:szCs w:val="19"/>
                <w:color w:val="auto"/>
              </w:rPr>
            </w:pPr>
          </w:p>
        </w:tc>
        <w:tc>
          <w:tcPr>
            <w:tcW w:w="1200" w:type="dxa"/>
            <w:vAlign w:val="bottom"/>
            <w:shd w:val="clear" w:color="auto" w:fill="E5E5E5"/>
          </w:tcPr>
          <w:p>
            <w:pPr>
              <w:spacing w:after="0"/>
              <w:rPr>
                <w:sz w:val="19"/>
                <w:szCs w:val="19"/>
                <w:color w:val="auto"/>
              </w:rPr>
            </w:pPr>
          </w:p>
        </w:tc>
        <w:tc>
          <w:tcPr>
            <w:tcW w:w="920" w:type="dxa"/>
            <w:vAlign w:val="bottom"/>
            <w:vMerge w:val="restart"/>
            <w:shd w:val="clear" w:color="auto" w:fill="E5E5E5"/>
          </w:tcPr>
          <w:p>
            <w:pPr>
              <w:jc w:val="center"/>
              <w:spacing w:after="0"/>
              <w:rPr>
                <w:sz w:val="20"/>
                <w:szCs w:val="20"/>
                <w:color w:val="auto"/>
              </w:rPr>
            </w:pPr>
            <w:r>
              <w:rPr>
                <w:rFonts w:ascii="Arial" w:cs="Arial" w:eastAsia="Arial" w:hAnsi="Arial"/>
                <w:sz w:val="14"/>
                <w:szCs w:val="14"/>
                <w:b w:val="1"/>
                <w:bCs w:val="1"/>
                <w:color w:val="007549"/>
              </w:rPr>
              <w:t>Chair</w:t>
            </w:r>
          </w:p>
        </w:tc>
        <w:tc>
          <w:tcPr>
            <w:tcW w:w="0" w:type="dxa"/>
            <w:vAlign w:val="bottom"/>
          </w:tcPr>
          <w:p>
            <w:pPr>
              <w:spacing w:after="0"/>
              <w:rPr>
                <w:sz w:val="1"/>
                <w:szCs w:val="1"/>
                <w:color w:val="auto"/>
              </w:rPr>
            </w:pPr>
          </w:p>
        </w:tc>
      </w:tr>
      <w:tr>
        <w:trPr>
          <w:trHeight w:val="93"/>
        </w:trPr>
        <w:tc>
          <w:tcPr>
            <w:tcW w:w="5680" w:type="dxa"/>
            <w:vAlign w:val="bottom"/>
            <w:vMerge w:val="restart"/>
            <w:shd w:val="clear" w:color="auto" w:fill="E5E5E5"/>
          </w:tcPr>
          <w:p>
            <w:pPr>
              <w:ind w:left="160"/>
              <w:spacing w:after="0"/>
              <w:rPr>
                <w:sz w:val="20"/>
                <w:szCs w:val="20"/>
                <w:color w:val="auto"/>
              </w:rPr>
            </w:pPr>
            <w:r>
              <w:rPr>
                <w:rFonts w:ascii="Arial" w:cs="Arial" w:eastAsia="Arial" w:hAnsi="Arial"/>
                <w:sz w:val="16"/>
                <w:szCs w:val="16"/>
                <w:i w:val="1"/>
                <w:iCs w:val="1"/>
                <w:color w:val="auto"/>
              </w:rPr>
              <w:t>Former SVP of Americas E&amp;P, ConocoPhillips</w:t>
            </w:r>
          </w:p>
        </w:tc>
        <w:tc>
          <w:tcPr>
            <w:tcW w:w="320" w:type="dxa"/>
            <w:vAlign w:val="bottom"/>
            <w:vMerge w:val="continue"/>
            <w:shd w:val="clear" w:color="auto" w:fill="E5E5E5"/>
          </w:tcPr>
          <w:p>
            <w:pPr>
              <w:spacing w:after="0"/>
              <w:rPr>
                <w:sz w:val="8"/>
                <w:szCs w:val="8"/>
                <w:color w:val="auto"/>
              </w:rPr>
            </w:pPr>
          </w:p>
        </w:tc>
        <w:tc>
          <w:tcPr>
            <w:tcW w:w="600" w:type="dxa"/>
            <w:vAlign w:val="bottom"/>
            <w:vMerge w:val="continue"/>
            <w:shd w:val="clear" w:color="auto" w:fill="E5E5E5"/>
          </w:tcPr>
          <w:p>
            <w:pPr>
              <w:spacing w:after="0"/>
              <w:rPr>
                <w:sz w:val="8"/>
                <w:szCs w:val="8"/>
                <w:color w:val="auto"/>
              </w:rPr>
            </w:pPr>
          </w:p>
        </w:tc>
        <w:tc>
          <w:tcPr>
            <w:tcW w:w="120" w:type="dxa"/>
            <w:vAlign w:val="bottom"/>
            <w:shd w:val="clear" w:color="auto" w:fill="E5E5E5"/>
          </w:tcPr>
          <w:p>
            <w:pPr>
              <w:spacing w:after="0"/>
              <w:rPr>
                <w:sz w:val="8"/>
                <w:szCs w:val="8"/>
                <w:color w:val="auto"/>
              </w:rPr>
            </w:pPr>
          </w:p>
        </w:tc>
        <w:tc>
          <w:tcPr>
            <w:tcW w:w="760" w:type="dxa"/>
            <w:vAlign w:val="bottom"/>
            <w:vMerge w:val="continue"/>
            <w:shd w:val="clear" w:color="auto" w:fill="E5E5E5"/>
          </w:tcPr>
          <w:p>
            <w:pPr>
              <w:spacing w:after="0"/>
              <w:rPr>
                <w:sz w:val="8"/>
                <w:szCs w:val="8"/>
                <w:color w:val="auto"/>
              </w:rPr>
            </w:pPr>
          </w:p>
        </w:tc>
        <w:tc>
          <w:tcPr>
            <w:tcW w:w="1260" w:type="dxa"/>
            <w:vAlign w:val="bottom"/>
            <w:shd w:val="clear" w:color="auto" w:fill="E5E5E5"/>
          </w:tcPr>
          <w:p>
            <w:pPr>
              <w:spacing w:after="0"/>
              <w:rPr>
                <w:sz w:val="8"/>
                <w:szCs w:val="8"/>
                <w:color w:val="auto"/>
              </w:rPr>
            </w:pPr>
          </w:p>
        </w:tc>
        <w:tc>
          <w:tcPr>
            <w:tcW w:w="1200" w:type="dxa"/>
            <w:vAlign w:val="bottom"/>
            <w:shd w:val="clear" w:color="auto" w:fill="E5E5E5"/>
          </w:tcPr>
          <w:p>
            <w:pPr>
              <w:spacing w:after="0"/>
              <w:rPr>
                <w:sz w:val="8"/>
                <w:szCs w:val="8"/>
                <w:color w:val="auto"/>
              </w:rPr>
            </w:pPr>
          </w:p>
        </w:tc>
        <w:tc>
          <w:tcPr>
            <w:tcW w:w="920" w:type="dxa"/>
            <w:vAlign w:val="bottom"/>
            <w:vMerge w:val="continue"/>
            <w:shd w:val="clear" w:color="auto" w:fill="E5E5E5"/>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5680" w:type="dxa"/>
            <w:vAlign w:val="bottom"/>
            <w:vMerge w:val="continue"/>
            <w:shd w:val="clear" w:color="auto" w:fill="E5E5E5"/>
          </w:tcPr>
          <w:p>
            <w:pPr>
              <w:spacing w:after="0"/>
              <w:rPr>
                <w:sz w:val="11"/>
                <w:szCs w:val="11"/>
                <w:color w:val="auto"/>
              </w:rPr>
            </w:pPr>
          </w:p>
        </w:tc>
        <w:tc>
          <w:tcPr>
            <w:tcW w:w="320" w:type="dxa"/>
            <w:vAlign w:val="bottom"/>
            <w:shd w:val="clear" w:color="auto" w:fill="E5E5E5"/>
          </w:tcPr>
          <w:p>
            <w:pPr>
              <w:spacing w:after="0"/>
              <w:rPr>
                <w:sz w:val="11"/>
                <w:szCs w:val="11"/>
                <w:color w:val="auto"/>
              </w:rPr>
            </w:pPr>
          </w:p>
        </w:tc>
        <w:tc>
          <w:tcPr>
            <w:tcW w:w="600" w:type="dxa"/>
            <w:vAlign w:val="bottom"/>
            <w:shd w:val="clear" w:color="auto" w:fill="E5E5E5"/>
          </w:tcPr>
          <w:p>
            <w:pPr>
              <w:spacing w:after="0"/>
              <w:rPr>
                <w:sz w:val="11"/>
                <w:szCs w:val="11"/>
                <w:color w:val="auto"/>
              </w:rPr>
            </w:pPr>
          </w:p>
        </w:tc>
        <w:tc>
          <w:tcPr>
            <w:tcW w:w="120" w:type="dxa"/>
            <w:vAlign w:val="bottom"/>
            <w:shd w:val="clear" w:color="auto" w:fill="E5E5E5"/>
          </w:tcPr>
          <w:p>
            <w:pPr>
              <w:spacing w:after="0"/>
              <w:rPr>
                <w:sz w:val="11"/>
                <w:szCs w:val="11"/>
                <w:color w:val="auto"/>
              </w:rPr>
            </w:pPr>
          </w:p>
        </w:tc>
        <w:tc>
          <w:tcPr>
            <w:tcW w:w="760" w:type="dxa"/>
            <w:vAlign w:val="bottom"/>
            <w:shd w:val="clear" w:color="auto" w:fill="E5E5E5"/>
          </w:tcPr>
          <w:p>
            <w:pPr>
              <w:spacing w:after="0"/>
              <w:rPr>
                <w:sz w:val="11"/>
                <w:szCs w:val="11"/>
                <w:color w:val="auto"/>
              </w:rPr>
            </w:pPr>
          </w:p>
        </w:tc>
        <w:tc>
          <w:tcPr>
            <w:tcW w:w="1260" w:type="dxa"/>
            <w:vAlign w:val="bottom"/>
            <w:shd w:val="clear" w:color="auto" w:fill="E5E5E5"/>
          </w:tcPr>
          <w:p>
            <w:pPr>
              <w:spacing w:after="0"/>
              <w:rPr>
                <w:sz w:val="11"/>
                <w:szCs w:val="11"/>
                <w:color w:val="auto"/>
              </w:rPr>
            </w:pPr>
          </w:p>
        </w:tc>
        <w:tc>
          <w:tcPr>
            <w:tcW w:w="1200" w:type="dxa"/>
            <w:vAlign w:val="bottom"/>
            <w:shd w:val="clear" w:color="auto" w:fill="E5E5E5"/>
          </w:tcPr>
          <w:p>
            <w:pPr>
              <w:spacing w:after="0"/>
              <w:rPr>
                <w:sz w:val="11"/>
                <w:szCs w:val="11"/>
                <w:color w:val="auto"/>
              </w:rPr>
            </w:pPr>
          </w:p>
        </w:tc>
        <w:tc>
          <w:tcPr>
            <w:tcW w:w="92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5680" w:type="dxa"/>
            <w:vAlign w:val="bottom"/>
          </w:tcPr>
          <w:p>
            <w:pPr>
              <w:ind w:left="80"/>
              <w:spacing w:after="0"/>
              <w:rPr>
                <w:sz w:val="20"/>
                <w:szCs w:val="20"/>
                <w:color w:val="auto"/>
              </w:rPr>
            </w:pPr>
            <w:r>
              <w:rPr>
                <w:rFonts w:ascii="Arial" w:cs="Arial" w:eastAsia="Arial" w:hAnsi="Arial"/>
                <w:sz w:val="16"/>
                <w:szCs w:val="16"/>
                <w:b w:val="1"/>
                <w:bCs w:val="1"/>
                <w:color w:val="007549"/>
              </w:rPr>
              <w:t>James H. Quigley*</w:t>
            </w:r>
          </w:p>
        </w:tc>
        <w:tc>
          <w:tcPr>
            <w:tcW w:w="320" w:type="dxa"/>
            <w:vAlign w:val="bottom"/>
            <w:vMerge w:val="restart"/>
          </w:tcPr>
          <w:p>
            <w:pPr>
              <w:jc w:val="center"/>
              <w:spacing w:after="0"/>
              <w:rPr>
                <w:sz w:val="20"/>
                <w:szCs w:val="20"/>
                <w:color w:val="auto"/>
              </w:rPr>
            </w:pPr>
            <w:r>
              <w:rPr>
                <w:rFonts w:ascii="Arial" w:cs="Arial" w:eastAsia="Arial" w:hAnsi="Arial"/>
                <w:sz w:val="16"/>
                <w:szCs w:val="16"/>
                <w:color w:val="auto"/>
              </w:rPr>
              <w:t>65</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auto"/>
                <w:w w:val="95"/>
              </w:rPr>
              <w:t>2013</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vMerge w:val="restart"/>
          </w:tcPr>
          <w:p>
            <w:pPr>
              <w:jc w:val="center"/>
              <w:ind w:left="39"/>
              <w:spacing w:after="0"/>
              <w:rPr>
                <w:sz w:val="20"/>
                <w:szCs w:val="20"/>
                <w:color w:val="auto"/>
              </w:rPr>
            </w:pPr>
            <w:r>
              <w:rPr>
                <w:rFonts w:ascii="Arial" w:cs="Arial" w:eastAsia="Arial" w:hAnsi="Arial"/>
                <w:sz w:val="18"/>
                <w:szCs w:val="18"/>
                <w:color w:val="007549"/>
                <w:w w:val="91"/>
              </w:rPr>
              <w:t>●</w:t>
            </w: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5680" w:type="dxa"/>
            <w:vAlign w:val="bottom"/>
            <w:vMerge w:val="restart"/>
          </w:tcPr>
          <w:p>
            <w:pPr>
              <w:ind w:left="160"/>
              <w:spacing w:after="0"/>
              <w:rPr>
                <w:sz w:val="20"/>
                <w:szCs w:val="20"/>
                <w:color w:val="auto"/>
              </w:rPr>
            </w:pPr>
            <w:r>
              <w:rPr>
                <w:rFonts w:ascii="Arial" w:cs="Arial" w:eastAsia="Arial" w:hAnsi="Arial"/>
                <w:sz w:val="16"/>
                <w:szCs w:val="16"/>
                <w:i w:val="1"/>
                <w:iCs w:val="1"/>
                <w:color w:val="auto"/>
              </w:rPr>
              <w:t>Independent Chairman of the Board</w:t>
            </w:r>
          </w:p>
        </w:tc>
        <w:tc>
          <w:tcPr>
            <w:tcW w:w="32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56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5680" w:type="dxa"/>
            <w:vAlign w:val="bottom"/>
            <w:shd w:val="clear" w:color="auto" w:fill="E5E5E5"/>
          </w:tcPr>
          <w:p>
            <w:pPr>
              <w:ind w:left="80"/>
              <w:spacing w:after="0"/>
              <w:rPr>
                <w:sz w:val="20"/>
                <w:szCs w:val="20"/>
                <w:color w:val="auto"/>
              </w:rPr>
            </w:pPr>
            <w:r>
              <w:rPr>
                <w:rFonts w:ascii="Arial" w:cs="Arial" w:eastAsia="Arial" w:hAnsi="Arial"/>
                <w:sz w:val="16"/>
                <w:szCs w:val="16"/>
                <w:b w:val="1"/>
                <w:bCs w:val="1"/>
                <w:color w:val="007549"/>
              </w:rPr>
              <w:t>Fredric G. Reynolds*</w:t>
            </w:r>
          </w:p>
        </w:tc>
        <w:tc>
          <w:tcPr>
            <w:tcW w:w="320" w:type="dxa"/>
            <w:vAlign w:val="bottom"/>
            <w:vMerge w:val="restart"/>
            <w:shd w:val="clear" w:color="auto" w:fill="E5E5E5"/>
          </w:tcPr>
          <w:p>
            <w:pPr>
              <w:jc w:val="center"/>
              <w:spacing w:after="0"/>
              <w:rPr>
                <w:sz w:val="20"/>
                <w:szCs w:val="20"/>
                <w:color w:val="auto"/>
              </w:rPr>
            </w:pPr>
            <w:r>
              <w:rPr>
                <w:rFonts w:ascii="Arial" w:cs="Arial" w:eastAsia="Arial" w:hAnsi="Arial"/>
                <w:sz w:val="16"/>
                <w:szCs w:val="16"/>
                <w:color w:val="auto"/>
              </w:rPr>
              <w:t>67</w:t>
            </w:r>
          </w:p>
        </w:tc>
        <w:tc>
          <w:tcPr>
            <w:tcW w:w="600" w:type="dxa"/>
            <w:vAlign w:val="bottom"/>
            <w:vMerge w:val="restart"/>
            <w:shd w:val="clear" w:color="auto" w:fill="E5E5E5"/>
          </w:tcPr>
          <w:p>
            <w:pPr>
              <w:jc w:val="center"/>
              <w:spacing w:after="0"/>
              <w:rPr>
                <w:sz w:val="20"/>
                <w:szCs w:val="20"/>
                <w:color w:val="auto"/>
              </w:rPr>
            </w:pPr>
            <w:r>
              <w:rPr>
                <w:rFonts w:ascii="Arial" w:cs="Arial" w:eastAsia="Arial" w:hAnsi="Arial"/>
                <w:sz w:val="16"/>
                <w:szCs w:val="16"/>
                <w:color w:val="auto"/>
                <w:w w:val="95"/>
              </w:rPr>
              <w:t>2013</w:t>
            </w:r>
          </w:p>
        </w:tc>
        <w:tc>
          <w:tcPr>
            <w:tcW w:w="120" w:type="dxa"/>
            <w:vAlign w:val="bottom"/>
            <w:shd w:val="clear" w:color="auto" w:fill="E5E5E5"/>
          </w:tcPr>
          <w:p>
            <w:pPr>
              <w:spacing w:after="0"/>
              <w:rPr>
                <w:sz w:val="19"/>
                <w:szCs w:val="19"/>
                <w:color w:val="auto"/>
              </w:rPr>
            </w:pPr>
          </w:p>
        </w:tc>
        <w:tc>
          <w:tcPr>
            <w:tcW w:w="760" w:type="dxa"/>
            <w:vAlign w:val="bottom"/>
            <w:vMerge w:val="restart"/>
            <w:shd w:val="clear" w:color="auto" w:fill="E5E5E5"/>
          </w:tcPr>
          <w:p>
            <w:pPr>
              <w:jc w:val="center"/>
              <w:spacing w:after="0"/>
              <w:rPr>
                <w:sz w:val="20"/>
                <w:szCs w:val="20"/>
                <w:color w:val="auto"/>
              </w:rPr>
            </w:pPr>
            <w:r>
              <w:rPr>
                <w:rFonts w:ascii="Arial" w:cs="Arial" w:eastAsia="Arial" w:hAnsi="Arial"/>
                <w:sz w:val="14"/>
                <w:szCs w:val="14"/>
                <w:b w:val="1"/>
                <w:bCs w:val="1"/>
                <w:color w:val="007549"/>
              </w:rPr>
              <w:t>Chair</w:t>
            </w:r>
          </w:p>
        </w:tc>
        <w:tc>
          <w:tcPr>
            <w:tcW w:w="1260" w:type="dxa"/>
            <w:vAlign w:val="bottom"/>
            <w:shd w:val="clear" w:color="auto" w:fill="E5E5E5"/>
          </w:tcPr>
          <w:p>
            <w:pPr>
              <w:spacing w:after="0"/>
              <w:rPr>
                <w:sz w:val="19"/>
                <w:szCs w:val="19"/>
                <w:color w:val="auto"/>
              </w:rPr>
            </w:pPr>
          </w:p>
        </w:tc>
        <w:tc>
          <w:tcPr>
            <w:tcW w:w="1200" w:type="dxa"/>
            <w:vAlign w:val="bottom"/>
            <w:vMerge w:val="restart"/>
            <w:shd w:val="clear" w:color="auto" w:fill="E5E5E5"/>
          </w:tcPr>
          <w:p>
            <w:pPr>
              <w:jc w:val="center"/>
              <w:spacing w:after="0"/>
              <w:rPr>
                <w:sz w:val="20"/>
                <w:szCs w:val="20"/>
                <w:color w:val="auto"/>
              </w:rPr>
            </w:pPr>
            <w:r>
              <w:rPr>
                <w:rFonts w:ascii="Arial" w:cs="Arial" w:eastAsia="Arial" w:hAnsi="Arial"/>
                <w:sz w:val="18"/>
                <w:szCs w:val="18"/>
                <w:color w:val="007549"/>
              </w:rPr>
              <w:t>●</w:t>
            </w:r>
          </w:p>
        </w:tc>
        <w:tc>
          <w:tcPr>
            <w:tcW w:w="920" w:type="dxa"/>
            <w:vAlign w:val="bottom"/>
            <w:vMerge w:val="restart"/>
            <w:shd w:val="clear" w:color="auto" w:fill="E5E5E5"/>
          </w:tcPr>
          <w:p>
            <w:pPr>
              <w:jc w:val="center"/>
              <w:spacing w:after="0"/>
              <w:rPr>
                <w:sz w:val="20"/>
                <w:szCs w:val="20"/>
                <w:color w:val="auto"/>
              </w:rPr>
            </w:pPr>
            <w:r>
              <w:rPr>
                <w:rFonts w:ascii="Arial" w:cs="Arial" w:eastAsia="Arial" w:hAnsi="Arial"/>
                <w:sz w:val="18"/>
                <w:szCs w:val="18"/>
                <w:color w:val="007549"/>
              </w:rPr>
              <w:t>●</w:t>
            </w:r>
          </w:p>
        </w:tc>
        <w:tc>
          <w:tcPr>
            <w:tcW w:w="0" w:type="dxa"/>
            <w:vAlign w:val="bottom"/>
          </w:tcPr>
          <w:p>
            <w:pPr>
              <w:spacing w:after="0"/>
              <w:rPr>
                <w:sz w:val="1"/>
                <w:szCs w:val="1"/>
                <w:color w:val="auto"/>
              </w:rPr>
            </w:pPr>
          </w:p>
        </w:tc>
      </w:tr>
      <w:tr>
        <w:trPr>
          <w:trHeight w:val="93"/>
        </w:trPr>
        <w:tc>
          <w:tcPr>
            <w:tcW w:w="5680" w:type="dxa"/>
            <w:vAlign w:val="bottom"/>
            <w:vMerge w:val="restart"/>
            <w:shd w:val="clear" w:color="auto" w:fill="E5E5E5"/>
          </w:tcPr>
          <w:p>
            <w:pPr>
              <w:ind w:left="160"/>
              <w:spacing w:after="0"/>
              <w:rPr>
                <w:sz w:val="20"/>
                <w:szCs w:val="20"/>
                <w:color w:val="auto"/>
              </w:rPr>
            </w:pPr>
            <w:r>
              <w:rPr>
                <w:rFonts w:ascii="Arial" w:cs="Arial" w:eastAsia="Arial" w:hAnsi="Arial"/>
                <w:sz w:val="16"/>
                <w:szCs w:val="16"/>
                <w:i w:val="1"/>
                <w:iCs w:val="1"/>
                <w:color w:val="auto"/>
              </w:rPr>
              <w:t>Former EVP &amp; CFO, CBS Corporation</w:t>
            </w:r>
          </w:p>
        </w:tc>
        <w:tc>
          <w:tcPr>
            <w:tcW w:w="320" w:type="dxa"/>
            <w:vAlign w:val="bottom"/>
            <w:vMerge w:val="continue"/>
            <w:shd w:val="clear" w:color="auto" w:fill="E5E5E5"/>
          </w:tcPr>
          <w:p>
            <w:pPr>
              <w:spacing w:after="0"/>
              <w:rPr>
                <w:sz w:val="8"/>
                <w:szCs w:val="8"/>
                <w:color w:val="auto"/>
              </w:rPr>
            </w:pPr>
          </w:p>
        </w:tc>
        <w:tc>
          <w:tcPr>
            <w:tcW w:w="600" w:type="dxa"/>
            <w:vAlign w:val="bottom"/>
            <w:vMerge w:val="continue"/>
            <w:shd w:val="clear" w:color="auto" w:fill="E5E5E5"/>
          </w:tcPr>
          <w:p>
            <w:pPr>
              <w:spacing w:after="0"/>
              <w:rPr>
                <w:sz w:val="8"/>
                <w:szCs w:val="8"/>
                <w:color w:val="auto"/>
              </w:rPr>
            </w:pPr>
          </w:p>
        </w:tc>
        <w:tc>
          <w:tcPr>
            <w:tcW w:w="120" w:type="dxa"/>
            <w:vAlign w:val="bottom"/>
            <w:shd w:val="clear" w:color="auto" w:fill="E5E5E5"/>
          </w:tcPr>
          <w:p>
            <w:pPr>
              <w:spacing w:after="0"/>
              <w:rPr>
                <w:sz w:val="8"/>
                <w:szCs w:val="8"/>
                <w:color w:val="auto"/>
              </w:rPr>
            </w:pPr>
          </w:p>
        </w:tc>
        <w:tc>
          <w:tcPr>
            <w:tcW w:w="760" w:type="dxa"/>
            <w:vAlign w:val="bottom"/>
            <w:vMerge w:val="continue"/>
            <w:shd w:val="clear" w:color="auto" w:fill="E5E5E5"/>
          </w:tcPr>
          <w:p>
            <w:pPr>
              <w:spacing w:after="0"/>
              <w:rPr>
                <w:sz w:val="8"/>
                <w:szCs w:val="8"/>
                <w:color w:val="auto"/>
              </w:rPr>
            </w:pPr>
          </w:p>
        </w:tc>
        <w:tc>
          <w:tcPr>
            <w:tcW w:w="1260" w:type="dxa"/>
            <w:vAlign w:val="bottom"/>
            <w:shd w:val="clear" w:color="auto" w:fill="E5E5E5"/>
          </w:tcPr>
          <w:p>
            <w:pPr>
              <w:spacing w:after="0"/>
              <w:rPr>
                <w:sz w:val="8"/>
                <w:szCs w:val="8"/>
                <w:color w:val="auto"/>
              </w:rPr>
            </w:pPr>
          </w:p>
        </w:tc>
        <w:tc>
          <w:tcPr>
            <w:tcW w:w="1200" w:type="dxa"/>
            <w:vAlign w:val="bottom"/>
            <w:vMerge w:val="continue"/>
            <w:shd w:val="clear" w:color="auto" w:fill="E5E5E5"/>
          </w:tcPr>
          <w:p>
            <w:pPr>
              <w:spacing w:after="0"/>
              <w:rPr>
                <w:sz w:val="8"/>
                <w:szCs w:val="8"/>
                <w:color w:val="auto"/>
              </w:rPr>
            </w:pPr>
          </w:p>
        </w:tc>
        <w:tc>
          <w:tcPr>
            <w:tcW w:w="920" w:type="dxa"/>
            <w:vAlign w:val="bottom"/>
            <w:vMerge w:val="continue"/>
            <w:shd w:val="clear" w:color="auto" w:fill="E5E5E5"/>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5680" w:type="dxa"/>
            <w:vAlign w:val="bottom"/>
            <w:vMerge w:val="continue"/>
            <w:shd w:val="clear" w:color="auto" w:fill="E5E5E5"/>
          </w:tcPr>
          <w:p>
            <w:pPr>
              <w:spacing w:after="0"/>
              <w:rPr>
                <w:sz w:val="11"/>
                <w:szCs w:val="11"/>
                <w:color w:val="auto"/>
              </w:rPr>
            </w:pPr>
          </w:p>
        </w:tc>
        <w:tc>
          <w:tcPr>
            <w:tcW w:w="320" w:type="dxa"/>
            <w:vAlign w:val="bottom"/>
            <w:shd w:val="clear" w:color="auto" w:fill="E5E5E5"/>
          </w:tcPr>
          <w:p>
            <w:pPr>
              <w:spacing w:after="0"/>
              <w:rPr>
                <w:sz w:val="11"/>
                <w:szCs w:val="11"/>
                <w:color w:val="auto"/>
              </w:rPr>
            </w:pPr>
          </w:p>
        </w:tc>
        <w:tc>
          <w:tcPr>
            <w:tcW w:w="600" w:type="dxa"/>
            <w:vAlign w:val="bottom"/>
            <w:shd w:val="clear" w:color="auto" w:fill="E5E5E5"/>
          </w:tcPr>
          <w:p>
            <w:pPr>
              <w:spacing w:after="0"/>
              <w:rPr>
                <w:sz w:val="11"/>
                <w:szCs w:val="11"/>
                <w:color w:val="auto"/>
              </w:rPr>
            </w:pPr>
          </w:p>
        </w:tc>
        <w:tc>
          <w:tcPr>
            <w:tcW w:w="120" w:type="dxa"/>
            <w:vAlign w:val="bottom"/>
            <w:shd w:val="clear" w:color="auto" w:fill="E5E5E5"/>
          </w:tcPr>
          <w:p>
            <w:pPr>
              <w:spacing w:after="0"/>
              <w:rPr>
                <w:sz w:val="11"/>
                <w:szCs w:val="11"/>
                <w:color w:val="auto"/>
              </w:rPr>
            </w:pPr>
          </w:p>
        </w:tc>
        <w:tc>
          <w:tcPr>
            <w:tcW w:w="760" w:type="dxa"/>
            <w:vAlign w:val="bottom"/>
            <w:shd w:val="clear" w:color="auto" w:fill="E5E5E5"/>
          </w:tcPr>
          <w:p>
            <w:pPr>
              <w:spacing w:after="0"/>
              <w:rPr>
                <w:sz w:val="11"/>
                <w:szCs w:val="11"/>
                <w:color w:val="auto"/>
              </w:rPr>
            </w:pPr>
          </w:p>
        </w:tc>
        <w:tc>
          <w:tcPr>
            <w:tcW w:w="1260" w:type="dxa"/>
            <w:vAlign w:val="bottom"/>
            <w:shd w:val="clear" w:color="auto" w:fill="E5E5E5"/>
          </w:tcPr>
          <w:p>
            <w:pPr>
              <w:spacing w:after="0"/>
              <w:rPr>
                <w:sz w:val="11"/>
                <w:szCs w:val="11"/>
                <w:color w:val="auto"/>
              </w:rPr>
            </w:pPr>
          </w:p>
        </w:tc>
        <w:tc>
          <w:tcPr>
            <w:tcW w:w="1200" w:type="dxa"/>
            <w:vAlign w:val="bottom"/>
            <w:shd w:val="clear" w:color="auto" w:fill="E5E5E5"/>
          </w:tcPr>
          <w:p>
            <w:pPr>
              <w:spacing w:after="0"/>
              <w:rPr>
                <w:sz w:val="11"/>
                <w:szCs w:val="11"/>
                <w:color w:val="auto"/>
              </w:rPr>
            </w:pPr>
          </w:p>
        </w:tc>
        <w:tc>
          <w:tcPr>
            <w:tcW w:w="92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5680" w:type="dxa"/>
            <w:vAlign w:val="bottom"/>
          </w:tcPr>
          <w:p>
            <w:pPr>
              <w:ind w:left="80"/>
              <w:spacing w:after="0"/>
              <w:rPr>
                <w:sz w:val="20"/>
                <w:szCs w:val="20"/>
                <w:color w:val="auto"/>
              </w:rPr>
            </w:pPr>
            <w:r>
              <w:rPr>
                <w:rFonts w:ascii="Arial" w:cs="Arial" w:eastAsia="Arial" w:hAnsi="Arial"/>
                <w:sz w:val="16"/>
                <w:szCs w:val="16"/>
                <w:b w:val="1"/>
                <w:bCs w:val="1"/>
                <w:color w:val="007549"/>
              </w:rPr>
              <w:t>William G. Schrader*</w:t>
            </w:r>
          </w:p>
        </w:tc>
        <w:tc>
          <w:tcPr>
            <w:tcW w:w="320" w:type="dxa"/>
            <w:vAlign w:val="bottom"/>
            <w:vMerge w:val="restart"/>
          </w:tcPr>
          <w:p>
            <w:pPr>
              <w:jc w:val="center"/>
              <w:spacing w:after="0"/>
              <w:rPr>
                <w:sz w:val="20"/>
                <w:szCs w:val="20"/>
                <w:color w:val="auto"/>
              </w:rPr>
            </w:pPr>
            <w:r>
              <w:rPr>
                <w:rFonts w:ascii="Arial" w:cs="Arial" w:eastAsia="Arial" w:hAnsi="Arial"/>
                <w:sz w:val="16"/>
                <w:szCs w:val="16"/>
                <w:color w:val="auto"/>
              </w:rPr>
              <w:t>60</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auto"/>
                <w:w w:val="95"/>
              </w:rPr>
              <w:t>2013</w:t>
            </w:r>
          </w:p>
        </w:tc>
        <w:tc>
          <w:tcPr>
            <w:tcW w:w="120" w:type="dxa"/>
            <w:vAlign w:val="bottom"/>
          </w:tcPr>
          <w:p>
            <w:pPr>
              <w:spacing w:after="0"/>
              <w:rPr>
                <w:sz w:val="18"/>
                <w:szCs w:val="18"/>
                <w:color w:val="auto"/>
              </w:rPr>
            </w:pP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7549"/>
                <w:w w:val="91"/>
              </w:rPr>
              <w:t>●</w:t>
            </w:r>
          </w:p>
        </w:tc>
        <w:tc>
          <w:tcPr>
            <w:tcW w:w="1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7549"/>
              </w:rPr>
              <w:t>●</w:t>
            </w:r>
          </w:p>
        </w:tc>
        <w:tc>
          <w:tcPr>
            <w:tcW w:w="0" w:type="dxa"/>
            <w:vAlign w:val="bottom"/>
          </w:tcPr>
          <w:p>
            <w:pPr>
              <w:spacing w:after="0"/>
              <w:rPr>
                <w:sz w:val="1"/>
                <w:szCs w:val="1"/>
                <w:color w:val="auto"/>
              </w:rPr>
            </w:pPr>
          </w:p>
        </w:tc>
      </w:tr>
      <w:tr>
        <w:trPr>
          <w:trHeight w:val="93"/>
        </w:trPr>
        <w:tc>
          <w:tcPr>
            <w:tcW w:w="5680" w:type="dxa"/>
            <w:vAlign w:val="bottom"/>
            <w:vMerge w:val="restart"/>
          </w:tcPr>
          <w:p>
            <w:pPr>
              <w:ind w:left="160"/>
              <w:spacing w:after="0"/>
              <w:rPr>
                <w:sz w:val="20"/>
                <w:szCs w:val="20"/>
                <w:color w:val="auto"/>
              </w:rPr>
            </w:pPr>
            <w:r>
              <w:rPr>
                <w:rFonts w:ascii="Arial" w:cs="Arial" w:eastAsia="Arial" w:hAnsi="Arial"/>
                <w:sz w:val="16"/>
                <w:szCs w:val="16"/>
                <w:i w:val="1"/>
                <w:iCs w:val="1"/>
                <w:color w:val="auto"/>
              </w:rPr>
              <w:t>Former COO, TNK-BP Russia</w:t>
            </w:r>
          </w:p>
        </w:tc>
        <w:tc>
          <w:tcPr>
            <w:tcW w:w="32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56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12065</wp:posOffset>
            </wp:positionV>
            <wp:extent cx="68935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93560" cy="8255"/>
                    </a:xfrm>
                    <a:prstGeom prst="rect">
                      <a:avLst/>
                    </a:prstGeom>
                    <a:noFill/>
                  </pic:spPr>
                </pic:pic>
              </a:graphicData>
            </a:graphic>
          </wp:anchor>
        </w:drawing>
        <w:drawing>
          <wp:anchor simplePos="0" relativeHeight="251657728" behindDoc="1" locked="0" layoutInCell="0" allowOverlap="1">
            <wp:simplePos x="0" y="0"/>
            <wp:positionH relativeFrom="column">
              <wp:posOffset>4439285</wp:posOffset>
            </wp:positionH>
            <wp:positionV relativeFrom="paragraph">
              <wp:posOffset>-3848735</wp:posOffset>
            </wp:positionV>
            <wp:extent cx="26358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35885" cy="8255"/>
                    </a:xfrm>
                    <a:prstGeom prst="rect">
                      <a:avLst/>
                    </a:prstGeom>
                    <a:noFill/>
                  </pic:spPr>
                </pic:pic>
              </a:graphicData>
            </a:graphic>
          </wp:anchor>
        </w:drawing>
      </w:r>
    </w:p>
    <w:p>
      <w:pPr>
        <w:spacing w:after="0" w:line="3" w:lineRule="exact"/>
        <w:rPr>
          <w:sz w:val="20"/>
          <w:szCs w:val="20"/>
          <w:color w:val="auto"/>
        </w:rPr>
      </w:pPr>
    </w:p>
    <w:p>
      <w:pPr>
        <w:ind w:left="280" w:right="8580" w:firstLine="6"/>
        <w:spacing w:after="0" w:line="272" w:lineRule="auto"/>
        <w:tabs>
          <w:tab w:leader="none" w:pos="386"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Independent Director **Subcommittee of Audit Committee</w:t>
      </w:r>
    </w:p>
    <w:p>
      <w:pPr>
        <w:spacing w:after="0" w:line="144"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007549"/>
        </w:rPr>
        <w:t>Independent Director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171450</wp:posOffset>
            </wp:positionV>
            <wp:extent cx="1089660" cy="17233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89660" cy="1723390"/>
                    </a:xfrm>
                    <a:prstGeom prst="rect">
                      <a:avLst/>
                    </a:prstGeom>
                    <a:noFill/>
                  </pic:spPr>
                </pic:pic>
              </a:graphicData>
            </a:graphic>
          </wp:anchor>
        </w:drawing>
        <w:drawing>
          <wp:anchor simplePos="0" relativeHeight="251657728" behindDoc="1" locked="0" layoutInCell="0" allowOverlap="1">
            <wp:simplePos x="0" y="0"/>
            <wp:positionH relativeFrom="column">
              <wp:posOffset>3231515</wp:posOffset>
            </wp:positionH>
            <wp:positionV relativeFrom="paragraph">
              <wp:posOffset>171450</wp:posOffset>
            </wp:positionV>
            <wp:extent cx="1326515" cy="1554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26515" cy="1554480"/>
                    </a:xfrm>
                    <a:prstGeom prst="rect">
                      <a:avLst/>
                    </a:prstGeom>
                    <a:noFill/>
                  </pic:spPr>
                </pic:pic>
              </a:graphicData>
            </a:graphic>
          </wp:anchor>
        </w:drawing>
        <w:drawing>
          <wp:anchor simplePos="0" relativeHeight="251657728" behindDoc="1" locked="0" layoutInCell="0" allowOverlap="1">
            <wp:simplePos x="0" y="0"/>
            <wp:positionH relativeFrom="column">
              <wp:posOffset>5115560</wp:posOffset>
            </wp:positionH>
            <wp:positionV relativeFrom="paragraph">
              <wp:posOffset>171450</wp:posOffset>
            </wp:positionV>
            <wp:extent cx="1664335" cy="20612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64335" cy="2061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2"/>
          <w:szCs w:val="12"/>
          <w:b w:val="1"/>
          <w:bCs w:val="1"/>
          <w:color w:val="666666"/>
        </w:rPr>
        <w:t>2018 PROXY STATEMENT</w:t>
      </w:r>
      <w:r>
        <w:rPr>
          <w:sz w:val="20"/>
          <w:szCs w:val="20"/>
          <w:color w:val="auto"/>
        </w:rPr>
        <w:tab/>
      </w:r>
      <w:r>
        <w:rPr>
          <w:rFonts w:ascii="Arial" w:cs="Arial" w:eastAsia="Arial" w:hAnsi="Arial"/>
          <w:sz w:val="14"/>
          <w:szCs w:val="14"/>
          <w:b w:val="1"/>
          <w:bCs w:val="1"/>
          <w:color w:val="007549"/>
        </w:rPr>
        <w:t>v</w:t>
      </w:r>
    </w:p>
    <w:p>
      <w:pPr>
        <w:sectPr>
          <w:pgSz w:w="11900" w:h="16838" w:orient="portrait"/>
          <w:cols w:equalWidth="0" w:num="1">
            <w:col w:w="11140"/>
          </w:cols>
          <w:pgMar w:left="240" w:top="454" w:right="5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007549"/>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55245</wp:posOffset>
            </wp:positionV>
            <wp:extent cx="68935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238"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333333"/>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63500</wp:posOffset>
            </wp:positionV>
            <wp:extent cx="68935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274"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007549"/>
        </w:rPr>
        <w:t>Compensation Objective</w:t>
      </w:r>
    </w:p>
    <w:p>
      <w:pPr>
        <w:spacing w:after="0" w:line="136" w:lineRule="exact"/>
        <w:rPr>
          <w:sz w:val="20"/>
          <w:szCs w:val="20"/>
          <w:color w:val="auto"/>
        </w:rPr>
      </w:pPr>
    </w:p>
    <w:p>
      <w:pPr>
        <w:jc w:val="both"/>
        <w:ind w:left="280"/>
        <w:spacing w:after="0" w:line="233" w:lineRule="auto"/>
        <w:rPr>
          <w:sz w:val="20"/>
          <w:szCs w:val="20"/>
          <w:color w:val="auto"/>
        </w:rPr>
      </w:pPr>
      <w:r>
        <w:rPr>
          <w:rFonts w:ascii="Arial" w:cs="Arial" w:eastAsia="Arial" w:hAnsi="Arial"/>
          <w:sz w:val="18"/>
          <w:szCs w:val="18"/>
          <w:color w:val="auto"/>
        </w:rPr>
        <w:t>The objective of our executive compensation program is to attract and retain talented executives and motivate them to achieve our business goals through a combination of cash and stock-based compensation, which includes a base salary, annual incentive, and long-term incentives. We are focused on building long-term value in an industry where a significant portion of financial and stock price performance, especially over shorter time periods, is driven by oil price and other macroeconomic factors over which management has limited, if any, control. The board believes that our compensation program should set short-term targets that lead to long-term success and long-term targets based on total shareholder return, which we believe to be the most effective measure of long-term value creation currently available.</w:t>
      </w:r>
    </w:p>
    <w:p>
      <w:pPr>
        <w:spacing w:after="0" w:line="17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007549"/>
        </w:rPr>
        <w:t>Key 2017 Compensation Actions</w:t>
      </w:r>
    </w:p>
    <w:p>
      <w:pPr>
        <w:spacing w:after="0" w:line="270" w:lineRule="exact"/>
        <w:rPr>
          <w:sz w:val="20"/>
          <w:szCs w:val="20"/>
          <w:color w:val="auto"/>
        </w:rPr>
      </w:pPr>
    </w:p>
    <w:tbl>
      <w:tblPr>
        <w:tblLayout w:type="fixed"/>
        <w:tblInd w:w="280" w:type="dxa"/>
        <w:tblCellMar>
          <w:top w:w="0" w:type="dxa"/>
          <w:left w:w="0" w:type="dxa"/>
          <w:bottom w:w="0" w:type="dxa"/>
          <w:right w:w="0" w:type="dxa"/>
        </w:tblCellMar>
      </w:tblPr>
      <w:tr>
        <w:trPr>
          <w:trHeight w:val="173"/>
        </w:trPr>
        <w:tc>
          <w:tcPr>
            <w:tcW w:w="2080" w:type="dxa"/>
            <w:vAlign w:val="bottom"/>
            <w:tcBorders>
              <w:right w:val="single" w:sz="8" w:color="007549"/>
            </w:tcBorders>
            <w:shd w:val="clear" w:color="auto" w:fill="007549"/>
          </w:tcPr>
          <w:p>
            <w:pPr>
              <w:ind w:left="160"/>
              <w:spacing w:after="0"/>
              <w:rPr>
                <w:sz w:val="20"/>
                <w:szCs w:val="20"/>
                <w:color w:val="auto"/>
              </w:rPr>
            </w:pPr>
            <w:r>
              <w:rPr>
                <w:rFonts w:ascii="Arial" w:cs="Arial" w:eastAsia="Arial" w:hAnsi="Arial"/>
                <w:sz w:val="14"/>
                <w:szCs w:val="14"/>
                <w:b w:val="1"/>
                <w:bCs w:val="1"/>
                <w:color w:val="FFFFFF"/>
              </w:rPr>
              <w:t>Component</w:t>
            </w:r>
          </w:p>
        </w:tc>
        <w:tc>
          <w:tcPr>
            <w:tcW w:w="540" w:type="dxa"/>
            <w:vAlign w:val="bottom"/>
            <w:shd w:val="clear" w:color="auto" w:fill="007549"/>
          </w:tcPr>
          <w:p>
            <w:pPr>
              <w:spacing w:after="0"/>
              <w:rPr>
                <w:sz w:val="15"/>
                <w:szCs w:val="15"/>
                <w:color w:val="auto"/>
              </w:rPr>
            </w:pPr>
          </w:p>
        </w:tc>
        <w:tc>
          <w:tcPr>
            <w:tcW w:w="860" w:type="dxa"/>
            <w:vAlign w:val="bottom"/>
            <w:shd w:val="clear" w:color="auto" w:fill="007549"/>
          </w:tcPr>
          <w:p>
            <w:pPr>
              <w:spacing w:after="0"/>
              <w:rPr>
                <w:sz w:val="15"/>
                <w:szCs w:val="15"/>
                <w:color w:val="auto"/>
              </w:rPr>
            </w:pPr>
          </w:p>
        </w:tc>
        <w:tc>
          <w:tcPr>
            <w:tcW w:w="3060" w:type="dxa"/>
            <w:vAlign w:val="bottom"/>
            <w:tcBorders>
              <w:right w:val="single" w:sz="8" w:color="007549"/>
            </w:tcBorders>
            <w:shd w:val="clear" w:color="auto" w:fill="007549"/>
          </w:tcPr>
          <w:p>
            <w:pPr>
              <w:jc w:val="right"/>
              <w:ind w:right="1957"/>
              <w:spacing w:after="0"/>
              <w:rPr>
                <w:sz w:val="20"/>
                <w:szCs w:val="20"/>
                <w:color w:val="auto"/>
              </w:rPr>
            </w:pPr>
            <w:r>
              <w:rPr>
                <w:rFonts w:ascii="Arial" w:cs="Arial" w:eastAsia="Arial" w:hAnsi="Arial"/>
                <w:sz w:val="14"/>
                <w:szCs w:val="14"/>
                <w:b w:val="1"/>
                <w:bCs w:val="1"/>
                <w:color w:val="FFFFFF"/>
              </w:rPr>
              <w:t>Action</w:t>
            </w:r>
          </w:p>
        </w:tc>
        <w:tc>
          <w:tcPr>
            <w:tcW w:w="780" w:type="dxa"/>
            <w:vAlign w:val="bottom"/>
            <w:shd w:val="clear" w:color="auto" w:fill="007549"/>
          </w:tcPr>
          <w:p>
            <w:pPr>
              <w:spacing w:after="0"/>
              <w:rPr>
                <w:sz w:val="15"/>
                <w:szCs w:val="15"/>
                <w:color w:val="auto"/>
              </w:rPr>
            </w:pPr>
          </w:p>
        </w:tc>
        <w:tc>
          <w:tcPr>
            <w:tcW w:w="3540" w:type="dxa"/>
            <w:vAlign w:val="bottom"/>
            <w:shd w:val="clear" w:color="auto" w:fill="007549"/>
          </w:tcPr>
          <w:p>
            <w:pPr>
              <w:jc w:val="right"/>
              <w:ind w:right="1777"/>
              <w:spacing w:after="0"/>
              <w:rPr>
                <w:sz w:val="20"/>
                <w:szCs w:val="20"/>
                <w:color w:val="auto"/>
              </w:rPr>
            </w:pPr>
            <w:r>
              <w:rPr>
                <w:rFonts w:ascii="Arial" w:cs="Arial" w:eastAsia="Arial" w:hAnsi="Arial"/>
                <w:sz w:val="14"/>
                <w:szCs w:val="14"/>
                <w:b w:val="1"/>
                <w:bCs w:val="1"/>
                <w:color w:val="FFFFFF"/>
              </w:rPr>
              <w:t>Rationale</w:t>
            </w:r>
          </w:p>
        </w:tc>
        <w:tc>
          <w:tcPr>
            <w:tcW w:w="0" w:type="dxa"/>
            <w:vAlign w:val="bottom"/>
          </w:tcPr>
          <w:p>
            <w:pPr>
              <w:spacing w:after="0"/>
              <w:rPr>
                <w:sz w:val="1"/>
                <w:szCs w:val="1"/>
                <w:color w:val="auto"/>
              </w:rPr>
            </w:pPr>
          </w:p>
        </w:tc>
      </w:tr>
      <w:tr>
        <w:trPr>
          <w:trHeight w:val="279"/>
        </w:trPr>
        <w:tc>
          <w:tcPr>
            <w:tcW w:w="2080" w:type="dxa"/>
            <w:vAlign w:val="bottom"/>
            <w:tcBorders>
              <w:right w:val="single" w:sz="8" w:color="007549"/>
            </w:tcBorders>
            <w:vMerge w:val="restart"/>
            <w:shd w:val="clear" w:color="auto" w:fill="E5E5E5"/>
          </w:tcPr>
          <w:p>
            <w:pPr>
              <w:ind w:left="140"/>
              <w:spacing w:after="0"/>
              <w:rPr>
                <w:sz w:val="20"/>
                <w:szCs w:val="20"/>
                <w:color w:val="auto"/>
              </w:rPr>
            </w:pPr>
            <w:r>
              <w:rPr>
                <w:rFonts w:ascii="Arial" w:cs="Arial" w:eastAsia="Arial" w:hAnsi="Arial"/>
                <w:sz w:val="18"/>
                <w:szCs w:val="18"/>
                <w:b w:val="1"/>
                <w:bCs w:val="1"/>
                <w:color w:val="auto"/>
              </w:rPr>
              <w:t>Salary</w:t>
            </w:r>
          </w:p>
        </w:tc>
        <w:tc>
          <w:tcPr>
            <w:tcW w:w="4460" w:type="dxa"/>
            <w:vAlign w:val="bottom"/>
            <w:tcBorders>
              <w:right w:val="single" w:sz="8" w:color="007549"/>
            </w:tcBorders>
            <w:gridSpan w:val="3"/>
          </w:tcPr>
          <w:p>
            <w:pPr>
              <w:ind w:left="100"/>
              <w:spacing w:after="0"/>
              <w:rPr>
                <w:sz w:val="20"/>
                <w:szCs w:val="20"/>
                <w:color w:val="auto"/>
              </w:rPr>
            </w:pPr>
            <w:r>
              <w:rPr>
                <w:rFonts w:ascii="Arial" w:cs="Arial" w:eastAsia="Arial" w:hAnsi="Arial"/>
                <w:sz w:val="18"/>
                <w:szCs w:val="18"/>
                <w:color w:val="auto"/>
              </w:rPr>
              <w:t>NEO salaries held flat since 2014 with one exception</w:t>
            </w:r>
          </w:p>
        </w:tc>
        <w:tc>
          <w:tcPr>
            <w:tcW w:w="7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2080" w:type="dxa"/>
            <w:vAlign w:val="bottom"/>
            <w:tcBorders>
              <w:right w:val="single" w:sz="8" w:color="007549"/>
            </w:tcBorders>
            <w:vMerge w:val="continue"/>
            <w:shd w:val="clear" w:color="auto" w:fill="E5E5E5"/>
          </w:tcPr>
          <w:p>
            <w:pPr>
              <w:spacing w:after="0"/>
              <w:rPr>
                <w:sz w:val="9"/>
                <w:szCs w:val="9"/>
                <w:color w:val="auto"/>
              </w:rPr>
            </w:pPr>
          </w:p>
        </w:tc>
        <w:tc>
          <w:tcPr>
            <w:tcW w:w="4460" w:type="dxa"/>
            <w:vAlign w:val="bottom"/>
            <w:tcBorders>
              <w:right w:val="single" w:sz="8" w:color="007549"/>
            </w:tcBorders>
            <w:gridSpan w:val="3"/>
            <w:vMerge w:val="restart"/>
          </w:tcPr>
          <w:p>
            <w:pPr>
              <w:ind w:left="100"/>
              <w:spacing w:after="0"/>
              <w:rPr>
                <w:sz w:val="20"/>
                <w:szCs w:val="20"/>
                <w:color w:val="auto"/>
              </w:rPr>
            </w:pPr>
            <w:r>
              <w:rPr>
                <w:rFonts w:ascii="Arial" w:cs="Arial" w:eastAsia="Arial" w:hAnsi="Arial"/>
                <w:sz w:val="18"/>
                <w:szCs w:val="18"/>
                <w:color w:val="auto"/>
              </w:rPr>
              <w:t>in 2017 for an increase in job responsibilities</w:t>
            </w:r>
          </w:p>
        </w:tc>
        <w:tc>
          <w:tcPr>
            <w:tcW w:w="4320" w:type="dxa"/>
            <w:vAlign w:val="bottom"/>
            <w:gridSpan w:val="2"/>
            <w:vMerge w:val="restart"/>
          </w:tcPr>
          <w:p>
            <w:pPr>
              <w:ind w:left="100"/>
              <w:spacing w:after="0"/>
              <w:rPr>
                <w:sz w:val="20"/>
                <w:szCs w:val="20"/>
                <w:color w:val="auto"/>
              </w:rPr>
            </w:pPr>
            <w:r>
              <w:rPr>
                <w:rFonts w:ascii="Arial" w:cs="Arial" w:eastAsia="Arial" w:hAnsi="Arial"/>
                <w:sz w:val="18"/>
                <w:szCs w:val="18"/>
                <w:color w:val="auto"/>
              </w:rPr>
              <w:t>Reviewed annually and considers: external market,</w:t>
            </w:r>
          </w:p>
        </w:tc>
        <w:tc>
          <w:tcPr>
            <w:tcW w:w="0" w:type="dxa"/>
            <w:vAlign w:val="bottom"/>
          </w:tcPr>
          <w:p>
            <w:pPr>
              <w:spacing w:after="0"/>
              <w:rPr>
                <w:sz w:val="1"/>
                <w:szCs w:val="1"/>
                <w:color w:val="auto"/>
              </w:rPr>
            </w:pPr>
          </w:p>
        </w:tc>
      </w:tr>
      <w:tr>
        <w:trPr>
          <w:trHeight w:val="114"/>
        </w:trPr>
        <w:tc>
          <w:tcPr>
            <w:tcW w:w="2080" w:type="dxa"/>
            <w:vAlign w:val="bottom"/>
            <w:tcBorders>
              <w:bottom w:val="single" w:sz="8" w:color="007549"/>
              <w:right w:val="single" w:sz="8" w:color="007549"/>
            </w:tcBorders>
            <w:shd w:val="clear" w:color="auto" w:fill="E5E5E5"/>
          </w:tcPr>
          <w:p>
            <w:pPr>
              <w:spacing w:after="0"/>
              <w:rPr>
                <w:sz w:val="9"/>
                <w:szCs w:val="9"/>
                <w:color w:val="auto"/>
              </w:rPr>
            </w:pPr>
          </w:p>
        </w:tc>
        <w:tc>
          <w:tcPr>
            <w:tcW w:w="4460" w:type="dxa"/>
            <w:vAlign w:val="bottom"/>
            <w:tcBorders>
              <w:bottom w:val="single" w:sz="8" w:color="007549"/>
              <w:right w:val="single" w:sz="8" w:color="007549"/>
            </w:tcBorders>
            <w:gridSpan w:val="3"/>
            <w:vMerge w:val="continue"/>
          </w:tcPr>
          <w:p>
            <w:pPr>
              <w:spacing w:after="0"/>
              <w:rPr>
                <w:sz w:val="9"/>
                <w:szCs w:val="9"/>
                <w:color w:val="auto"/>
              </w:rPr>
            </w:pPr>
          </w:p>
        </w:tc>
        <w:tc>
          <w:tcPr>
            <w:tcW w:w="43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80" w:type="dxa"/>
            <w:vAlign w:val="bottom"/>
            <w:tcBorders>
              <w:right w:val="single" w:sz="8" w:color="007549"/>
            </w:tcBorders>
            <w:shd w:val="clear" w:color="auto" w:fill="E5E5E5"/>
          </w:tcPr>
          <w:p>
            <w:pPr>
              <w:spacing w:after="0"/>
              <w:rPr>
                <w:sz w:val="4"/>
                <w:szCs w:val="4"/>
                <w:color w:val="auto"/>
              </w:rPr>
            </w:pPr>
          </w:p>
        </w:tc>
        <w:tc>
          <w:tcPr>
            <w:tcW w:w="54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60" w:type="dxa"/>
            <w:vAlign w:val="bottom"/>
            <w:tcBorders>
              <w:right w:val="single" w:sz="8" w:color="007549"/>
            </w:tcBorders>
          </w:tcPr>
          <w:p>
            <w:pPr>
              <w:spacing w:after="0"/>
              <w:rPr>
                <w:sz w:val="4"/>
                <w:szCs w:val="4"/>
                <w:color w:val="auto"/>
              </w:rPr>
            </w:pPr>
          </w:p>
        </w:tc>
        <w:tc>
          <w:tcPr>
            <w:tcW w:w="43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80" w:type="dxa"/>
            <w:vAlign w:val="bottom"/>
            <w:tcBorders>
              <w:right w:val="single" w:sz="8" w:color="007549"/>
            </w:tcBorders>
            <w:vMerge w:val="restart"/>
            <w:shd w:val="clear" w:color="auto" w:fill="E5E5E5"/>
          </w:tcPr>
          <w:p>
            <w:pPr>
              <w:ind w:left="140"/>
              <w:spacing w:after="0"/>
              <w:rPr>
                <w:sz w:val="20"/>
                <w:szCs w:val="20"/>
                <w:color w:val="auto"/>
              </w:rPr>
            </w:pPr>
            <w:r>
              <w:rPr>
                <w:rFonts w:ascii="Arial" w:cs="Arial" w:eastAsia="Arial" w:hAnsi="Arial"/>
                <w:sz w:val="18"/>
                <w:szCs w:val="18"/>
                <w:b w:val="1"/>
                <w:bCs w:val="1"/>
                <w:color w:val="auto"/>
              </w:rPr>
              <w:t>AIP Targets</w:t>
            </w:r>
          </w:p>
        </w:tc>
        <w:tc>
          <w:tcPr>
            <w:tcW w:w="540" w:type="dxa"/>
            <w:vAlign w:val="bottom"/>
          </w:tcPr>
          <w:p>
            <w:pPr>
              <w:ind w:left="100"/>
              <w:spacing w:after="0" w:line="200" w:lineRule="exact"/>
              <w:rPr>
                <w:sz w:val="20"/>
                <w:szCs w:val="20"/>
                <w:color w:val="auto"/>
              </w:rPr>
            </w:pPr>
            <w:r>
              <w:rPr>
                <w:rFonts w:ascii="Arial" w:cs="Arial" w:eastAsia="Arial" w:hAnsi="Arial"/>
                <w:sz w:val="18"/>
                <w:szCs w:val="18"/>
                <w:color w:val="auto"/>
              </w:rPr>
              <w:t>NEO</w:t>
            </w:r>
          </w:p>
        </w:tc>
        <w:tc>
          <w:tcPr>
            <w:tcW w:w="860" w:type="dxa"/>
            <w:vAlign w:val="bottom"/>
          </w:tcPr>
          <w:p>
            <w:pPr>
              <w:ind w:left="200"/>
              <w:spacing w:after="0" w:line="200" w:lineRule="exact"/>
              <w:rPr>
                <w:sz w:val="20"/>
                <w:szCs w:val="20"/>
                <w:color w:val="auto"/>
              </w:rPr>
            </w:pPr>
            <w:r>
              <w:rPr>
                <w:rFonts w:ascii="Arial" w:cs="Arial" w:eastAsia="Arial" w:hAnsi="Arial"/>
                <w:sz w:val="18"/>
                <w:szCs w:val="18"/>
                <w:color w:val="auto"/>
              </w:rPr>
              <w:t>annual</w:t>
            </w:r>
          </w:p>
        </w:tc>
        <w:tc>
          <w:tcPr>
            <w:tcW w:w="3060" w:type="dxa"/>
            <w:vAlign w:val="bottom"/>
            <w:tcBorders>
              <w:right w:val="single" w:sz="8" w:color="007549"/>
            </w:tcBorders>
          </w:tcPr>
          <w:p>
            <w:pPr>
              <w:jc w:val="right"/>
              <w:ind w:right="97"/>
              <w:spacing w:after="0" w:line="200" w:lineRule="exact"/>
              <w:rPr>
                <w:sz w:val="20"/>
                <w:szCs w:val="20"/>
                <w:color w:val="auto"/>
              </w:rPr>
            </w:pPr>
            <w:r>
              <w:rPr>
                <w:rFonts w:ascii="Arial" w:cs="Arial" w:eastAsia="Arial" w:hAnsi="Arial"/>
                <w:sz w:val="18"/>
                <w:szCs w:val="18"/>
                <w:color w:val="auto"/>
              </w:rPr>
              <w:t>incentive   plan   (“AIP”)   target</w:t>
            </w:r>
          </w:p>
        </w:tc>
        <w:tc>
          <w:tcPr>
            <w:tcW w:w="780" w:type="dxa"/>
            <w:vAlign w:val="bottom"/>
          </w:tcPr>
          <w:p>
            <w:pPr>
              <w:ind w:left="100"/>
              <w:spacing w:after="0" w:line="200" w:lineRule="exact"/>
              <w:rPr>
                <w:sz w:val="20"/>
                <w:szCs w:val="20"/>
                <w:color w:val="auto"/>
              </w:rPr>
            </w:pPr>
            <w:r>
              <w:rPr>
                <w:rFonts w:ascii="Arial" w:cs="Arial" w:eastAsia="Arial" w:hAnsi="Arial"/>
                <w:sz w:val="18"/>
                <w:szCs w:val="18"/>
                <w:color w:val="auto"/>
              </w:rPr>
              <w:t>internal</w:t>
            </w:r>
          </w:p>
        </w:tc>
        <w:tc>
          <w:tcPr>
            <w:tcW w:w="3540" w:type="dxa"/>
            <w:vAlign w:val="bottom"/>
          </w:tcPr>
          <w:p>
            <w:pPr>
              <w:jc w:val="right"/>
              <w:ind w:right="57"/>
              <w:spacing w:after="0" w:line="200" w:lineRule="exact"/>
              <w:rPr>
                <w:sz w:val="20"/>
                <w:szCs w:val="20"/>
                <w:color w:val="auto"/>
              </w:rPr>
            </w:pPr>
            <w:r>
              <w:rPr>
                <w:rFonts w:ascii="Arial" w:cs="Arial" w:eastAsia="Arial" w:hAnsi="Arial"/>
                <w:sz w:val="18"/>
                <w:szCs w:val="18"/>
                <w:color w:val="auto"/>
              </w:rPr>
              <w:t>equity,  compensation  philosophy,  job</w:t>
            </w:r>
          </w:p>
        </w:tc>
        <w:tc>
          <w:tcPr>
            <w:tcW w:w="0" w:type="dxa"/>
            <w:vAlign w:val="bottom"/>
          </w:tcPr>
          <w:p>
            <w:pPr>
              <w:spacing w:after="0"/>
              <w:rPr>
                <w:sz w:val="1"/>
                <w:szCs w:val="1"/>
                <w:color w:val="auto"/>
              </w:rPr>
            </w:pPr>
          </w:p>
        </w:tc>
      </w:tr>
      <w:tr>
        <w:trPr>
          <w:trHeight w:val="133"/>
        </w:trPr>
        <w:tc>
          <w:tcPr>
            <w:tcW w:w="2080" w:type="dxa"/>
            <w:vAlign w:val="bottom"/>
            <w:tcBorders>
              <w:right w:val="single" w:sz="8" w:color="007549"/>
            </w:tcBorders>
            <w:vMerge w:val="continue"/>
            <w:shd w:val="clear" w:color="auto" w:fill="E5E5E5"/>
          </w:tcPr>
          <w:p>
            <w:pPr>
              <w:spacing w:after="0"/>
              <w:rPr>
                <w:sz w:val="11"/>
                <w:szCs w:val="11"/>
                <w:color w:val="auto"/>
              </w:rPr>
            </w:pPr>
          </w:p>
        </w:tc>
        <w:tc>
          <w:tcPr>
            <w:tcW w:w="4460" w:type="dxa"/>
            <w:vAlign w:val="bottom"/>
            <w:tcBorders>
              <w:right w:val="single" w:sz="8" w:color="007549"/>
            </w:tcBorders>
            <w:gridSpan w:val="3"/>
            <w:vMerge w:val="restart"/>
          </w:tcPr>
          <w:p>
            <w:pPr>
              <w:ind w:left="100"/>
              <w:spacing w:after="0" w:line="200" w:lineRule="exact"/>
              <w:rPr>
                <w:sz w:val="20"/>
                <w:szCs w:val="20"/>
                <w:color w:val="auto"/>
              </w:rPr>
            </w:pPr>
            <w:r>
              <w:rPr>
                <w:rFonts w:ascii="Arial" w:cs="Arial" w:eastAsia="Arial" w:hAnsi="Arial"/>
                <w:sz w:val="18"/>
                <w:szCs w:val="18"/>
                <w:color w:val="auto"/>
              </w:rPr>
              <w:t>percentages held flat</w:t>
            </w:r>
          </w:p>
        </w:tc>
        <w:tc>
          <w:tcPr>
            <w:tcW w:w="4320" w:type="dxa"/>
            <w:vAlign w:val="bottom"/>
            <w:gridSpan w:val="2"/>
            <w:vMerge w:val="restart"/>
          </w:tcPr>
          <w:p>
            <w:pPr>
              <w:ind w:left="100"/>
              <w:spacing w:after="0" w:line="200" w:lineRule="exact"/>
              <w:rPr>
                <w:sz w:val="20"/>
                <w:szCs w:val="20"/>
                <w:color w:val="auto"/>
              </w:rPr>
            </w:pPr>
            <w:r>
              <w:rPr>
                <w:rFonts w:ascii="Arial" w:cs="Arial" w:eastAsia="Arial" w:hAnsi="Arial"/>
                <w:sz w:val="18"/>
                <w:szCs w:val="18"/>
                <w:color w:val="auto"/>
              </w:rPr>
              <w:t>responsibilities,  experience  level,  and  individual</w:t>
            </w:r>
          </w:p>
        </w:tc>
        <w:tc>
          <w:tcPr>
            <w:tcW w:w="0" w:type="dxa"/>
            <w:vAlign w:val="bottom"/>
          </w:tcPr>
          <w:p>
            <w:pPr>
              <w:spacing w:after="0"/>
              <w:rPr>
                <w:sz w:val="1"/>
                <w:szCs w:val="1"/>
                <w:color w:val="auto"/>
              </w:rPr>
            </w:pPr>
          </w:p>
        </w:tc>
      </w:tr>
      <w:tr>
        <w:trPr>
          <w:trHeight w:val="121"/>
        </w:trPr>
        <w:tc>
          <w:tcPr>
            <w:tcW w:w="2080" w:type="dxa"/>
            <w:vAlign w:val="bottom"/>
            <w:tcBorders>
              <w:bottom w:val="single" w:sz="8" w:color="E5E5E5"/>
              <w:right w:val="single" w:sz="8" w:color="007549"/>
            </w:tcBorders>
            <w:shd w:val="clear" w:color="auto" w:fill="E5E5E5"/>
          </w:tcPr>
          <w:p>
            <w:pPr>
              <w:spacing w:after="0"/>
              <w:rPr>
                <w:sz w:val="10"/>
                <w:szCs w:val="10"/>
                <w:color w:val="auto"/>
              </w:rPr>
            </w:pPr>
          </w:p>
        </w:tc>
        <w:tc>
          <w:tcPr>
            <w:tcW w:w="4460" w:type="dxa"/>
            <w:vAlign w:val="bottom"/>
            <w:tcBorders>
              <w:right w:val="single" w:sz="8" w:color="007549"/>
            </w:tcBorders>
            <w:gridSpan w:val="3"/>
            <w:vMerge w:val="continue"/>
          </w:tcPr>
          <w:p>
            <w:pPr>
              <w:spacing w:after="0"/>
              <w:rPr>
                <w:sz w:val="10"/>
                <w:szCs w:val="10"/>
                <w:color w:val="auto"/>
              </w:rPr>
            </w:pPr>
          </w:p>
        </w:tc>
        <w:tc>
          <w:tcPr>
            <w:tcW w:w="43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80" w:type="dxa"/>
            <w:vAlign w:val="bottom"/>
            <w:tcBorders>
              <w:top w:val="single" w:sz="8" w:color="007549"/>
              <w:right w:val="single" w:sz="8" w:color="007549"/>
            </w:tcBorders>
            <w:vMerge w:val="restart"/>
            <w:shd w:val="clear" w:color="auto" w:fill="E5E5E5"/>
          </w:tcPr>
          <w:p>
            <w:pPr>
              <w:ind w:left="140"/>
              <w:spacing w:after="0"/>
              <w:rPr>
                <w:sz w:val="20"/>
                <w:szCs w:val="20"/>
                <w:color w:val="auto"/>
              </w:rPr>
            </w:pPr>
            <w:r>
              <w:rPr>
                <w:rFonts w:ascii="Arial" w:cs="Arial" w:eastAsia="Arial" w:hAnsi="Arial"/>
                <w:sz w:val="18"/>
                <w:szCs w:val="18"/>
                <w:b w:val="1"/>
                <w:bCs w:val="1"/>
                <w:color w:val="auto"/>
              </w:rPr>
              <w:t>2017 LTI Grants</w:t>
            </w:r>
          </w:p>
        </w:tc>
        <w:tc>
          <w:tcPr>
            <w:tcW w:w="540" w:type="dxa"/>
            <w:vAlign w:val="bottom"/>
            <w:tcBorders>
              <w:top w:val="single" w:sz="8" w:color="007549"/>
            </w:tcBorders>
            <w:vMerge w:val="restart"/>
          </w:tcPr>
          <w:p>
            <w:pPr>
              <w:ind w:left="100"/>
              <w:spacing w:after="0"/>
              <w:rPr>
                <w:sz w:val="20"/>
                <w:szCs w:val="20"/>
                <w:color w:val="auto"/>
              </w:rPr>
            </w:pPr>
            <w:r>
              <w:rPr>
                <w:rFonts w:ascii="Arial" w:cs="Arial" w:eastAsia="Arial" w:hAnsi="Arial"/>
                <w:sz w:val="18"/>
                <w:szCs w:val="18"/>
                <w:color w:val="auto"/>
              </w:rPr>
              <w:t>CEO</w:t>
            </w:r>
          </w:p>
        </w:tc>
        <w:tc>
          <w:tcPr>
            <w:tcW w:w="860" w:type="dxa"/>
            <w:vAlign w:val="bottom"/>
            <w:tcBorders>
              <w:top w:val="single" w:sz="8" w:color="007549"/>
            </w:tcBorders>
            <w:vMerge w:val="restart"/>
          </w:tcPr>
          <w:p>
            <w:pPr>
              <w:ind w:left="40"/>
              <w:spacing w:after="0"/>
              <w:rPr>
                <w:sz w:val="20"/>
                <w:szCs w:val="20"/>
                <w:color w:val="auto"/>
              </w:rPr>
            </w:pPr>
            <w:r>
              <w:rPr>
                <w:rFonts w:ascii="Arial" w:cs="Arial" w:eastAsia="Arial" w:hAnsi="Arial"/>
                <w:sz w:val="18"/>
                <w:szCs w:val="18"/>
                <w:color w:val="auto"/>
              </w:rPr>
              <w:t>long-term</w:t>
            </w:r>
          </w:p>
        </w:tc>
        <w:tc>
          <w:tcPr>
            <w:tcW w:w="3060" w:type="dxa"/>
            <w:vAlign w:val="bottom"/>
            <w:tcBorders>
              <w:top w:val="single" w:sz="8" w:color="007549"/>
              <w:right w:val="single" w:sz="8" w:color="007549"/>
            </w:tcBorders>
            <w:vMerge w:val="restart"/>
          </w:tcPr>
          <w:p>
            <w:pPr>
              <w:jc w:val="right"/>
              <w:ind w:right="97"/>
              <w:spacing w:after="0"/>
              <w:rPr>
                <w:sz w:val="20"/>
                <w:szCs w:val="20"/>
                <w:color w:val="auto"/>
              </w:rPr>
            </w:pPr>
            <w:r>
              <w:rPr>
                <w:rFonts w:ascii="Arial" w:cs="Arial" w:eastAsia="Arial" w:hAnsi="Arial"/>
                <w:sz w:val="18"/>
                <w:szCs w:val="18"/>
                <w:color w:val="auto"/>
              </w:rPr>
              <w:t>incentive (“LTI”) grant reduced by</w:t>
            </w:r>
          </w:p>
        </w:tc>
        <w:tc>
          <w:tcPr>
            <w:tcW w:w="4320" w:type="dxa"/>
            <w:vAlign w:val="bottom"/>
            <w:gridSpan w:val="2"/>
          </w:tcPr>
          <w:p>
            <w:pPr>
              <w:ind w:left="100"/>
              <w:spacing w:after="0" w:line="138" w:lineRule="exact"/>
              <w:rPr>
                <w:sz w:val="20"/>
                <w:szCs w:val="20"/>
                <w:color w:val="auto"/>
              </w:rPr>
            </w:pPr>
            <w:r>
              <w:rPr>
                <w:rFonts w:ascii="Arial" w:cs="Arial" w:eastAsia="Arial" w:hAnsi="Arial"/>
                <w:sz w:val="16"/>
                <w:szCs w:val="16"/>
                <w:color w:val="auto"/>
              </w:rPr>
              <w:t>performance</w:t>
            </w:r>
          </w:p>
        </w:tc>
        <w:tc>
          <w:tcPr>
            <w:tcW w:w="0" w:type="dxa"/>
            <w:vAlign w:val="bottom"/>
          </w:tcPr>
          <w:p>
            <w:pPr>
              <w:spacing w:after="0"/>
              <w:rPr>
                <w:sz w:val="1"/>
                <w:szCs w:val="1"/>
                <w:color w:val="auto"/>
              </w:rPr>
            </w:pPr>
          </w:p>
        </w:tc>
      </w:tr>
      <w:tr>
        <w:trPr>
          <w:trHeight w:val="133"/>
        </w:trPr>
        <w:tc>
          <w:tcPr>
            <w:tcW w:w="2080" w:type="dxa"/>
            <w:vAlign w:val="bottom"/>
            <w:tcBorders>
              <w:right w:val="single" w:sz="8" w:color="007549"/>
            </w:tcBorders>
            <w:vMerge w:val="continue"/>
            <w:shd w:val="clear" w:color="auto" w:fill="E5E5E5"/>
          </w:tcPr>
          <w:p>
            <w:pPr>
              <w:spacing w:after="0"/>
              <w:rPr>
                <w:sz w:val="11"/>
                <w:szCs w:val="11"/>
                <w:color w:val="auto"/>
              </w:rPr>
            </w:pPr>
          </w:p>
        </w:tc>
        <w:tc>
          <w:tcPr>
            <w:tcW w:w="5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3060" w:type="dxa"/>
            <w:vAlign w:val="bottom"/>
            <w:tcBorders>
              <w:right w:val="single" w:sz="8" w:color="007549"/>
            </w:tcBorders>
            <w:vMerge w:val="continue"/>
          </w:tcPr>
          <w:p>
            <w:pPr>
              <w:spacing w:after="0"/>
              <w:rPr>
                <w:sz w:val="11"/>
                <w:szCs w:val="11"/>
                <w:color w:val="auto"/>
              </w:rPr>
            </w:pPr>
          </w:p>
        </w:tc>
        <w:tc>
          <w:tcPr>
            <w:tcW w:w="78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80" w:type="dxa"/>
            <w:vAlign w:val="bottom"/>
            <w:tcBorders>
              <w:right w:val="single" w:sz="8" w:color="007549"/>
            </w:tcBorders>
            <w:vMerge w:val="continue"/>
            <w:shd w:val="clear" w:color="auto" w:fill="E5E5E5"/>
          </w:tcPr>
          <w:p>
            <w:pPr>
              <w:spacing w:after="0"/>
              <w:rPr>
                <w:sz w:val="9"/>
                <w:szCs w:val="9"/>
                <w:color w:val="auto"/>
              </w:rPr>
            </w:pPr>
          </w:p>
        </w:tc>
        <w:tc>
          <w:tcPr>
            <w:tcW w:w="1400" w:type="dxa"/>
            <w:vAlign w:val="bottom"/>
            <w:gridSpan w:val="2"/>
            <w:vMerge w:val="restart"/>
          </w:tcPr>
          <w:p>
            <w:pPr>
              <w:ind w:left="100"/>
              <w:spacing w:after="0"/>
              <w:rPr>
                <w:sz w:val="20"/>
                <w:szCs w:val="20"/>
                <w:color w:val="auto"/>
              </w:rPr>
            </w:pPr>
            <w:r>
              <w:rPr>
                <w:rFonts w:ascii="Arial" w:cs="Arial" w:eastAsia="Arial" w:hAnsi="Arial"/>
                <w:sz w:val="18"/>
                <w:szCs w:val="18"/>
                <w:color w:val="auto"/>
                <w:w w:val="99"/>
              </w:rPr>
              <w:t>10% from target</w:t>
            </w:r>
          </w:p>
        </w:tc>
        <w:tc>
          <w:tcPr>
            <w:tcW w:w="3060" w:type="dxa"/>
            <w:vAlign w:val="bottom"/>
            <w:tcBorders>
              <w:right w:val="single" w:sz="8" w:color="007549"/>
            </w:tcBorders>
          </w:tcPr>
          <w:p>
            <w:pPr>
              <w:spacing w:after="0"/>
              <w:rPr>
                <w:sz w:val="9"/>
                <w:szCs w:val="9"/>
                <w:color w:val="auto"/>
              </w:rPr>
            </w:pPr>
          </w:p>
        </w:tc>
        <w:tc>
          <w:tcPr>
            <w:tcW w:w="780" w:type="dxa"/>
            <w:vAlign w:val="bottom"/>
          </w:tcPr>
          <w:p>
            <w:pPr>
              <w:spacing w:after="0"/>
              <w:rPr>
                <w:sz w:val="9"/>
                <w:szCs w:val="9"/>
                <w:color w:val="auto"/>
              </w:rPr>
            </w:pPr>
          </w:p>
        </w:tc>
        <w:tc>
          <w:tcPr>
            <w:tcW w:w="3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80" w:type="dxa"/>
            <w:vAlign w:val="bottom"/>
            <w:tcBorders>
              <w:bottom w:val="single" w:sz="8" w:color="007549"/>
              <w:right w:val="single" w:sz="8" w:color="007549"/>
            </w:tcBorders>
            <w:shd w:val="clear" w:color="auto" w:fill="E5E5E5"/>
          </w:tcPr>
          <w:p>
            <w:pPr>
              <w:spacing w:after="0"/>
              <w:rPr>
                <w:sz w:val="9"/>
                <w:szCs w:val="9"/>
                <w:color w:val="auto"/>
              </w:rPr>
            </w:pPr>
          </w:p>
        </w:tc>
        <w:tc>
          <w:tcPr>
            <w:tcW w:w="1400" w:type="dxa"/>
            <w:vAlign w:val="bottom"/>
            <w:tcBorders>
              <w:bottom w:val="single" w:sz="8" w:color="007549"/>
            </w:tcBorders>
            <w:gridSpan w:val="2"/>
            <w:vMerge w:val="continue"/>
          </w:tcPr>
          <w:p>
            <w:pPr>
              <w:spacing w:after="0"/>
              <w:rPr>
                <w:sz w:val="9"/>
                <w:szCs w:val="9"/>
                <w:color w:val="auto"/>
              </w:rPr>
            </w:pPr>
          </w:p>
        </w:tc>
        <w:tc>
          <w:tcPr>
            <w:tcW w:w="3060" w:type="dxa"/>
            <w:vAlign w:val="bottom"/>
            <w:tcBorders>
              <w:bottom w:val="single" w:sz="8" w:color="007549"/>
              <w:right w:val="single" w:sz="8" w:color="007549"/>
            </w:tcBorders>
          </w:tcPr>
          <w:p>
            <w:pPr>
              <w:spacing w:after="0"/>
              <w:rPr>
                <w:sz w:val="9"/>
                <w:szCs w:val="9"/>
                <w:color w:val="auto"/>
              </w:rPr>
            </w:pPr>
          </w:p>
        </w:tc>
        <w:tc>
          <w:tcPr>
            <w:tcW w:w="780" w:type="dxa"/>
            <w:vAlign w:val="bottom"/>
            <w:tcBorders>
              <w:bottom w:val="single" w:sz="8" w:color="007549"/>
            </w:tcBorders>
          </w:tcPr>
          <w:p>
            <w:pPr>
              <w:spacing w:after="0"/>
              <w:rPr>
                <w:sz w:val="9"/>
                <w:szCs w:val="9"/>
                <w:color w:val="auto"/>
              </w:rPr>
            </w:pPr>
          </w:p>
        </w:tc>
        <w:tc>
          <w:tcPr>
            <w:tcW w:w="3540" w:type="dxa"/>
            <w:vAlign w:val="bottom"/>
            <w:tcBorders>
              <w:bottom w:val="single" w:sz="8" w:color="007549"/>
            </w:tcBorders>
          </w:tcPr>
          <w:p>
            <w:pPr>
              <w:spacing w:after="0"/>
              <w:rPr>
                <w:sz w:val="9"/>
                <w:szCs w:val="9"/>
                <w:color w:val="auto"/>
              </w:rPr>
            </w:pPr>
          </w:p>
        </w:tc>
        <w:tc>
          <w:tcPr>
            <w:tcW w:w="0" w:type="dxa"/>
            <w:vAlign w:val="bottom"/>
          </w:tcPr>
          <w:p>
            <w:pPr>
              <w:spacing w:after="0"/>
              <w:rPr>
                <w:sz w:val="1"/>
                <w:szCs w:val="1"/>
                <w:color w:val="auto"/>
              </w:rPr>
            </w:pPr>
          </w:p>
        </w:tc>
      </w:tr>
      <w:tr>
        <w:trPr>
          <w:trHeight w:val="279"/>
        </w:trPr>
        <w:tc>
          <w:tcPr>
            <w:tcW w:w="2080" w:type="dxa"/>
            <w:vAlign w:val="bottom"/>
            <w:tcBorders>
              <w:right w:val="single" w:sz="8" w:color="007549"/>
            </w:tcBorders>
            <w:vMerge w:val="restart"/>
            <w:shd w:val="clear" w:color="auto" w:fill="E5E5E5"/>
          </w:tcPr>
          <w:p>
            <w:pPr>
              <w:ind w:left="140"/>
              <w:spacing w:after="0"/>
              <w:rPr>
                <w:sz w:val="20"/>
                <w:szCs w:val="20"/>
                <w:color w:val="auto"/>
              </w:rPr>
            </w:pPr>
            <w:r>
              <w:rPr>
                <w:rFonts w:ascii="Arial" w:cs="Arial" w:eastAsia="Arial" w:hAnsi="Arial"/>
                <w:sz w:val="18"/>
                <w:szCs w:val="18"/>
                <w:b w:val="1"/>
                <w:bCs w:val="1"/>
                <w:color w:val="auto"/>
              </w:rPr>
              <w:t>2017 AIP Payout</w:t>
            </w:r>
          </w:p>
        </w:tc>
        <w:tc>
          <w:tcPr>
            <w:tcW w:w="1400" w:type="dxa"/>
            <w:vAlign w:val="bottom"/>
            <w:gridSpan w:val="2"/>
            <w:vMerge w:val="restart"/>
          </w:tcPr>
          <w:p>
            <w:pPr>
              <w:ind w:left="100"/>
              <w:spacing w:after="0"/>
              <w:rPr>
                <w:sz w:val="20"/>
                <w:szCs w:val="20"/>
                <w:color w:val="auto"/>
              </w:rPr>
            </w:pPr>
            <w:r>
              <w:rPr>
                <w:rFonts w:ascii="Arial" w:cs="Arial" w:eastAsia="Arial" w:hAnsi="Arial"/>
                <w:sz w:val="18"/>
                <w:szCs w:val="18"/>
                <w:color w:val="auto"/>
              </w:rPr>
              <w:t>119.7%</w:t>
            </w:r>
          </w:p>
        </w:tc>
        <w:tc>
          <w:tcPr>
            <w:tcW w:w="3060" w:type="dxa"/>
            <w:vAlign w:val="bottom"/>
            <w:tcBorders>
              <w:right w:val="single" w:sz="8" w:color="007549"/>
            </w:tcBorders>
          </w:tcPr>
          <w:p>
            <w:pPr>
              <w:spacing w:after="0"/>
              <w:rPr>
                <w:sz w:val="24"/>
                <w:szCs w:val="24"/>
                <w:color w:val="auto"/>
              </w:rPr>
            </w:pPr>
          </w:p>
        </w:tc>
        <w:tc>
          <w:tcPr>
            <w:tcW w:w="4320" w:type="dxa"/>
            <w:vAlign w:val="bottom"/>
            <w:gridSpan w:val="2"/>
          </w:tcPr>
          <w:p>
            <w:pPr>
              <w:ind w:left="100"/>
              <w:spacing w:after="0"/>
              <w:rPr>
                <w:sz w:val="20"/>
                <w:szCs w:val="20"/>
                <w:color w:val="auto"/>
              </w:rPr>
            </w:pPr>
            <w:r>
              <w:rPr>
                <w:rFonts w:ascii="Arial" w:cs="Arial" w:eastAsia="Arial" w:hAnsi="Arial"/>
                <w:sz w:val="18"/>
                <w:szCs w:val="18"/>
                <w:color w:val="auto"/>
              </w:rPr>
              <w:t>Final  enterprise  performance  results  of  annual</w:t>
            </w:r>
          </w:p>
        </w:tc>
        <w:tc>
          <w:tcPr>
            <w:tcW w:w="0" w:type="dxa"/>
            <w:vAlign w:val="bottom"/>
          </w:tcPr>
          <w:p>
            <w:pPr>
              <w:spacing w:after="0"/>
              <w:rPr>
                <w:sz w:val="1"/>
                <w:szCs w:val="1"/>
                <w:color w:val="auto"/>
              </w:rPr>
            </w:pPr>
          </w:p>
        </w:tc>
      </w:tr>
      <w:tr>
        <w:trPr>
          <w:trHeight w:val="200"/>
        </w:trPr>
        <w:tc>
          <w:tcPr>
            <w:tcW w:w="2080" w:type="dxa"/>
            <w:vAlign w:val="bottom"/>
            <w:tcBorders>
              <w:right w:val="single" w:sz="8" w:color="007549"/>
            </w:tcBorders>
            <w:vMerge w:val="continue"/>
            <w:shd w:val="clear" w:color="auto" w:fill="E5E5E5"/>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3060" w:type="dxa"/>
            <w:vAlign w:val="bottom"/>
            <w:tcBorders>
              <w:right w:val="single" w:sz="8" w:color="007549"/>
            </w:tcBorders>
          </w:tcPr>
          <w:p>
            <w:pPr>
              <w:spacing w:after="0"/>
              <w:rPr>
                <w:sz w:val="17"/>
                <w:szCs w:val="17"/>
                <w:color w:val="auto"/>
              </w:rPr>
            </w:pPr>
          </w:p>
        </w:tc>
        <w:tc>
          <w:tcPr>
            <w:tcW w:w="4320" w:type="dxa"/>
            <w:vAlign w:val="bottom"/>
            <w:gridSpan w:val="2"/>
          </w:tcPr>
          <w:p>
            <w:pPr>
              <w:ind w:left="100"/>
              <w:spacing w:after="0" w:line="200" w:lineRule="exact"/>
              <w:rPr>
                <w:sz w:val="20"/>
                <w:szCs w:val="20"/>
                <w:color w:val="auto"/>
              </w:rPr>
            </w:pPr>
            <w:r>
              <w:rPr>
                <w:rFonts w:ascii="Arial" w:cs="Arial" w:eastAsia="Arial" w:hAnsi="Arial"/>
                <w:sz w:val="18"/>
                <w:szCs w:val="18"/>
                <w:color w:val="auto"/>
              </w:rPr>
              <w:t>goals; no adjustments for individual performance,</w:t>
            </w:r>
          </w:p>
        </w:tc>
        <w:tc>
          <w:tcPr>
            <w:tcW w:w="0" w:type="dxa"/>
            <w:vAlign w:val="bottom"/>
          </w:tcPr>
          <w:p>
            <w:pPr>
              <w:spacing w:after="0"/>
              <w:rPr>
                <w:sz w:val="1"/>
                <w:szCs w:val="1"/>
                <w:color w:val="auto"/>
              </w:rPr>
            </w:pPr>
          </w:p>
        </w:tc>
      </w:tr>
      <w:tr>
        <w:trPr>
          <w:trHeight w:val="220"/>
        </w:trPr>
        <w:tc>
          <w:tcPr>
            <w:tcW w:w="2080" w:type="dxa"/>
            <w:vAlign w:val="bottom"/>
            <w:tcBorders>
              <w:bottom w:val="single" w:sz="8" w:color="007549"/>
              <w:right w:val="single" w:sz="8" w:color="007549"/>
            </w:tcBorders>
            <w:shd w:val="clear" w:color="auto" w:fill="E5E5E5"/>
          </w:tcPr>
          <w:p>
            <w:pPr>
              <w:spacing w:after="0"/>
              <w:rPr>
                <w:sz w:val="19"/>
                <w:szCs w:val="19"/>
                <w:color w:val="auto"/>
              </w:rPr>
            </w:pPr>
          </w:p>
        </w:tc>
        <w:tc>
          <w:tcPr>
            <w:tcW w:w="540" w:type="dxa"/>
            <w:vAlign w:val="bottom"/>
            <w:tcBorders>
              <w:bottom w:val="single" w:sz="8" w:color="007549"/>
            </w:tcBorders>
          </w:tcPr>
          <w:p>
            <w:pPr>
              <w:spacing w:after="0"/>
              <w:rPr>
                <w:sz w:val="19"/>
                <w:szCs w:val="19"/>
                <w:color w:val="auto"/>
              </w:rPr>
            </w:pPr>
          </w:p>
        </w:tc>
        <w:tc>
          <w:tcPr>
            <w:tcW w:w="860" w:type="dxa"/>
            <w:vAlign w:val="bottom"/>
            <w:tcBorders>
              <w:bottom w:val="single" w:sz="8" w:color="007549"/>
            </w:tcBorders>
          </w:tcPr>
          <w:p>
            <w:pPr>
              <w:spacing w:after="0"/>
              <w:rPr>
                <w:sz w:val="19"/>
                <w:szCs w:val="19"/>
                <w:color w:val="auto"/>
              </w:rPr>
            </w:pPr>
          </w:p>
        </w:tc>
        <w:tc>
          <w:tcPr>
            <w:tcW w:w="3060" w:type="dxa"/>
            <w:vAlign w:val="bottom"/>
            <w:tcBorders>
              <w:bottom w:val="single" w:sz="8" w:color="007549"/>
              <w:right w:val="single" w:sz="8" w:color="007549"/>
            </w:tcBorders>
          </w:tcPr>
          <w:p>
            <w:pPr>
              <w:spacing w:after="0"/>
              <w:rPr>
                <w:sz w:val="19"/>
                <w:szCs w:val="19"/>
                <w:color w:val="auto"/>
              </w:rPr>
            </w:pPr>
          </w:p>
        </w:tc>
        <w:tc>
          <w:tcPr>
            <w:tcW w:w="4320" w:type="dxa"/>
            <w:vAlign w:val="bottom"/>
            <w:tcBorders>
              <w:bottom w:val="single" w:sz="8" w:color="007549"/>
            </w:tcBorders>
            <w:gridSpan w:val="2"/>
          </w:tcPr>
          <w:p>
            <w:pPr>
              <w:ind w:left="100"/>
              <w:spacing w:after="0"/>
              <w:rPr>
                <w:sz w:val="20"/>
                <w:szCs w:val="20"/>
                <w:color w:val="auto"/>
              </w:rPr>
            </w:pPr>
            <w:r>
              <w:rPr>
                <w:rFonts w:ascii="Arial" w:cs="Arial" w:eastAsia="Arial" w:hAnsi="Arial"/>
                <w:sz w:val="18"/>
                <w:szCs w:val="18"/>
                <w:color w:val="auto"/>
              </w:rPr>
              <w:t>which met or exceeded expectations</w:t>
            </w:r>
          </w:p>
        </w:tc>
        <w:tc>
          <w:tcPr>
            <w:tcW w:w="0" w:type="dxa"/>
            <w:vAlign w:val="bottom"/>
          </w:tcPr>
          <w:p>
            <w:pPr>
              <w:spacing w:after="0"/>
              <w:rPr>
                <w:sz w:val="1"/>
                <w:szCs w:val="1"/>
                <w:color w:val="auto"/>
              </w:rPr>
            </w:pPr>
          </w:p>
        </w:tc>
      </w:tr>
      <w:tr>
        <w:trPr>
          <w:trHeight w:val="257"/>
        </w:trPr>
        <w:tc>
          <w:tcPr>
            <w:tcW w:w="2080" w:type="dxa"/>
            <w:vAlign w:val="bottom"/>
            <w:tcBorders>
              <w:right w:val="single" w:sz="8" w:color="007549"/>
            </w:tcBorders>
            <w:shd w:val="clear" w:color="auto" w:fill="E5E5E5"/>
          </w:tcPr>
          <w:p>
            <w:pPr>
              <w:ind w:left="140"/>
              <w:spacing w:after="0"/>
              <w:rPr>
                <w:sz w:val="20"/>
                <w:szCs w:val="20"/>
                <w:color w:val="auto"/>
              </w:rPr>
            </w:pPr>
            <w:r>
              <w:rPr>
                <w:rFonts w:ascii="Arial" w:cs="Arial" w:eastAsia="Arial" w:hAnsi="Arial"/>
                <w:sz w:val="18"/>
                <w:szCs w:val="18"/>
                <w:b w:val="1"/>
                <w:bCs w:val="1"/>
                <w:color w:val="auto"/>
              </w:rPr>
              <w:t>2015-17 PSU</w:t>
            </w:r>
          </w:p>
        </w:tc>
        <w:tc>
          <w:tcPr>
            <w:tcW w:w="540" w:type="dxa"/>
            <w:vAlign w:val="bottom"/>
            <w:vMerge w:val="restart"/>
          </w:tcPr>
          <w:p>
            <w:pPr>
              <w:ind w:left="100"/>
              <w:spacing w:after="0"/>
              <w:rPr>
                <w:sz w:val="20"/>
                <w:szCs w:val="20"/>
                <w:color w:val="auto"/>
              </w:rPr>
            </w:pPr>
            <w:r>
              <w:rPr>
                <w:rFonts w:ascii="Arial" w:cs="Arial" w:eastAsia="Arial" w:hAnsi="Arial"/>
                <w:sz w:val="18"/>
                <w:szCs w:val="18"/>
                <w:color w:val="auto"/>
              </w:rPr>
              <w:t>63%</w:t>
            </w:r>
          </w:p>
        </w:tc>
        <w:tc>
          <w:tcPr>
            <w:tcW w:w="860" w:type="dxa"/>
            <w:vAlign w:val="bottom"/>
          </w:tcPr>
          <w:p>
            <w:pPr>
              <w:spacing w:after="0"/>
              <w:rPr>
                <w:sz w:val="22"/>
                <w:szCs w:val="22"/>
                <w:color w:val="auto"/>
              </w:rPr>
            </w:pPr>
          </w:p>
        </w:tc>
        <w:tc>
          <w:tcPr>
            <w:tcW w:w="3060" w:type="dxa"/>
            <w:vAlign w:val="bottom"/>
            <w:tcBorders>
              <w:right w:val="single" w:sz="8" w:color="007549"/>
            </w:tcBorders>
          </w:tcPr>
          <w:p>
            <w:pPr>
              <w:spacing w:after="0"/>
              <w:rPr>
                <w:sz w:val="22"/>
                <w:szCs w:val="22"/>
                <w:color w:val="auto"/>
              </w:rPr>
            </w:pPr>
          </w:p>
        </w:tc>
        <w:tc>
          <w:tcPr>
            <w:tcW w:w="780" w:type="dxa"/>
            <w:vAlign w:val="bottom"/>
          </w:tcPr>
          <w:p>
            <w:pPr>
              <w:ind w:left="100"/>
              <w:spacing w:after="0"/>
              <w:rPr>
                <w:sz w:val="20"/>
                <w:szCs w:val="20"/>
                <w:color w:val="auto"/>
              </w:rPr>
            </w:pPr>
            <w:r>
              <w:rPr>
                <w:rFonts w:ascii="Arial" w:cs="Arial" w:eastAsia="Arial" w:hAnsi="Arial"/>
                <w:sz w:val="18"/>
                <w:szCs w:val="18"/>
                <w:color w:val="auto"/>
              </w:rPr>
              <w:t>Final  3</w:t>
            </w:r>
          </w:p>
        </w:tc>
        <w:tc>
          <w:tcPr>
            <w:tcW w:w="3540" w:type="dxa"/>
            <w:vAlign w:val="bottom"/>
          </w:tcPr>
          <w:p>
            <w:pPr>
              <w:jc w:val="right"/>
              <w:ind w:right="57"/>
              <w:spacing w:after="0"/>
              <w:rPr>
                <w:sz w:val="20"/>
                <w:szCs w:val="20"/>
                <w:color w:val="auto"/>
              </w:rPr>
            </w:pPr>
            <w:r>
              <w:rPr>
                <w:rFonts w:ascii="Arial" w:cs="Arial" w:eastAsia="Arial" w:hAnsi="Arial"/>
                <w:sz w:val="18"/>
                <w:szCs w:val="18"/>
                <w:color w:val="auto"/>
              </w:rPr>
              <w:t>year  relative  Total  Shareholder  Return</w:t>
            </w:r>
          </w:p>
        </w:tc>
        <w:tc>
          <w:tcPr>
            <w:tcW w:w="0" w:type="dxa"/>
            <w:vAlign w:val="bottom"/>
          </w:tcPr>
          <w:p>
            <w:pPr>
              <w:spacing w:after="0"/>
              <w:rPr>
                <w:sz w:val="1"/>
                <w:szCs w:val="1"/>
                <w:color w:val="auto"/>
              </w:rPr>
            </w:pPr>
          </w:p>
        </w:tc>
      </w:tr>
      <w:tr>
        <w:trPr>
          <w:trHeight w:val="101"/>
        </w:trPr>
        <w:tc>
          <w:tcPr>
            <w:tcW w:w="2080" w:type="dxa"/>
            <w:vAlign w:val="bottom"/>
            <w:tcBorders>
              <w:right w:val="single" w:sz="8" w:color="007549"/>
            </w:tcBorders>
            <w:vMerge w:val="restart"/>
            <w:shd w:val="clear" w:color="auto" w:fill="E5E5E5"/>
          </w:tcPr>
          <w:p>
            <w:pPr>
              <w:ind w:left="140"/>
              <w:spacing w:after="0"/>
              <w:rPr>
                <w:sz w:val="20"/>
                <w:szCs w:val="20"/>
                <w:color w:val="auto"/>
              </w:rPr>
            </w:pPr>
            <w:r>
              <w:rPr>
                <w:rFonts w:ascii="Arial" w:cs="Arial" w:eastAsia="Arial" w:hAnsi="Arial"/>
                <w:sz w:val="18"/>
                <w:szCs w:val="18"/>
                <w:b w:val="1"/>
                <w:bCs w:val="1"/>
                <w:color w:val="auto"/>
              </w:rPr>
              <w:t>Payout</w:t>
            </w:r>
          </w:p>
        </w:tc>
        <w:tc>
          <w:tcPr>
            <w:tcW w:w="54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3060" w:type="dxa"/>
            <w:vAlign w:val="bottom"/>
            <w:tcBorders>
              <w:right w:val="single" w:sz="8" w:color="007549"/>
            </w:tcBorders>
          </w:tcPr>
          <w:p>
            <w:pPr>
              <w:spacing w:after="0"/>
              <w:rPr>
                <w:sz w:val="8"/>
                <w:szCs w:val="8"/>
                <w:color w:val="auto"/>
              </w:rPr>
            </w:pPr>
          </w:p>
        </w:tc>
        <w:tc>
          <w:tcPr>
            <w:tcW w:w="4320" w:type="dxa"/>
            <w:vAlign w:val="bottom"/>
            <w:gridSpan w:val="2"/>
            <w:vMerge w:val="restart"/>
          </w:tcPr>
          <w:p>
            <w:pPr>
              <w:ind w:left="100"/>
              <w:spacing w:after="0"/>
              <w:rPr>
                <w:sz w:val="20"/>
                <w:szCs w:val="20"/>
                <w:color w:val="auto"/>
              </w:rPr>
            </w:pPr>
            <w:r>
              <w:rPr>
                <w:rFonts w:ascii="Arial" w:cs="Arial" w:eastAsia="Arial" w:hAnsi="Arial"/>
                <w:sz w:val="18"/>
                <w:szCs w:val="18"/>
                <w:color w:val="auto"/>
              </w:rPr>
              <w:t>(“TSR”) versus peers</w:t>
            </w:r>
          </w:p>
        </w:tc>
        <w:tc>
          <w:tcPr>
            <w:tcW w:w="0" w:type="dxa"/>
            <w:vAlign w:val="bottom"/>
          </w:tcPr>
          <w:p>
            <w:pPr>
              <w:spacing w:after="0"/>
              <w:rPr>
                <w:sz w:val="1"/>
                <w:szCs w:val="1"/>
                <w:color w:val="auto"/>
              </w:rPr>
            </w:pPr>
          </w:p>
        </w:tc>
      </w:tr>
      <w:tr>
        <w:trPr>
          <w:trHeight w:val="141"/>
        </w:trPr>
        <w:tc>
          <w:tcPr>
            <w:tcW w:w="2080" w:type="dxa"/>
            <w:vAlign w:val="bottom"/>
            <w:tcBorders>
              <w:bottom w:val="single" w:sz="8" w:color="007549"/>
              <w:right w:val="single" w:sz="8" w:color="007549"/>
            </w:tcBorders>
            <w:vMerge w:val="continue"/>
            <w:shd w:val="clear" w:color="auto" w:fill="E5E5E5"/>
          </w:tcPr>
          <w:p>
            <w:pPr>
              <w:spacing w:after="0"/>
              <w:rPr>
                <w:sz w:val="12"/>
                <w:szCs w:val="12"/>
                <w:color w:val="auto"/>
              </w:rPr>
            </w:pPr>
          </w:p>
        </w:tc>
        <w:tc>
          <w:tcPr>
            <w:tcW w:w="540" w:type="dxa"/>
            <w:vAlign w:val="bottom"/>
            <w:tcBorders>
              <w:bottom w:val="single" w:sz="8" w:color="007549"/>
            </w:tcBorders>
          </w:tcPr>
          <w:p>
            <w:pPr>
              <w:spacing w:after="0"/>
              <w:rPr>
                <w:sz w:val="12"/>
                <w:szCs w:val="12"/>
                <w:color w:val="auto"/>
              </w:rPr>
            </w:pPr>
          </w:p>
        </w:tc>
        <w:tc>
          <w:tcPr>
            <w:tcW w:w="860" w:type="dxa"/>
            <w:vAlign w:val="bottom"/>
            <w:tcBorders>
              <w:bottom w:val="single" w:sz="8" w:color="007549"/>
            </w:tcBorders>
          </w:tcPr>
          <w:p>
            <w:pPr>
              <w:spacing w:after="0"/>
              <w:rPr>
                <w:sz w:val="12"/>
                <w:szCs w:val="12"/>
                <w:color w:val="auto"/>
              </w:rPr>
            </w:pPr>
          </w:p>
        </w:tc>
        <w:tc>
          <w:tcPr>
            <w:tcW w:w="3060" w:type="dxa"/>
            <w:vAlign w:val="bottom"/>
            <w:tcBorders>
              <w:bottom w:val="single" w:sz="8" w:color="007549"/>
              <w:right w:val="single" w:sz="8" w:color="007549"/>
            </w:tcBorders>
          </w:tcPr>
          <w:p>
            <w:pPr>
              <w:spacing w:after="0"/>
              <w:rPr>
                <w:sz w:val="12"/>
                <w:szCs w:val="12"/>
                <w:color w:val="auto"/>
              </w:rPr>
            </w:pPr>
          </w:p>
        </w:tc>
        <w:tc>
          <w:tcPr>
            <w:tcW w:w="4320" w:type="dxa"/>
            <w:vAlign w:val="bottom"/>
            <w:tcBorders>
              <w:bottom w:val="single" w:sz="8" w:color="007549"/>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007549"/>
        </w:rPr>
        <w:t>Compensation Actions in 2018 for the CEO</w:t>
      </w:r>
    </w:p>
    <w:p>
      <w:pPr>
        <w:spacing w:after="0" w:line="136" w:lineRule="exact"/>
        <w:rPr>
          <w:sz w:val="20"/>
          <w:szCs w:val="20"/>
          <w:color w:val="auto"/>
        </w:rPr>
      </w:pPr>
    </w:p>
    <w:p>
      <w:pPr>
        <w:jc w:val="both"/>
        <w:ind w:left="280"/>
        <w:spacing w:after="0" w:line="235" w:lineRule="auto"/>
        <w:rPr>
          <w:sz w:val="20"/>
          <w:szCs w:val="20"/>
          <w:color w:val="auto"/>
        </w:rPr>
      </w:pPr>
      <w:r>
        <w:rPr>
          <w:rFonts w:ascii="Arial" w:cs="Arial" w:eastAsia="Arial" w:hAnsi="Arial"/>
          <w:sz w:val="18"/>
          <w:szCs w:val="18"/>
          <w:color w:val="auto"/>
        </w:rPr>
        <w:t>In early 2018, after a review of market reference pay levels and considering the actions taken to streamline the company through the sale of certain assets and cost reductions, the committee determined to reset our CEO’s target LTI award beginning in 2018, reducing it by 21% to $7.5 million. Based on the board’s assessment of our CEO’s performance versus his key performance initiatives, which met or exceeded expectations, the committee awarded him an LTI award in 2018 at target of $7.5 million.</w:t>
      </w:r>
    </w:p>
    <w:p>
      <w:pPr>
        <w:spacing w:after="0" w:line="169"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007549"/>
        </w:rPr>
        <w:t>Compensation Program Key Practices Promote Alignment with Stockholder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158750</wp:posOffset>
            </wp:positionV>
            <wp:extent cx="6918960" cy="2044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18960" cy="2044700"/>
                    </a:xfrm>
                    <a:prstGeom prst="rect">
                      <a:avLst/>
                    </a:prstGeom>
                    <a:noFill/>
                  </pic:spPr>
                </pic:pic>
              </a:graphicData>
            </a:graphic>
          </wp:anchor>
        </w:drawing>
      </w:r>
    </w:p>
    <w:p>
      <w:pPr>
        <w:sectPr>
          <w:pgSz w:w="11900" w:h="16838" w:orient="portrait"/>
          <w:cols w:equalWidth="0" w:num="1">
            <w:col w:w="11140"/>
          </w:cols>
          <w:pgMar w:left="240" w:top="454" w:right="51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007549"/>
        </w:rPr>
        <w:t>What We Do</w:t>
      </w:r>
    </w:p>
    <w:p>
      <w:pPr>
        <w:spacing w:after="0" w:line="94" w:lineRule="exact"/>
        <w:rPr>
          <w:sz w:val="20"/>
          <w:szCs w:val="20"/>
          <w:color w:val="auto"/>
        </w:rPr>
      </w:pPr>
    </w:p>
    <w:p>
      <w:pPr>
        <w:ind w:left="880" w:hanging="342"/>
        <w:spacing w:after="0"/>
        <w:tabs>
          <w:tab w:leader="none" w:pos="880" w:val="left"/>
        </w:tabs>
        <w:numPr>
          <w:ilvl w:val="0"/>
          <w:numId w:val="10"/>
        </w:numPr>
        <w:rPr>
          <w:rFonts w:ascii="Arial" w:cs="Arial" w:eastAsia="Arial" w:hAnsi="Arial"/>
          <w:sz w:val="17"/>
          <w:szCs w:val="17"/>
          <w:b w:val="1"/>
          <w:bCs w:val="1"/>
          <w:color w:val="007549"/>
        </w:rPr>
      </w:pPr>
      <w:r>
        <w:rPr>
          <w:rFonts w:ascii="Arial" w:cs="Arial" w:eastAsia="Arial" w:hAnsi="Arial"/>
          <w:sz w:val="17"/>
          <w:szCs w:val="17"/>
          <w:color w:val="auto"/>
        </w:rPr>
        <w:t>Directly link pay to performance and stockholder returns</w:t>
      </w:r>
    </w:p>
    <w:p>
      <w:pPr>
        <w:spacing w:after="0" w:line="97" w:lineRule="exact"/>
        <w:rPr>
          <w:rFonts w:ascii="Arial" w:cs="Arial" w:eastAsia="Arial" w:hAnsi="Arial"/>
          <w:sz w:val="17"/>
          <w:szCs w:val="17"/>
          <w:b w:val="1"/>
          <w:bCs w:val="1"/>
          <w:color w:val="007549"/>
        </w:rPr>
      </w:pPr>
    </w:p>
    <w:p>
      <w:pPr>
        <w:ind w:left="880" w:right="560" w:hanging="342"/>
        <w:spacing w:after="0" w:line="238" w:lineRule="auto"/>
        <w:tabs>
          <w:tab w:leader="none" w:pos="880" w:val="left"/>
        </w:tabs>
        <w:numPr>
          <w:ilvl w:val="0"/>
          <w:numId w:val="10"/>
        </w:numPr>
        <w:rPr>
          <w:rFonts w:ascii="Arial" w:cs="Arial" w:eastAsia="Arial" w:hAnsi="Arial"/>
          <w:sz w:val="18"/>
          <w:szCs w:val="18"/>
          <w:b w:val="1"/>
          <w:bCs w:val="1"/>
          <w:color w:val="007549"/>
        </w:rPr>
      </w:pPr>
      <w:r>
        <w:rPr>
          <w:rFonts w:ascii="Arial" w:cs="Arial" w:eastAsia="Arial" w:hAnsi="Arial"/>
          <w:sz w:val="18"/>
          <w:szCs w:val="18"/>
          <w:color w:val="auto"/>
        </w:rPr>
        <w:t>Target total direct compensation within range of market median</w:t>
      </w:r>
    </w:p>
    <w:p>
      <w:pPr>
        <w:spacing w:after="0" w:line="81" w:lineRule="exact"/>
        <w:rPr>
          <w:rFonts w:ascii="Arial" w:cs="Arial" w:eastAsia="Arial" w:hAnsi="Arial"/>
          <w:sz w:val="18"/>
          <w:szCs w:val="18"/>
          <w:b w:val="1"/>
          <w:bCs w:val="1"/>
          <w:color w:val="007549"/>
        </w:rPr>
      </w:pPr>
    </w:p>
    <w:p>
      <w:pPr>
        <w:ind w:left="880" w:hanging="342"/>
        <w:spacing w:after="0"/>
        <w:tabs>
          <w:tab w:leader="none" w:pos="880" w:val="left"/>
        </w:tabs>
        <w:numPr>
          <w:ilvl w:val="0"/>
          <w:numId w:val="10"/>
        </w:numPr>
        <w:rPr>
          <w:rFonts w:ascii="Arial" w:cs="Arial" w:eastAsia="Arial" w:hAnsi="Arial"/>
          <w:sz w:val="17"/>
          <w:szCs w:val="17"/>
          <w:b w:val="1"/>
          <w:bCs w:val="1"/>
          <w:color w:val="007549"/>
        </w:rPr>
      </w:pPr>
      <w:r>
        <w:rPr>
          <w:rFonts w:ascii="Arial" w:cs="Arial" w:eastAsia="Arial" w:hAnsi="Arial"/>
          <w:sz w:val="17"/>
          <w:szCs w:val="17"/>
          <w:color w:val="auto"/>
        </w:rPr>
        <w:t>Impose cap on CEO incentive compensation payments</w:t>
      </w:r>
    </w:p>
    <w:p>
      <w:pPr>
        <w:spacing w:after="0" w:line="97" w:lineRule="exact"/>
        <w:rPr>
          <w:rFonts w:ascii="Arial" w:cs="Arial" w:eastAsia="Arial" w:hAnsi="Arial"/>
          <w:sz w:val="17"/>
          <w:szCs w:val="17"/>
          <w:b w:val="1"/>
          <w:bCs w:val="1"/>
          <w:color w:val="007549"/>
        </w:rPr>
      </w:pPr>
    </w:p>
    <w:p>
      <w:pPr>
        <w:ind w:left="880" w:hanging="342"/>
        <w:spacing w:after="0"/>
        <w:tabs>
          <w:tab w:leader="none" w:pos="880" w:val="left"/>
        </w:tabs>
        <w:numPr>
          <w:ilvl w:val="0"/>
          <w:numId w:val="10"/>
        </w:numPr>
        <w:rPr>
          <w:rFonts w:ascii="Arial" w:cs="Arial" w:eastAsia="Arial" w:hAnsi="Arial"/>
          <w:sz w:val="18"/>
          <w:szCs w:val="18"/>
          <w:b w:val="1"/>
          <w:bCs w:val="1"/>
          <w:color w:val="007549"/>
        </w:rPr>
      </w:pPr>
      <w:r>
        <w:rPr>
          <w:rFonts w:ascii="Arial" w:cs="Arial" w:eastAsia="Arial" w:hAnsi="Arial"/>
          <w:sz w:val="18"/>
          <w:szCs w:val="18"/>
          <w:color w:val="auto"/>
        </w:rPr>
        <w:t>Design compensation plans to mitigate undue risk</w:t>
      </w:r>
    </w:p>
    <w:p>
      <w:pPr>
        <w:spacing w:after="0" w:line="85" w:lineRule="exact"/>
        <w:rPr>
          <w:rFonts w:ascii="Arial" w:cs="Arial" w:eastAsia="Arial" w:hAnsi="Arial"/>
          <w:sz w:val="18"/>
          <w:szCs w:val="18"/>
          <w:b w:val="1"/>
          <w:bCs w:val="1"/>
          <w:color w:val="007549"/>
        </w:rPr>
      </w:pPr>
    </w:p>
    <w:p>
      <w:pPr>
        <w:ind w:left="880" w:hanging="342"/>
        <w:spacing w:after="0"/>
        <w:tabs>
          <w:tab w:leader="none" w:pos="880" w:val="left"/>
        </w:tabs>
        <w:numPr>
          <w:ilvl w:val="0"/>
          <w:numId w:val="10"/>
        </w:numPr>
        <w:rPr>
          <w:rFonts w:ascii="Arial" w:cs="Arial" w:eastAsia="Arial" w:hAnsi="Arial"/>
          <w:sz w:val="18"/>
          <w:szCs w:val="18"/>
          <w:b w:val="1"/>
          <w:bCs w:val="1"/>
          <w:color w:val="007549"/>
        </w:rPr>
      </w:pPr>
      <w:r>
        <w:rPr>
          <w:rFonts w:ascii="Arial" w:cs="Arial" w:eastAsia="Arial" w:hAnsi="Arial"/>
          <w:sz w:val="18"/>
          <w:szCs w:val="18"/>
          <w:color w:val="auto"/>
        </w:rPr>
        <w:t>Double-trigger change-in-control severance benefits</w:t>
      </w:r>
    </w:p>
    <w:p>
      <w:pPr>
        <w:spacing w:after="0" w:line="85" w:lineRule="exact"/>
        <w:rPr>
          <w:rFonts w:ascii="Arial" w:cs="Arial" w:eastAsia="Arial" w:hAnsi="Arial"/>
          <w:sz w:val="18"/>
          <w:szCs w:val="18"/>
          <w:b w:val="1"/>
          <w:bCs w:val="1"/>
          <w:color w:val="007549"/>
        </w:rPr>
      </w:pPr>
    </w:p>
    <w:p>
      <w:pPr>
        <w:ind w:left="880" w:hanging="342"/>
        <w:spacing w:after="0"/>
        <w:tabs>
          <w:tab w:leader="none" w:pos="880" w:val="left"/>
        </w:tabs>
        <w:numPr>
          <w:ilvl w:val="0"/>
          <w:numId w:val="10"/>
        </w:numPr>
        <w:rPr>
          <w:rFonts w:ascii="Arial" w:cs="Arial" w:eastAsia="Arial" w:hAnsi="Arial"/>
          <w:sz w:val="18"/>
          <w:szCs w:val="18"/>
          <w:b w:val="1"/>
          <w:bCs w:val="1"/>
          <w:color w:val="007549"/>
        </w:rPr>
      </w:pPr>
      <w:r>
        <w:rPr>
          <w:rFonts w:ascii="Arial" w:cs="Arial" w:eastAsia="Arial" w:hAnsi="Arial"/>
          <w:sz w:val="18"/>
          <w:szCs w:val="18"/>
          <w:color w:val="auto"/>
        </w:rPr>
        <w:t>Maintain a compensation clawback policy</w:t>
      </w:r>
    </w:p>
    <w:p>
      <w:pPr>
        <w:spacing w:after="0" w:line="67" w:lineRule="exact"/>
        <w:rPr>
          <w:rFonts w:ascii="Arial" w:cs="Arial" w:eastAsia="Arial" w:hAnsi="Arial"/>
          <w:sz w:val="18"/>
          <w:szCs w:val="18"/>
          <w:b w:val="1"/>
          <w:bCs w:val="1"/>
          <w:color w:val="007549"/>
        </w:rPr>
      </w:pPr>
    </w:p>
    <w:p>
      <w:pPr>
        <w:ind w:left="880" w:hanging="342"/>
        <w:spacing w:after="0"/>
        <w:tabs>
          <w:tab w:leader="none" w:pos="880" w:val="left"/>
        </w:tabs>
        <w:numPr>
          <w:ilvl w:val="0"/>
          <w:numId w:val="10"/>
        </w:numPr>
        <w:rPr>
          <w:rFonts w:ascii="Arial" w:cs="Arial" w:eastAsia="Arial" w:hAnsi="Arial"/>
          <w:sz w:val="18"/>
          <w:szCs w:val="18"/>
          <w:b w:val="1"/>
          <w:bCs w:val="1"/>
          <w:color w:val="007549"/>
        </w:rPr>
      </w:pPr>
      <w:r>
        <w:rPr>
          <w:rFonts w:ascii="Arial" w:cs="Arial" w:eastAsia="Arial" w:hAnsi="Arial"/>
          <w:sz w:val="18"/>
          <w:szCs w:val="18"/>
          <w:color w:val="auto"/>
        </w:rPr>
        <w:t xml:space="preserve">Provide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perquisites for executives</w:t>
      </w:r>
    </w:p>
    <w:p>
      <w:pPr>
        <w:spacing w:after="0" w:line="103" w:lineRule="exact"/>
        <w:rPr>
          <w:rFonts w:ascii="Arial" w:cs="Arial" w:eastAsia="Arial" w:hAnsi="Arial"/>
          <w:sz w:val="18"/>
          <w:szCs w:val="18"/>
          <w:b w:val="1"/>
          <w:bCs w:val="1"/>
          <w:color w:val="007549"/>
        </w:rPr>
      </w:pPr>
    </w:p>
    <w:p>
      <w:pPr>
        <w:ind w:left="880" w:hanging="342"/>
        <w:spacing w:after="0"/>
        <w:tabs>
          <w:tab w:leader="none" w:pos="880" w:val="left"/>
        </w:tabs>
        <w:numPr>
          <w:ilvl w:val="0"/>
          <w:numId w:val="10"/>
        </w:numPr>
        <w:rPr>
          <w:rFonts w:ascii="Arial" w:cs="Arial" w:eastAsia="Arial" w:hAnsi="Arial"/>
          <w:sz w:val="18"/>
          <w:szCs w:val="18"/>
          <w:b w:val="1"/>
          <w:bCs w:val="1"/>
          <w:color w:val="007549"/>
        </w:rPr>
      </w:pPr>
      <w:r>
        <w:rPr>
          <w:rFonts w:ascii="Arial" w:cs="Arial" w:eastAsia="Arial" w:hAnsi="Arial"/>
          <w:sz w:val="18"/>
          <w:szCs w:val="18"/>
          <w:color w:val="auto"/>
        </w:rPr>
        <w:t>Retain an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1812290</wp:posOffset>
            </wp:positionH>
            <wp:positionV relativeFrom="paragraph">
              <wp:posOffset>274320</wp:posOffset>
            </wp:positionV>
            <wp:extent cx="405765" cy="2451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FF2135"/>
        </w:rPr>
        <w:t>What We Don’t Do</w:t>
      </w:r>
    </w:p>
    <w:p>
      <w:pPr>
        <w:spacing w:after="0" w:line="94" w:lineRule="exact"/>
        <w:rPr>
          <w:sz w:val="20"/>
          <w:szCs w:val="20"/>
          <w:color w:val="auto"/>
        </w:rPr>
      </w:pPr>
    </w:p>
    <w:p>
      <w:pPr>
        <w:ind w:right="1680"/>
        <w:spacing w:after="0" w:line="359" w:lineRule="auto"/>
        <w:rPr>
          <w:sz w:val="20"/>
          <w:szCs w:val="20"/>
          <w:color w:val="auto"/>
        </w:rPr>
      </w:pPr>
      <w:r>
        <w:rPr>
          <w:rFonts w:ascii="Arial" w:cs="Arial" w:eastAsia="Arial" w:hAnsi="Arial"/>
          <w:sz w:val="17"/>
          <w:szCs w:val="17"/>
          <w:color w:val="auto"/>
        </w:rPr>
        <w:t>NO hedging or pledging by executives NO employment contracts for NEOs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 dividends or equivalents on unearned LTI awards</w:t>
      </w:r>
    </w:p>
    <w:p>
      <w:pPr>
        <w:spacing w:after="0" w:line="86" w:lineRule="exact"/>
        <w:rPr>
          <w:sz w:val="20"/>
          <w:szCs w:val="20"/>
          <w:color w:val="auto"/>
        </w:rPr>
      </w:pPr>
    </w:p>
    <w:p>
      <w:pPr>
        <w:ind w:right="760"/>
        <w:spacing w:after="0" w:line="238" w:lineRule="auto"/>
        <w:rPr>
          <w:sz w:val="20"/>
          <w:szCs w:val="20"/>
          <w:color w:val="auto"/>
        </w:rPr>
      </w:pPr>
      <w:r>
        <w:rPr>
          <w:rFonts w:ascii="Arial" w:cs="Arial" w:eastAsia="Arial" w:hAnsi="Arial"/>
          <w:sz w:val="18"/>
          <w:szCs w:val="18"/>
          <w:color w:val="auto"/>
        </w:rPr>
        <w:t>NO excise tax gross-ups in new change-in-control agreements</w:t>
      </w:r>
    </w:p>
    <w:p>
      <w:pPr>
        <w:spacing w:after="0" w:line="82" w:lineRule="exact"/>
        <w:rPr>
          <w:sz w:val="20"/>
          <w:szCs w:val="20"/>
          <w:color w:val="auto"/>
        </w:rPr>
      </w:pPr>
    </w:p>
    <w:p>
      <w:pPr>
        <w:ind w:right="40"/>
        <w:spacing w:after="0" w:line="380" w:lineRule="auto"/>
        <w:rPr>
          <w:sz w:val="20"/>
          <w:szCs w:val="20"/>
          <w:color w:val="auto"/>
        </w:rPr>
      </w:pPr>
      <w:r>
        <w:rPr>
          <w:rFonts w:ascii="Arial" w:cs="Arial" w:eastAsia="Arial" w:hAnsi="Arial"/>
          <w:sz w:val="17"/>
          <w:szCs w:val="17"/>
          <w:color w:val="auto"/>
        </w:rPr>
        <w:t>NO re-pricing of stock options without stockholder approval NO excessive severance or change-in-control benefits</w:t>
      </w:r>
    </w:p>
    <w:p>
      <w:pPr>
        <w:spacing w:after="0" w:line="666" w:lineRule="exact"/>
        <w:rPr>
          <w:sz w:val="20"/>
          <w:szCs w:val="20"/>
          <w:color w:val="auto"/>
        </w:rPr>
      </w:pPr>
    </w:p>
    <w:p>
      <w:pPr>
        <w:sectPr>
          <w:pgSz w:w="11900" w:h="16838" w:orient="portrait"/>
          <w:cols w:equalWidth="0" w:num="2">
            <w:col w:w="5740" w:space="720"/>
            <w:col w:w="4680"/>
          </w:cols>
          <w:pgMar w:left="240" w:top="454" w:right="519" w:bottom="1440" w:gutter="0" w:footer="0" w:header="0"/>
          <w:type w:val="continuous"/>
        </w:sectPr>
      </w:pPr>
    </w:p>
    <w:p>
      <w:pPr>
        <w:spacing w:after="0" w:line="332" w:lineRule="exact"/>
        <w:rPr>
          <w:sz w:val="20"/>
          <w:szCs w:val="20"/>
          <w:color w:val="auto"/>
        </w:rPr>
      </w:pPr>
    </w:p>
    <w:p>
      <w:pPr>
        <w:ind w:left="740" w:hanging="454"/>
        <w:spacing w:after="0"/>
        <w:tabs>
          <w:tab w:leader="none" w:pos="740" w:val="left"/>
        </w:tabs>
        <w:numPr>
          <w:ilvl w:val="0"/>
          <w:numId w:val="11"/>
        </w:numPr>
        <w:rPr>
          <w:rFonts w:ascii="Arial" w:cs="Arial" w:eastAsia="Arial" w:hAnsi="Arial"/>
          <w:sz w:val="14"/>
          <w:szCs w:val="14"/>
          <w:b w:val="1"/>
          <w:bCs w:val="1"/>
          <w:color w:val="007549"/>
        </w:rPr>
      </w:pPr>
      <w:r>
        <w:rPr>
          <w:rFonts w:ascii="Arial" w:cs="Arial" w:eastAsia="Arial" w:hAnsi="Arial"/>
          <w:sz w:val="12"/>
          <w:szCs w:val="12"/>
          <w:b w:val="1"/>
          <w:bCs w:val="1"/>
          <w:color w:val="666666"/>
        </w:rPr>
        <w:t>2018 PROXY STATEMENT</w:t>
      </w:r>
    </w:p>
    <w:p>
      <w:pPr>
        <w:sectPr>
          <w:pgSz w:w="11900" w:h="16838" w:orient="portrait"/>
          <w:cols w:equalWidth="0" w:num="1">
            <w:col w:w="11140"/>
          </w:cols>
          <w:pgMar w:left="240" w:top="454" w:right="51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9920"/>
        <w:spacing w:after="0"/>
        <w:rPr>
          <w:sz w:val="20"/>
          <w:szCs w:val="20"/>
          <w:color w:val="auto"/>
        </w:rPr>
      </w:pPr>
      <w:r>
        <w:rPr>
          <w:rFonts w:ascii="Arial" w:cs="Arial" w:eastAsia="Arial" w:hAnsi="Arial"/>
          <w:sz w:val="16"/>
          <w:szCs w:val="16"/>
          <w:b w:val="1"/>
          <w:bCs w:val="1"/>
          <w:color w:val="007549"/>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55245</wp:posOffset>
            </wp:positionV>
            <wp:extent cx="68935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234"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007549"/>
        </w:rPr>
        <w:t>Pay vs. Performance Alignment - Realizable Compensation</w:t>
      </w:r>
    </w:p>
    <w:p>
      <w:pPr>
        <w:spacing w:after="0" w:line="136" w:lineRule="exact"/>
        <w:rPr>
          <w:sz w:val="20"/>
          <w:szCs w:val="20"/>
          <w:color w:val="auto"/>
        </w:rPr>
      </w:pPr>
    </w:p>
    <w:p>
      <w:pPr>
        <w:jc w:val="both"/>
        <w:ind w:left="280"/>
        <w:spacing w:after="0" w:line="236" w:lineRule="auto"/>
        <w:rPr>
          <w:sz w:val="20"/>
          <w:szCs w:val="20"/>
          <w:color w:val="auto"/>
        </w:rPr>
      </w:pPr>
      <w:r>
        <w:rPr>
          <w:rFonts w:ascii="Arial" w:cs="Arial" w:eastAsia="Arial" w:hAnsi="Arial"/>
          <w:sz w:val="18"/>
          <w:szCs w:val="18"/>
          <w:color w:val="auto"/>
        </w:rPr>
        <w:t>A comparison of realizable pay to target pay, based on the grant date opportunity, and TSR illustrates how performance outcomes have impacted pay over time. The graph below shows that our CEO’s average realizable pay for the last three years has been less than half of the grant-date value and is sensitive to TSR, illustrating meaningful alignment with stockholder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144780</wp:posOffset>
            </wp:positionV>
            <wp:extent cx="5727700" cy="32524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27700" cy="3252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720" w:hanging="434"/>
        <w:spacing w:after="0" w:line="238"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Grant date opportunity reflects the average of salary, target cash bonus, and grant date fair market value of equity awards, as reported in the Grants of Plan-Based Awards table on page 38, for each respective year.</w:t>
      </w:r>
    </w:p>
    <w:p>
      <w:pPr>
        <w:spacing w:after="0" w:line="108" w:lineRule="exact"/>
        <w:rPr>
          <w:rFonts w:ascii="Arial" w:cs="Arial" w:eastAsia="Arial" w:hAnsi="Arial"/>
          <w:sz w:val="18"/>
          <w:szCs w:val="18"/>
          <w:color w:val="auto"/>
        </w:rPr>
      </w:pPr>
    </w:p>
    <w:p>
      <w:pPr>
        <w:jc w:val="both"/>
        <w:ind w:left="720" w:hanging="434"/>
        <w:spacing w:after="0" w:line="236"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Realizable pay reflects the average of salary, actual cash bonus, and the intrinsic value of stock options, the market value of restricted stock, and the market value of PSUs (tracking actual performance), in each case awarded in each of these three-year periods. Stock options, restricted stock, and PSUs are valued at year end 2015, 2016 and 2017 closing prices of common stock.</w:t>
      </w:r>
    </w:p>
    <w:p>
      <w:pPr>
        <w:spacing w:after="0" w:line="107" w:lineRule="exact"/>
        <w:rPr>
          <w:rFonts w:ascii="Arial" w:cs="Arial" w:eastAsia="Arial" w:hAnsi="Arial"/>
          <w:sz w:val="18"/>
          <w:szCs w:val="18"/>
          <w:color w:val="auto"/>
        </w:rPr>
      </w:pPr>
    </w:p>
    <w:p>
      <w:pPr>
        <w:jc w:val="both"/>
        <w:ind w:left="720" w:hanging="434"/>
        <w:spacing w:after="0" w:line="236"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more information on total compensation as calculated under SEC rules, see the narrative and notes accompanying the Summary Compensation Table on page 37. The amounts reported as realizable compensation differs substantially from the amounts reported as total compensation in the Summary Compensation Table and is not a substitute for those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85725</wp:posOffset>
            </wp:positionV>
            <wp:extent cx="405765" cy="2451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20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2"/>
          <w:szCs w:val="12"/>
          <w:b w:val="1"/>
          <w:bCs w:val="1"/>
          <w:color w:val="666666"/>
        </w:rPr>
        <w:t>2018 PROXY STATEMENT</w:t>
      </w:r>
      <w:r>
        <w:rPr>
          <w:sz w:val="20"/>
          <w:szCs w:val="20"/>
          <w:color w:val="auto"/>
        </w:rPr>
        <w:tab/>
      </w:r>
      <w:r>
        <w:rPr>
          <w:rFonts w:ascii="Arial" w:cs="Arial" w:eastAsia="Arial" w:hAnsi="Arial"/>
          <w:sz w:val="14"/>
          <w:szCs w:val="14"/>
          <w:b w:val="1"/>
          <w:bCs w:val="1"/>
          <w:color w:val="007549"/>
        </w:rPr>
        <w:t>vii</w:t>
      </w:r>
    </w:p>
    <w:p>
      <w:pPr>
        <w:sectPr>
          <w:pgSz w:w="11900" w:h="16838" w:orient="portrait"/>
          <w:cols w:equalWidth="0" w:num="1">
            <w:col w:w="11140"/>
          </w:cols>
          <w:pgMar w:left="240" w:top="454" w:right="5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007549"/>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55245</wp:posOffset>
            </wp:positionV>
            <wp:extent cx="68935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238"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333333"/>
        </w:rPr>
        <w:t>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63500</wp:posOffset>
            </wp:positionV>
            <wp:extent cx="68935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159" w:lineRule="exact"/>
        <w:rPr>
          <w:sz w:val="20"/>
          <w:szCs w:val="20"/>
          <w:color w:val="auto"/>
        </w:rPr>
      </w:pPr>
    </w:p>
    <w:p>
      <w:pPr>
        <w:jc w:val="both"/>
        <w:ind w:left="280"/>
        <w:spacing w:after="0" w:line="235" w:lineRule="auto"/>
        <w:rPr>
          <w:sz w:val="20"/>
          <w:szCs w:val="20"/>
          <w:color w:val="auto"/>
        </w:rPr>
      </w:pPr>
      <w:r>
        <w:rPr>
          <w:rFonts w:ascii="Arial" w:cs="Arial" w:eastAsia="Arial" w:hAnsi="Arial"/>
          <w:sz w:val="18"/>
          <w:szCs w:val="18"/>
          <w:color w:val="auto"/>
        </w:rPr>
        <w:t>Sustainability practices and values are integrated into our company’s strategy and operations. We believe our focus on sustainability creates value for our stockholders and helps position us to continuously improve business performance. Our strategy focuses our efforts on the areas most significant to our business, including health and safety, climate change, community and stakeholder engagement, human rights, and transparency.</w:t>
      </w:r>
    </w:p>
    <w:p>
      <w:pPr>
        <w:spacing w:after="0" w:line="169"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007549"/>
        </w:rPr>
        <w:t>Board Oversight of Sustainability Practices</w:t>
      </w:r>
    </w:p>
    <w:p>
      <w:pPr>
        <w:spacing w:after="0" w:line="136" w:lineRule="exact"/>
        <w:rPr>
          <w:sz w:val="20"/>
          <w:szCs w:val="20"/>
          <w:color w:val="auto"/>
        </w:rPr>
      </w:pPr>
    </w:p>
    <w:p>
      <w:pPr>
        <w:jc w:val="both"/>
        <w:ind w:left="280"/>
        <w:spacing w:after="0" w:line="233" w:lineRule="auto"/>
        <w:rPr>
          <w:sz w:val="20"/>
          <w:szCs w:val="20"/>
          <w:color w:val="auto"/>
        </w:rPr>
      </w:pPr>
      <w:r>
        <w:rPr>
          <w:rFonts w:ascii="Arial" w:cs="Arial" w:eastAsia="Arial" w:hAnsi="Arial"/>
          <w:sz w:val="18"/>
          <w:szCs w:val="18"/>
          <w:color w:val="auto"/>
        </w:rPr>
        <w:t>As part of our commitment, the board is actively engaged in overseeing Hess’ sustainability practices and works alongside senior management to ensure focus on these topics. The environmental, health and safety subcommittee of the board’s audit committee provides oversight and makes recommendations to the full board of directors with respect to Hess’ policies, positions and systems for environmental, health, safety and social responsibility, compliance and risk management. Our board is climate change literate, and these and other environmental risks are discussed at the board level and taken into account in strategic decisions. Furthermore, the board’s compensation and management development committee has tied executive compensation to advancing the environmental, health and safety goals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205740</wp:posOffset>
            </wp:positionV>
            <wp:extent cx="6893560" cy="168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93560" cy="168910"/>
                    </a:xfrm>
                    <a:prstGeom prst="rect">
                      <a:avLst/>
                    </a:prstGeom>
                    <a:noFill/>
                  </pic:spPr>
                </pic:pic>
              </a:graphicData>
            </a:graphic>
          </wp:anchor>
        </w:drawing>
      </w:r>
    </w:p>
    <w:p>
      <w:pPr>
        <w:sectPr>
          <w:pgSz w:w="11900" w:h="16838" w:orient="portrait"/>
          <w:cols w:equalWidth="0" w:num="1">
            <w:col w:w="11140"/>
          </w:cols>
          <w:pgMar w:left="240" w:top="454" w:right="519" w:bottom="1440" w:gutter="0" w:footer="0" w:header="0"/>
        </w:sectPr>
      </w:pPr>
    </w:p>
    <w:p>
      <w:pPr>
        <w:spacing w:after="0" w:line="341" w:lineRule="exact"/>
        <w:rPr>
          <w:sz w:val="20"/>
          <w:szCs w:val="20"/>
          <w:color w:val="auto"/>
        </w:rPr>
      </w:pPr>
    </w:p>
    <w:p>
      <w:pPr>
        <w:jc w:val="center"/>
        <w:ind w:left="560"/>
        <w:spacing w:after="0"/>
        <w:rPr>
          <w:sz w:val="20"/>
          <w:szCs w:val="20"/>
          <w:color w:val="auto"/>
        </w:rPr>
      </w:pPr>
      <w:r>
        <w:rPr>
          <w:rFonts w:ascii="Arial" w:cs="Arial" w:eastAsia="Arial" w:hAnsi="Arial"/>
          <w:sz w:val="18"/>
          <w:szCs w:val="18"/>
          <w:b w:val="1"/>
          <w:bCs w:val="1"/>
          <w:color w:val="FFFFFF"/>
        </w:rPr>
        <w:t>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26670</wp:posOffset>
            </wp:positionV>
            <wp:extent cx="2196465" cy="18840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96465" cy="1884045"/>
                    </a:xfrm>
                    <a:prstGeom prst="rect">
                      <a:avLst/>
                    </a:prstGeom>
                    <a:noFill/>
                  </pic:spPr>
                </pic:pic>
              </a:graphicData>
            </a:graphic>
          </wp:anchor>
        </w:drawing>
      </w:r>
    </w:p>
    <w:p>
      <w:pPr>
        <w:spacing w:after="0" w:line="39" w:lineRule="exact"/>
        <w:rPr>
          <w:sz w:val="20"/>
          <w:szCs w:val="20"/>
          <w:color w:val="auto"/>
        </w:rPr>
      </w:pPr>
    </w:p>
    <w:p>
      <w:pPr>
        <w:ind w:left="440" w:hanging="85"/>
        <w:spacing w:after="0" w:line="268" w:lineRule="auto"/>
        <w:rPr>
          <w:sz w:val="20"/>
          <w:szCs w:val="20"/>
          <w:color w:val="auto"/>
        </w:rPr>
      </w:pPr>
      <w:r>
        <w:rPr>
          <w:rFonts w:ascii="Arial" w:cs="Arial" w:eastAsia="Arial" w:hAnsi="Arial"/>
          <w:sz w:val="17"/>
          <w:szCs w:val="17"/>
          <w:b w:val="1"/>
          <w:bCs w:val="1"/>
          <w:i w:val="1"/>
          <w:iCs w:val="1"/>
          <w:color w:val="auto"/>
        </w:rPr>
        <w:t>Enterprise-wide focus on continuous improvement to ensure “everyone, everywhere, every day, home safe”</w:t>
      </w:r>
    </w:p>
    <w:p>
      <w:pPr>
        <w:spacing w:after="0" w:line="64" w:lineRule="exact"/>
        <w:rPr>
          <w:sz w:val="20"/>
          <w:szCs w:val="20"/>
          <w:color w:val="auto"/>
        </w:rPr>
      </w:pPr>
    </w:p>
    <w:p>
      <w:pPr>
        <w:ind w:left="640" w:right="260" w:hanging="354"/>
        <w:spacing w:after="0" w:line="255" w:lineRule="auto"/>
        <w:tabs>
          <w:tab w:leader="none" w:pos="622" w:val="left"/>
        </w:tabs>
        <w:numPr>
          <w:ilvl w:val="0"/>
          <w:numId w:val="13"/>
        </w:numPr>
        <w:rPr>
          <w:rFonts w:ascii="Arial" w:cs="Arial" w:eastAsia="Arial" w:hAnsi="Arial"/>
          <w:sz w:val="18"/>
          <w:szCs w:val="18"/>
          <w:b w:val="1"/>
          <w:bCs w:val="1"/>
          <w:color w:val="007549"/>
        </w:rPr>
      </w:pPr>
      <w:r>
        <w:rPr>
          <w:rFonts w:ascii="Arial" w:cs="Arial" w:eastAsia="Arial" w:hAnsi="Arial"/>
          <w:sz w:val="18"/>
          <w:szCs w:val="18"/>
          <w:b w:val="1"/>
          <w:bCs w:val="1"/>
          <w:color w:val="007549"/>
        </w:rPr>
        <w:t xml:space="preserve">Reduced workforce recordable incident rate </w:t>
      </w:r>
      <w:r>
        <w:rPr>
          <w:rFonts w:ascii="Arial" w:cs="Arial" w:eastAsia="Arial" w:hAnsi="Arial"/>
          <w:sz w:val="18"/>
          <w:szCs w:val="18"/>
          <w:color w:val="000000"/>
        </w:rPr>
        <w:t>by 38% in 2017</w:t>
      </w:r>
      <w:r>
        <w:rPr>
          <w:rFonts w:ascii="Arial" w:cs="Arial" w:eastAsia="Arial" w:hAnsi="Arial"/>
          <w:sz w:val="18"/>
          <w:szCs w:val="18"/>
          <w:b w:val="1"/>
          <w:bCs w:val="1"/>
          <w:color w:val="007549"/>
        </w:rPr>
        <w:t xml:space="preserve"> </w:t>
      </w:r>
      <w:r>
        <w:rPr>
          <w:rFonts w:ascii="Arial" w:cs="Arial" w:eastAsia="Arial" w:hAnsi="Arial"/>
          <w:sz w:val="18"/>
          <w:szCs w:val="18"/>
          <w:color w:val="000000"/>
        </w:rPr>
        <w:t>(vs 2016)</w:t>
      </w:r>
    </w:p>
    <w:p>
      <w:pPr>
        <w:spacing w:after="0" w:line="32" w:lineRule="exact"/>
        <w:rPr>
          <w:rFonts w:ascii="Arial" w:cs="Arial" w:eastAsia="Arial" w:hAnsi="Arial"/>
          <w:sz w:val="18"/>
          <w:szCs w:val="18"/>
          <w:b w:val="1"/>
          <w:bCs w:val="1"/>
          <w:color w:val="007549"/>
        </w:rPr>
      </w:pPr>
    </w:p>
    <w:p>
      <w:pPr>
        <w:ind w:left="640" w:right="220" w:hanging="354"/>
        <w:spacing w:after="0" w:line="255" w:lineRule="auto"/>
        <w:tabs>
          <w:tab w:leader="none" w:pos="622" w:val="left"/>
        </w:tabs>
        <w:numPr>
          <w:ilvl w:val="0"/>
          <w:numId w:val="13"/>
        </w:numPr>
        <w:rPr>
          <w:rFonts w:ascii="Arial" w:cs="Arial" w:eastAsia="Arial" w:hAnsi="Arial"/>
          <w:sz w:val="18"/>
          <w:szCs w:val="18"/>
          <w:b w:val="1"/>
          <w:bCs w:val="1"/>
          <w:color w:val="007549"/>
        </w:rPr>
      </w:pPr>
      <w:r>
        <w:rPr>
          <w:rFonts w:ascii="Arial" w:cs="Arial" w:eastAsia="Arial" w:hAnsi="Arial"/>
          <w:sz w:val="18"/>
          <w:szCs w:val="18"/>
          <w:b w:val="1"/>
          <w:bCs w:val="1"/>
          <w:color w:val="007549"/>
        </w:rPr>
        <w:t xml:space="preserve">Reduced workforce lost time incident rate </w:t>
      </w:r>
      <w:r>
        <w:rPr>
          <w:rFonts w:ascii="Arial" w:cs="Arial" w:eastAsia="Arial" w:hAnsi="Arial"/>
          <w:sz w:val="18"/>
          <w:szCs w:val="18"/>
          <w:color w:val="000000"/>
        </w:rPr>
        <w:t>by 38% in 2017 (vs</w:t>
      </w:r>
      <w:r>
        <w:rPr>
          <w:rFonts w:ascii="Arial" w:cs="Arial" w:eastAsia="Arial" w:hAnsi="Arial"/>
          <w:sz w:val="18"/>
          <w:szCs w:val="18"/>
          <w:b w:val="1"/>
          <w:bCs w:val="1"/>
          <w:color w:val="007549"/>
        </w:rPr>
        <w:t xml:space="preserve"> </w:t>
      </w:r>
      <w:r>
        <w:rPr>
          <w:rFonts w:ascii="Arial" w:cs="Arial" w:eastAsia="Arial" w:hAnsi="Arial"/>
          <w:sz w:val="18"/>
          <w:szCs w:val="18"/>
          <w:color w:val="000000"/>
        </w:rPr>
        <w:t>2016)</w:t>
      </w:r>
    </w:p>
    <w:p>
      <w:pPr>
        <w:spacing w:after="0" w:line="32" w:lineRule="exact"/>
        <w:rPr>
          <w:rFonts w:ascii="Arial" w:cs="Arial" w:eastAsia="Arial" w:hAnsi="Arial"/>
          <w:sz w:val="18"/>
          <w:szCs w:val="18"/>
          <w:b w:val="1"/>
          <w:bCs w:val="1"/>
          <w:color w:val="007549"/>
        </w:rPr>
      </w:pPr>
    </w:p>
    <w:p>
      <w:pPr>
        <w:ind w:left="640" w:hanging="354"/>
        <w:spacing w:after="0" w:line="255" w:lineRule="auto"/>
        <w:tabs>
          <w:tab w:leader="none" w:pos="622" w:val="left"/>
        </w:tabs>
        <w:numPr>
          <w:ilvl w:val="0"/>
          <w:numId w:val="13"/>
        </w:numPr>
        <w:rPr>
          <w:rFonts w:ascii="Arial" w:cs="Arial" w:eastAsia="Arial" w:hAnsi="Arial"/>
          <w:sz w:val="18"/>
          <w:szCs w:val="18"/>
          <w:b w:val="1"/>
          <w:bCs w:val="1"/>
          <w:color w:val="007549"/>
        </w:rPr>
      </w:pPr>
      <w:r>
        <w:rPr>
          <w:rFonts w:ascii="Arial" w:cs="Arial" w:eastAsia="Arial" w:hAnsi="Arial"/>
          <w:sz w:val="18"/>
          <w:szCs w:val="18"/>
          <w:b w:val="1"/>
          <w:bCs w:val="1"/>
          <w:color w:val="007549"/>
        </w:rPr>
        <w:t xml:space="preserve">Employees and contractors share common goal </w:t>
      </w:r>
      <w:r>
        <w:rPr>
          <w:rFonts w:ascii="Arial" w:cs="Arial" w:eastAsia="Arial" w:hAnsi="Arial"/>
          <w:sz w:val="18"/>
          <w:szCs w:val="18"/>
          <w:color w:val="000000"/>
        </w:rPr>
        <w:t>of zero safety</w:t>
      </w:r>
      <w:r>
        <w:rPr>
          <w:rFonts w:ascii="Arial" w:cs="Arial" w:eastAsia="Arial" w:hAnsi="Arial"/>
          <w:sz w:val="18"/>
          <w:szCs w:val="18"/>
          <w:b w:val="1"/>
          <w:bCs w:val="1"/>
          <w:color w:val="007549"/>
        </w:rPr>
        <w:t xml:space="preserve"> </w:t>
      </w:r>
      <w:r>
        <w:rPr>
          <w:rFonts w:ascii="Arial" w:cs="Arial" w:eastAsia="Arial" w:hAnsi="Arial"/>
          <w:sz w:val="18"/>
          <w:szCs w:val="18"/>
          <w:color w:val="000000"/>
        </w:rPr>
        <w:t>incidents</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ind w:left="409"/>
        <w:spacing w:after="0"/>
        <w:rPr>
          <w:sz w:val="20"/>
          <w:szCs w:val="20"/>
          <w:color w:val="auto"/>
        </w:rPr>
      </w:pPr>
      <w:r>
        <w:rPr>
          <w:rFonts w:ascii="Arial" w:cs="Arial" w:eastAsia="Arial" w:hAnsi="Arial"/>
          <w:sz w:val="18"/>
          <w:szCs w:val="18"/>
          <w:b w:val="1"/>
          <w:bCs w:val="1"/>
          <w:color w:val="FFFFFF"/>
        </w:rPr>
        <w:t>Climate Change &amp;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26670</wp:posOffset>
            </wp:positionV>
            <wp:extent cx="2239010" cy="18840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239010" cy="1884045"/>
                    </a:xfrm>
                    <a:prstGeom prst="rect">
                      <a:avLst/>
                    </a:prstGeom>
                    <a:noFill/>
                  </pic:spPr>
                </pic:pic>
              </a:graphicData>
            </a:graphic>
          </wp:anchor>
        </w:drawing>
      </w:r>
    </w:p>
    <w:p>
      <w:pPr>
        <w:spacing w:after="0" w:line="39" w:lineRule="exact"/>
        <w:rPr>
          <w:sz w:val="20"/>
          <w:szCs w:val="20"/>
          <w:color w:val="auto"/>
        </w:rPr>
      </w:pPr>
    </w:p>
    <w:p>
      <w:pPr>
        <w:jc w:val="center"/>
        <w:ind w:left="-48" w:right="120"/>
        <w:spacing w:after="0" w:line="247" w:lineRule="auto"/>
        <w:rPr>
          <w:sz w:val="20"/>
          <w:szCs w:val="20"/>
          <w:color w:val="auto"/>
        </w:rPr>
      </w:pPr>
      <w:r>
        <w:rPr>
          <w:rFonts w:ascii="Arial" w:cs="Arial" w:eastAsia="Arial" w:hAnsi="Arial"/>
          <w:sz w:val="18"/>
          <w:szCs w:val="18"/>
          <w:b w:val="1"/>
          <w:bCs w:val="1"/>
          <w:i w:val="1"/>
          <w:iCs w:val="1"/>
          <w:color w:val="auto"/>
        </w:rPr>
        <w:t>Board evaluates sustainability risks and global scenarios in making strategic decisions</w:t>
      </w:r>
    </w:p>
    <w:p>
      <w:pPr>
        <w:spacing w:after="0" w:line="79" w:lineRule="exact"/>
        <w:rPr>
          <w:sz w:val="20"/>
          <w:szCs w:val="20"/>
          <w:color w:val="auto"/>
        </w:rPr>
      </w:pPr>
    </w:p>
    <w:p>
      <w:pPr>
        <w:ind w:left="349" w:right="80" w:hanging="349"/>
        <w:spacing w:after="0" w:line="243" w:lineRule="auto"/>
        <w:tabs>
          <w:tab w:leader="none" w:pos="281" w:val="left"/>
        </w:tabs>
        <w:numPr>
          <w:ilvl w:val="0"/>
          <w:numId w:val="14"/>
        </w:numPr>
        <w:rPr>
          <w:rFonts w:ascii="Arial" w:cs="Arial" w:eastAsia="Arial" w:hAnsi="Arial"/>
          <w:sz w:val="18"/>
          <w:szCs w:val="18"/>
          <w:b w:val="1"/>
          <w:bCs w:val="1"/>
          <w:color w:val="007549"/>
        </w:rPr>
      </w:pPr>
      <w:r>
        <w:rPr>
          <w:rFonts w:ascii="Arial" w:cs="Arial" w:eastAsia="Arial" w:hAnsi="Arial"/>
          <w:sz w:val="18"/>
          <w:szCs w:val="18"/>
          <w:color w:val="auto"/>
        </w:rPr>
        <w:t xml:space="preserve">Set 2020 targets to </w:t>
      </w:r>
      <w:r>
        <w:rPr>
          <w:rFonts w:ascii="Arial" w:cs="Arial" w:eastAsia="Arial" w:hAnsi="Arial"/>
          <w:sz w:val="18"/>
          <w:szCs w:val="18"/>
          <w:b w:val="1"/>
          <w:bCs w:val="1"/>
          <w:color w:val="007549"/>
        </w:rPr>
        <w:t>reduce</w:t>
      </w:r>
      <w:r>
        <w:rPr>
          <w:rFonts w:ascii="Arial" w:cs="Arial" w:eastAsia="Arial" w:hAnsi="Arial"/>
          <w:sz w:val="18"/>
          <w:szCs w:val="18"/>
          <w:color w:val="auto"/>
        </w:rPr>
        <w:t xml:space="preserve"> </w:t>
      </w:r>
      <w:r>
        <w:rPr>
          <w:rFonts w:ascii="Arial" w:cs="Arial" w:eastAsia="Arial" w:hAnsi="Arial"/>
          <w:sz w:val="18"/>
          <w:szCs w:val="18"/>
          <w:b w:val="1"/>
          <w:bCs w:val="1"/>
          <w:color w:val="007549"/>
        </w:rPr>
        <w:t xml:space="preserve">flaring intensity by 50% </w:t>
      </w:r>
      <w:r>
        <w:rPr>
          <w:rFonts w:ascii="Arial" w:cs="Arial" w:eastAsia="Arial" w:hAnsi="Arial"/>
          <w:sz w:val="18"/>
          <w:szCs w:val="18"/>
          <w:color w:val="000000"/>
        </w:rPr>
        <w:t>and</w:t>
      </w:r>
      <w:r>
        <w:rPr>
          <w:rFonts w:ascii="Arial" w:cs="Arial" w:eastAsia="Arial" w:hAnsi="Arial"/>
          <w:sz w:val="18"/>
          <w:szCs w:val="18"/>
          <w:b w:val="1"/>
          <w:bCs w:val="1"/>
          <w:color w:val="007549"/>
        </w:rPr>
        <w:t xml:space="preserve"> greenhouse gas (GHG) emissions intensity by 25% </w:t>
      </w:r>
      <w:r>
        <w:rPr>
          <w:rFonts w:ascii="Arial" w:cs="Arial" w:eastAsia="Arial" w:hAnsi="Arial"/>
          <w:sz w:val="18"/>
          <w:szCs w:val="18"/>
          <w:color w:val="000000"/>
        </w:rPr>
        <w:t>compared to 2014</w:t>
      </w:r>
      <w:r>
        <w:rPr>
          <w:rFonts w:ascii="Arial" w:cs="Arial" w:eastAsia="Arial" w:hAnsi="Arial"/>
          <w:sz w:val="18"/>
          <w:szCs w:val="18"/>
          <w:b w:val="1"/>
          <w:bCs w:val="1"/>
          <w:color w:val="007549"/>
        </w:rPr>
        <w:t xml:space="preserve"> </w:t>
      </w:r>
      <w:r>
        <w:rPr>
          <w:rFonts w:ascii="Arial" w:cs="Arial" w:eastAsia="Arial" w:hAnsi="Arial"/>
          <w:sz w:val="18"/>
          <w:szCs w:val="18"/>
          <w:color w:val="000000"/>
        </w:rPr>
        <w:t>levels</w:t>
      </w:r>
    </w:p>
    <w:p>
      <w:pPr>
        <w:spacing w:after="0" w:line="252" w:lineRule="exact"/>
        <w:rPr>
          <w:rFonts w:ascii="Arial" w:cs="Arial" w:eastAsia="Arial" w:hAnsi="Arial"/>
          <w:sz w:val="18"/>
          <w:szCs w:val="18"/>
          <w:b w:val="1"/>
          <w:bCs w:val="1"/>
          <w:color w:val="007549"/>
        </w:rPr>
      </w:pPr>
    </w:p>
    <w:p>
      <w:pPr>
        <w:ind w:left="349" w:hanging="349"/>
        <w:spacing w:after="0" w:line="255" w:lineRule="auto"/>
        <w:tabs>
          <w:tab w:leader="none" w:pos="281" w:val="left"/>
        </w:tabs>
        <w:numPr>
          <w:ilvl w:val="0"/>
          <w:numId w:val="14"/>
        </w:numPr>
        <w:rPr>
          <w:rFonts w:ascii="Arial" w:cs="Arial" w:eastAsia="Arial" w:hAnsi="Arial"/>
          <w:sz w:val="18"/>
          <w:szCs w:val="18"/>
          <w:b w:val="1"/>
          <w:bCs w:val="1"/>
          <w:color w:val="007549"/>
        </w:rPr>
      </w:pPr>
      <w:r>
        <w:rPr>
          <w:rFonts w:ascii="Arial" w:cs="Arial" w:eastAsia="Arial" w:hAnsi="Arial"/>
          <w:sz w:val="18"/>
          <w:szCs w:val="18"/>
          <w:b w:val="1"/>
          <w:bCs w:val="1"/>
          <w:color w:val="007549"/>
        </w:rPr>
        <w:t xml:space="preserve">Reduced our equity GHG emissions </w:t>
      </w:r>
      <w:r>
        <w:rPr>
          <w:rFonts w:ascii="Arial" w:cs="Arial" w:eastAsia="Arial" w:hAnsi="Arial"/>
          <w:sz w:val="18"/>
          <w:szCs w:val="18"/>
          <w:color w:val="000000"/>
        </w:rPr>
        <w:t>by more than 6 million tonnes between 2008 and 2017</w:t>
      </w:r>
    </w:p>
    <w:p>
      <w:pPr>
        <w:spacing w:after="0" w:line="32" w:lineRule="exact"/>
        <w:rPr>
          <w:rFonts w:ascii="Arial" w:cs="Arial" w:eastAsia="Arial" w:hAnsi="Arial"/>
          <w:sz w:val="18"/>
          <w:szCs w:val="18"/>
          <w:b w:val="1"/>
          <w:bCs w:val="1"/>
          <w:color w:val="007549"/>
        </w:rPr>
      </w:pPr>
    </w:p>
    <w:p>
      <w:pPr>
        <w:ind w:left="349" w:right="440" w:hanging="349"/>
        <w:spacing w:after="0" w:line="278" w:lineRule="auto"/>
        <w:tabs>
          <w:tab w:leader="none" w:pos="271" w:val="left"/>
        </w:tabs>
        <w:numPr>
          <w:ilvl w:val="0"/>
          <w:numId w:val="14"/>
        </w:numPr>
        <w:rPr>
          <w:rFonts w:ascii="Arial" w:cs="Arial" w:eastAsia="Arial" w:hAnsi="Arial"/>
          <w:sz w:val="18"/>
          <w:szCs w:val="18"/>
          <w:b w:val="1"/>
          <w:bCs w:val="1"/>
          <w:color w:val="007549"/>
        </w:rPr>
      </w:pPr>
      <w:r>
        <w:rPr>
          <w:rFonts w:ascii="Arial" w:cs="Arial" w:eastAsia="Arial" w:hAnsi="Arial"/>
          <w:sz w:val="18"/>
          <w:szCs w:val="18"/>
          <w:color w:val="auto"/>
        </w:rPr>
        <w:t xml:space="preserve">Account for </w:t>
      </w:r>
      <w:r>
        <w:rPr>
          <w:rFonts w:ascii="Arial" w:cs="Arial" w:eastAsia="Arial" w:hAnsi="Arial"/>
          <w:sz w:val="18"/>
          <w:szCs w:val="18"/>
          <w:b w:val="1"/>
          <w:bCs w:val="1"/>
          <w:color w:val="007549"/>
        </w:rPr>
        <w:t>cost of carbon</w:t>
      </w:r>
      <w:r>
        <w:rPr>
          <w:rFonts w:ascii="Arial" w:cs="Arial" w:eastAsia="Arial" w:hAnsi="Arial"/>
          <w:sz w:val="18"/>
          <w:szCs w:val="18"/>
          <w:color w:val="auto"/>
        </w:rPr>
        <w:t xml:space="preserve"> in all significant new investments</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ind w:left="837"/>
        <w:spacing w:after="0"/>
        <w:rPr>
          <w:sz w:val="20"/>
          <w:szCs w:val="20"/>
          <w:color w:val="auto"/>
        </w:rPr>
      </w:pPr>
      <w:r>
        <w:rPr>
          <w:rFonts w:ascii="Arial" w:cs="Arial" w:eastAsia="Arial" w:hAnsi="Arial"/>
          <w:sz w:val="18"/>
          <w:szCs w:val="18"/>
          <w:b w:val="1"/>
          <w:bCs w:val="1"/>
          <w:color w:val="FFFFFF"/>
        </w:rPr>
        <w:t>Social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26670</wp:posOffset>
            </wp:positionV>
            <wp:extent cx="2255520" cy="18840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55520" cy="1884045"/>
                    </a:xfrm>
                    <a:prstGeom prst="rect">
                      <a:avLst/>
                    </a:prstGeom>
                    <a:noFill/>
                  </pic:spPr>
                </pic:pic>
              </a:graphicData>
            </a:graphic>
          </wp:anchor>
        </w:drawing>
      </w:r>
    </w:p>
    <w:p>
      <w:pPr>
        <w:spacing w:after="0" w:line="39" w:lineRule="exact"/>
        <w:rPr>
          <w:sz w:val="20"/>
          <w:szCs w:val="20"/>
          <w:color w:val="auto"/>
        </w:rPr>
      </w:pPr>
    </w:p>
    <w:p>
      <w:pPr>
        <w:jc w:val="center"/>
        <w:ind w:right="103"/>
        <w:spacing w:after="0"/>
        <w:rPr>
          <w:sz w:val="20"/>
          <w:szCs w:val="20"/>
          <w:color w:val="auto"/>
        </w:rPr>
      </w:pPr>
      <w:r>
        <w:rPr>
          <w:rFonts w:ascii="Arial" w:cs="Arial" w:eastAsia="Arial" w:hAnsi="Arial"/>
          <w:sz w:val="18"/>
          <w:szCs w:val="18"/>
          <w:b w:val="1"/>
          <w:bCs w:val="1"/>
          <w:i w:val="1"/>
          <w:iCs w:val="1"/>
          <w:color w:val="auto"/>
        </w:rPr>
        <w:t>Fundamental to the way we do</w:t>
      </w:r>
    </w:p>
    <w:p>
      <w:pPr>
        <w:spacing w:after="0" w:line="15" w:lineRule="exact"/>
        <w:rPr>
          <w:sz w:val="20"/>
          <w:szCs w:val="20"/>
          <w:color w:val="auto"/>
        </w:rPr>
      </w:pPr>
    </w:p>
    <w:p>
      <w:pPr>
        <w:ind w:left="77" w:right="180" w:firstLine="44"/>
        <w:spacing w:after="0" w:line="265" w:lineRule="auto"/>
        <w:rPr>
          <w:sz w:val="20"/>
          <w:szCs w:val="20"/>
          <w:color w:val="auto"/>
        </w:rPr>
      </w:pPr>
      <w:r>
        <w:rPr>
          <w:rFonts w:ascii="Arial" w:cs="Arial" w:eastAsia="Arial" w:hAnsi="Arial"/>
          <w:sz w:val="17"/>
          <w:szCs w:val="17"/>
          <w:b w:val="1"/>
          <w:bCs w:val="1"/>
          <w:i w:val="1"/>
          <w:iCs w:val="1"/>
          <w:color w:val="auto"/>
        </w:rPr>
        <w:t>business is to have a positive impact on the communities where we operate</w:t>
      </w:r>
    </w:p>
    <w:p>
      <w:pPr>
        <w:spacing w:after="0" w:line="65" w:lineRule="exact"/>
        <w:rPr>
          <w:sz w:val="20"/>
          <w:szCs w:val="20"/>
          <w:color w:val="auto"/>
        </w:rPr>
      </w:pPr>
    </w:p>
    <w:p>
      <w:pPr>
        <w:jc w:val="both"/>
        <w:ind w:left="357" w:right="320" w:hanging="357"/>
        <w:spacing w:after="0" w:line="277" w:lineRule="auto"/>
        <w:tabs>
          <w:tab w:leader="none" w:pos="289" w:val="left"/>
        </w:tabs>
        <w:numPr>
          <w:ilvl w:val="0"/>
          <w:numId w:val="15"/>
        </w:numPr>
        <w:rPr>
          <w:rFonts w:ascii="Arial" w:cs="Arial" w:eastAsia="Arial" w:hAnsi="Arial"/>
          <w:sz w:val="17"/>
          <w:szCs w:val="17"/>
          <w:b w:val="1"/>
          <w:bCs w:val="1"/>
          <w:color w:val="007549"/>
        </w:rPr>
      </w:pPr>
      <w:r>
        <w:rPr>
          <w:rFonts w:ascii="Arial" w:cs="Arial" w:eastAsia="Arial" w:hAnsi="Arial"/>
          <w:sz w:val="17"/>
          <w:szCs w:val="17"/>
          <w:color w:val="auto"/>
        </w:rPr>
        <w:t xml:space="preserve">Guided by </w:t>
      </w:r>
      <w:r>
        <w:rPr>
          <w:rFonts w:ascii="Arial" w:cs="Arial" w:eastAsia="Arial" w:hAnsi="Arial"/>
          <w:sz w:val="17"/>
          <w:szCs w:val="17"/>
          <w:b w:val="1"/>
          <w:bCs w:val="1"/>
          <w:color w:val="007549"/>
        </w:rPr>
        <w:t>commitments to</w:t>
      </w:r>
      <w:r>
        <w:rPr>
          <w:rFonts w:ascii="Arial" w:cs="Arial" w:eastAsia="Arial" w:hAnsi="Arial"/>
          <w:sz w:val="17"/>
          <w:szCs w:val="17"/>
          <w:color w:val="auto"/>
        </w:rPr>
        <w:t xml:space="preserve"> </w:t>
      </w:r>
      <w:r>
        <w:rPr>
          <w:rFonts w:ascii="Arial" w:cs="Arial" w:eastAsia="Arial" w:hAnsi="Arial"/>
          <w:sz w:val="17"/>
          <w:szCs w:val="17"/>
          <w:b w:val="1"/>
          <w:bCs w:val="1"/>
          <w:color w:val="007549"/>
        </w:rPr>
        <w:t xml:space="preserve">international voluntary initiatives </w:t>
      </w:r>
      <w:r>
        <w:rPr>
          <w:rFonts w:ascii="Arial" w:cs="Arial" w:eastAsia="Arial" w:hAnsi="Arial"/>
          <w:sz w:val="17"/>
          <w:szCs w:val="17"/>
          <w:color w:val="000000"/>
        </w:rPr>
        <w:t>including the U.N. Global Compact</w:t>
      </w:r>
    </w:p>
    <w:p>
      <w:pPr>
        <w:spacing w:after="0" w:line="36" w:lineRule="exact"/>
        <w:rPr>
          <w:rFonts w:ascii="Arial" w:cs="Arial" w:eastAsia="Arial" w:hAnsi="Arial"/>
          <w:sz w:val="17"/>
          <w:szCs w:val="17"/>
          <w:b w:val="1"/>
          <w:bCs w:val="1"/>
          <w:color w:val="007549"/>
        </w:rPr>
      </w:pPr>
    </w:p>
    <w:p>
      <w:pPr>
        <w:ind w:left="277" w:hanging="277"/>
        <w:spacing w:after="0"/>
        <w:tabs>
          <w:tab w:leader="none" w:pos="277" w:val="left"/>
        </w:tabs>
        <w:numPr>
          <w:ilvl w:val="0"/>
          <w:numId w:val="15"/>
        </w:numPr>
        <w:rPr>
          <w:rFonts w:ascii="Arial" w:cs="Arial" w:eastAsia="Arial" w:hAnsi="Arial"/>
          <w:sz w:val="18"/>
          <w:szCs w:val="18"/>
          <w:b w:val="1"/>
          <w:bCs w:val="1"/>
          <w:color w:val="007549"/>
        </w:rPr>
      </w:pPr>
      <w:r>
        <w:rPr>
          <w:rFonts w:ascii="Arial" w:cs="Arial" w:eastAsia="Arial" w:hAnsi="Arial"/>
          <w:sz w:val="18"/>
          <w:szCs w:val="18"/>
          <w:color w:val="auto"/>
        </w:rPr>
        <w:t>Took immediate steps to support</w:t>
      </w:r>
    </w:p>
    <w:p>
      <w:pPr>
        <w:spacing w:after="0" w:line="5" w:lineRule="exact"/>
        <w:rPr>
          <w:rFonts w:ascii="Arial" w:cs="Arial" w:eastAsia="Arial" w:hAnsi="Arial"/>
          <w:sz w:val="18"/>
          <w:szCs w:val="18"/>
          <w:b w:val="1"/>
          <w:bCs w:val="1"/>
          <w:color w:val="007549"/>
        </w:rPr>
      </w:pPr>
    </w:p>
    <w:p>
      <w:pPr>
        <w:jc w:val="both"/>
        <w:ind w:left="357" w:right="480"/>
        <w:spacing w:after="0" w:line="236" w:lineRule="auto"/>
        <w:rPr>
          <w:rFonts w:ascii="Arial" w:cs="Arial" w:eastAsia="Arial" w:hAnsi="Arial"/>
          <w:sz w:val="18"/>
          <w:szCs w:val="18"/>
          <w:b w:val="1"/>
          <w:bCs w:val="1"/>
          <w:color w:val="007549"/>
        </w:rPr>
      </w:pPr>
      <w:r>
        <w:rPr>
          <w:rFonts w:ascii="Arial" w:cs="Arial" w:eastAsia="Arial" w:hAnsi="Arial"/>
          <w:sz w:val="18"/>
          <w:szCs w:val="18"/>
          <w:b w:val="1"/>
          <w:bCs w:val="1"/>
          <w:color w:val="007549"/>
        </w:rPr>
        <w:t xml:space="preserve">Hurricane Harvey recovery and rebuilding efforts </w:t>
      </w:r>
      <w:r>
        <w:rPr>
          <w:rFonts w:ascii="Arial" w:cs="Arial" w:eastAsia="Arial" w:hAnsi="Arial"/>
          <w:sz w:val="18"/>
          <w:szCs w:val="18"/>
          <w:color w:val="000000"/>
        </w:rPr>
        <w:t>including a $1</w:t>
      </w:r>
      <w:r>
        <w:rPr>
          <w:rFonts w:ascii="Arial" w:cs="Arial" w:eastAsia="Arial" w:hAnsi="Arial"/>
          <w:sz w:val="18"/>
          <w:szCs w:val="18"/>
          <w:b w:val="1"/>
          <w:bCs w:val="1"/>
          <w:color w:val="007549"/>
        </w:rPr>
        <w:t xml:space="preserve"> </w:t>
      </w:r>
      <w:r>
        <w:rPr>
          <w:rFonts w:ascii="Arial" w:cs="Arial" w:eastAsia="Arial" w:hAnsi="Arial"/>
          <w:sz w:val="18"/>
          <w:szCs w:val="18"/>
          <w:color w:val="000000"/>
        </w:rPr>
        <w:t>million donation</w:t>
      </w:r>
    </w:p>
    <w:p>
      <w:pPr>
        <w:spacing w:after="0" w:line="46" w:lineRule="exact"/>
        <w:rPr>
          <w:rFonts w:ascii="Arial" w:cs="Arial" w:eastAsia="Arial" w:hAnsi="Arial"/>
          <w:sz w:val="18"/>
          <w:szCs w:val="18"/>
          <w:b w:val="1"/>
          <w:bCs w:val="1"/>
          <w:color w:val="007549"/>
        </w:rPr>
      </w:pPr>
    </w:p>
    <w:p>
      <w:pPr>
        <w:ind w:left="357" w:right="340" w:hanging="357"/>
        <w:spacing w:after="0" w:line="309" w:lineRule="auto"/>
        <w:tabs>
          <w:tab w:leader="none" w:pos="289" w:val="left"/>
        </w:tabs>
        <w:numPr>
          <w:ilvl w:val="0"/>
          <w:numId w:val="15"/>
        </w:numPr>
        <w:rPr>
          <w:rFonts w:ascii="Arial" w:cs="Arial" w:eastAsia="Arial" w:hAnsi="Arial"/>
          <w:sz w:val="17"/>
          <w:szCs w:val="17"/>
          <w:b w:val="1"/>
          <w:bCs w:val="1"/>
          <w:color w:val="007549"/>
        </w:rPr>
      </w:pPr>
      <w:r>
        <w:rPr>
          <w:rFonts w:ascii="Arial" w:cs="Arial" w:eastAsia="Arial" w:hAnsi="Arial"/>
          <w:sz w:val="17"/>
          <w:szCs w:val="17"/>
          <w:color w:val="auto"/>
        </w:rPr>
        <w:t xml:space="preserve">Integrate </w:t>
      </w:r>
      <w:r>
        <w:rPr>
          <w:rFonts w:ascii="Arial" w:cs="Arial" w:eastAsia="Arial" w:hAnsi="Arial"/>
          <w:sz w:val="17"/>
          <w:szCs w:val="17"/>
          <w:b w:val="1"/>
          <w:bCs w:val="1"/>
          <w:color w:val="007549"/>
        </w:rPr>
        <w:t>social responsibility</w:t>
      </w:r>
      <w:r>
        <w:rPr>
          <w:rFonts w:ascii="Arial" w:cs="Arial" w:eastAsia="Arial" w:hAnsi="Arial"/>
          <w:sz w:val="17"/>
          <w:szCs w:val="17"/>
          <w:color w:val="auto"/>
        </w:rPr>
        <w:t xml:space="preserve"> into enterprise business processes</w:t>
      </w:r>
    </w:p>
    <w:p>
      <w:pPr>
        <w:spacing w:after="0" w:line="325" w:lineRule="exact"/>
        <w:rPr>
          <w:sz w:val="20"/>
          <w:szCs w:val="20"/>
          <w:color w:val="auto"/>
        </w:rPr>
      </w:pPr>
    </w:p>
    <w:p>
      <w:pPr>
        <w:sectPr>
          <w:pgSz w:w="11900" w:h="16838" w:orient="portrait"/>
          <w:cols w:equalWidth="0" w:num="3">
            <w:col w:w="3480" w:space="491"/>
            <w:col w:w="3309" w:space="403"/>
            <w:col w:w="3457"/>
          </w:cols>
          <w:pgMar w:left="240" w:top="454" w:right="519" w:bottom="1440" w:gutter="0" w:footer="0" w:header="0"/>
          <w:type w:val="continuous"/>
        </w:sectPr>
      </w:pPr>
    </w:p>
    <w:p>
      <w:pPr>
        <w:ind w:left="280"/>
        <w:spacing w:after="0"/>
        <w:rPr>
          <w:sz w:val="20"/>
          <w:szCs w:val="20"/>
          <w:color w:val="auto"/>
        </w:rPr>
      </w:pPr>
      <w:r>
        <w:rPr>
          <w:rFonts w:ascii="Arial" w:cs="Arial" w:eastAsia="Arial" w:hAnsi="Arial"/>
          <w:sz w:val="21"/>
          <w:szCs w:val="21"/>
          <w:b w:val="1"/>
          <w:bCs w:val="1"/>
          <w:color w:val="007549"/>
        </w:rPr>
        <w:t>Disclosure and Transparency</w:t>
      </w:r>
    </w:p>
    <w:p>
      <w:pPr>
        <w:spacing w:after="0" w:line="13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Hess is recognized as a leader in environmental, social and governance transparency and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1778000</wp:posOffset>
            </wp:positionH>
            <wp:positionV relativeFrom="paragraph">
              <wp:posOffset>71755</wp:posOffset>
            </wp:positionV>
            <wp:extent cx="692785" cy="6927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2785" cy="692785"/>
                    </a:xfrm>
                    <a:prstGeom prst="rect">
                      <a:avLst/>
                    </a:prstGeom>
                    <a:noFill/>
                  </pic:spPr>
                </pic:pic>
              </a:graphicData>
            </a:graphic>
          </wp:anchor>
        </w:drawing>
        <w:drawing>
          <wp:anchor simplePos="0" relativeHeight="251657728" behindDoc="1" locked="0" layoutInCell="0" allowOverlap="1">
            <wp:simplePos x="0" y="0"/>
            <wp:positionH relativeFrom="column">
              <wp:posOffset>3147060</wp:posOffset>
            </wp:positionH>
            <wp:positionV relativeFrom="paragraph">
              <wp:posOffset>173355</wp:posOffset>
            </wp:positionV>
            <wp:extent cx="3556635" cy="4902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556635" cy="490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740" w:type="dxa"/>
        <w:tblCellMar>
          <w:top w:w="0" w:type="dxa"/>
          <w:left w:w="0" w:type="dxa"/>
          <w:bottom w:w="0" w:type="dxa"/>
          <w:right w:w="0" w:type="dxa"/>
        </w:tblCellMar>
      </w:tblPr>
      <w:tr>
        <w:trPr>
          <w:trHeight w:val="207"/>
        </w:trPr>
        <w:tc>
          <w:tcPr>
            <w:tcW w:w="1360" w:type="dxa"/>
            <w:vAlign w:val="bottom"/>
          </w:tcPr>
          <w:p>
            <w:pPr>
              <w:jc w:val="center"/>
              <w:ind w:right="331"/>
              <w:spacing w:after="0"/>
              <w:rPr>
                <w:sz w:val="20"/>
                <w:szCs w:val="20"/>
                <w:color w:val="auto"/>
              </w:rPr>
            </w:pPr>
            <w:r>
              <w:rPr>
                <w:rFonts w:ascii="Arial" w:cs="Arial" w:eastAsia="Arial" w:hAnsi="Arial"/>
                <w:sz w:val="18"/>
                <w:szCs w:val="18"/>
                <w:b w:val="1"/>
                <w:bCs w:val="1"/>
                <w:color w:val="007549"/>
                <w:w w:val="97"/>
              </w:rPr>
              <w:t>Leadership</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A top ranking oil</w:t>
            </w:r>
          </w:p>
        </w:tc>
        <w:tc>
          <w:tcPr>
            <w:tcW w:w="1920" w:type="dxa"/>
            <w:vAlign w:val="bottom"/>
          </w:tcPr>
          <w:p>
            <w:pPr>
              <w:jc w:val="center"/>
              <w:ind w:left="31"/>
              <w:spacing w:after="0"/>
              <w:rPr>
                <w:sz w:val="20"/>
                <w:szCs w:val="20"/>
                <w:color w:val="auto"/>
              </w:rPr>
            </w:pPr>
            <w:r>
              <w:rPr>
                <w:rFonts w:ascii="Arial" w:cs="Arial" w:eastAsia="Arial" w:hAnsi="Arial"/>
                <w:sz w:val="18"/>
                <w:szCs w:val="18"/>
                <w:b w:val="1"/>
                <w:bCs w:val="1"/>
                <w:color w:val="007549"/>
                <w:w w:val="98"/>
              </w:rPr>
              <w:t xml:space="preserve">8 </w:t>
            </w:r>
            <w:r>
              <w:rPr>
                <w:rFonts w:ascii="Arial" w:cs="Arial" w:eastAsia="Arial" w:hAnsi="Arial"/>
                <w:sz w:val="18"/>
                <w:szCs w:val="18"/>
                <w:color w:val="000000"/>
                <w:w w:val="98"/>
              </w:rPr>
              <w:t>consecutive</w:t>
            </w:r>
          </w:p>
        </w:tc>
        <w:tc>
          <w:tcPr>
            <w:tcW w:w="4580" w:type="dxa"/>
            <w:vAlign w:val="bottom"/>
          </w:tcPr>
          <w:p>
            <w:pPr>
              <w:ind w:left="300"/>
              <w:spacing w:after="0"/>
              <w:rPr>
                <w:sz w:val="20"/>
                <w:szCs w:val="20"/>
                <w:color w:val="auto"/>
              </w:rPr>
            </w:pPr>
            <w:r>
              <w:rPr>
                <w:rFonts w:ascii="Arial" w:cs="Arial" w:eastAsia="Arial" w:hAnsi="Arial"/>
                <w:sz w:val="18"/>
                <w:szCs w:val="18"/>
                <w:b w:val="1"/>
                <w:bCs w:val="1"/>
                <w:color w:val="007549"/>
                <w:w w:val="99"/>
              </w:rPr>
              <w:t xml:space="preserve">Only </w:t>
            </w:r>
            <w:r>
              <w:rPr>
                <w:rFonts w:ascii="Arial" w:cs="Arial" w:eastAsia="Arial" w:hAnsi="Arial"/>
                <w:sz w:val="18"/>
                <w:szCs w:val="18"/>
                <w:color w:val="000000"/>
                <w:w w:val="99"/>
              </w:rPr>
              <w:t>U.S. energy producer  Leading energy company</w:t>
            </w:r>
          </w:p>
        </w:tc>
        <w:tc>
          <w:tcPr>
            <w:tcW w:w="0" w:type="dxa"/>
            <w:vAlign w:val="bottom"/>
          </w:tcPr>
          <w:p>
            <w:pPr>
              <w:spacing w:after="0"/>
              <w:rPr>
                <w:sz w:val="1"/>
                <w:szCs w:val="1"/>
                <w:color w:val="auto"/>
              </w:rPr>
            </w:pPr>
          </w:p>
        </w:tc>
      </w:tr>
      <w:tr>
        <w:trPr>
          <w:trHeight w:val="222"/>
        </w:trPr>
        <w:tc>
          <w:tcPr>
            <w:tcW w:w="1360" w:type="dxa"/>
            <w:vAlign w:val="bottom"/>
          </w:tcPr>
          <w:p>
            <w:pPr>
              <w:jc w:val="center"/>
              <w:ind w:right="331"/>
              <w:spacing w:after="0"/>
              <w:rPr>
                <w:sz w:val="20"/>
                <w:szCs w:val="20"/>
                <w:color w:val="auto"/>
              </w:rPr>
            </w:pPr>
            <w:r>
              <w:rPr>
                <w:rFonts w:ascii="Arial" w:cs="Arial" w:eastAsia="Arial" w:hAnsi="Arial"/>
                <w:sz w:val="18"/>
                <w:szCs w:val="18"/>
                <w:b w:val="1"/>
                <w:bCs w:val="1"/>
                <w:color w:val="007549"/>
                <w:w w:val="98"/>
              </w:rPr>
              <w:t>Status</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&amp; gas company</w:t>
            </w:r>
          </w:p>
        </w:tc>
        <w:tc>
          <w:tcPr>
            <w:tcW w:w="1920" w:type="dxa"/>
            <w:vAlign w:val="bottom"/>
          </w:tcPr>
          <w:p>
            <w:pPr>
              <w:jc w:val="center"/>
              <w:ind w:left="31"/>
              <w:spacing w:after="0"/>
              <w:rPr>
                <w:sz w:val="20"/>
                <w:szCs w:val="20"/>
                <w:color w:val="auto"/>
              </w:rPr>
            </w:pPr>
            <w:r>
              <w:rPr>
                <w:rFonts w:ascii="Arial" w:cs="Arial" w:eastAsia="Arial" w:hAnsi="Arial"/>
                <w:sz w:val="18"/>
                <w:szCs w:val="18"/>
                <w:color w:val="auto"/>
                <w:w w:val="98"/>
              </w:rPr>
              <w:t>years on North</w:t>
            </w:r>
          </w:p>
        </w:tc>
        <w:tc>
          <w:tcPr>
            <w:tcW w:w="4580" w:type="dxa"/>
            <w:vAlign w:val="bottom"/>
            <w:vMerge w:val="restart"/>
          </w:tcPr>
          <w:p>
            <w:pPr>
              <w:ind w:left="2800"/>
              <w:spacing w:after="0"/>
              <w:rPr>
                <w:sz w:val="20"/>
                <w:szCs w:val="20"/>
                <w:color w:val="auto"/>
              </w:rPr>
            </w:pPr>
            <w:r>
              <w:rPr>
                <w:rFonts w:ascii="Arial" w:cs="Arial" w:eastAsia="Arial" w:hAnsi="Arial"/>
                <w:sz w:val="18"/>
                <w:szCs w:val="18"/>
                <w:b w:val="1"/>
                <w:bCs w:val="1"/>
                <w:color w:val="007549"/>
              </w:rPr>
              <w:t xml:space="preserve">2 </w:t>
            </w:r>
            <w:r>
              <w:rPr>
                <w:rFonts w:ascii="Arial" w:cs="Arial" w:eastAsia="Arial" w:hAnsi="Arial"/>
                <w:sz w:val="18"/>
                <w:szCs w:val="18"/>
                <w:color w:val="000000"/>
              </w:rPr>
              <w:t>consecutive years</w:t>
            </w:r>
          </w:p>
        </w:tc>
        <w:tc>
          <w:tcPr>
            <w:tcW w:w="0" w:type="dxa"/>
            <w:vAlign w:val="bottom"/>
          </w:tcPr>
          <w:p>
            <w:pPr>
              <w:spacing w:after="0"/>
              <w:rPr>
                <w:sz w:val="1"/>
                <w:szCs w:val="1"/>
                <w:color w:val="auto"/>
              </w:rPr>
            </w:pPr>
          </w:p>
        </w:tc>
      </w:tr>
      <w:tr>
        <w:trPr>
          <w:trHeight w:val="93"/>
        </w:trPr>
        <w:tc>
          <w:tcPr>
            <w:tcW w:w="1360" w:type="dxa"/>
            <w:vAlign w:val="bottom"/>
          </w:tcPr>
          <w:p>
            <w:pPr>
              <w:spacing w:after="0"/>
              <w:rPr>
                <w:sz w:val="8"/>
                <w:szCs w:val="8"/>
                <w:color w:val="auto"/>
              </w:rPr>
            </w:pPr>
          </w:p>
        </w:tc>
        <w:tc>
          <w:tcPr>
            <w:tcW w:w="2500" w:type="dxa"/>
            <w:vAlign w:val="bottom"/>
            <w:vMerge w:val="restart"/>
          </w:tcPr>
          <w:p>
            <w:pPr>
              <w:jc w:val="center"/>
              <w:spacing w:after="0"/>
              <w:rPr>
                <w:sz w:val="20"/>
                <w:szCs w:val="20"/>
                <w:color w:val="auto"/>
              </w:rPr>
            </w:pPr>
            <w:r>
              <w:rPr>
                <w:rFonts w:ascii="Arial" w:cs="Arial" w:eastAsia="Arial" w:hAnsi="Arial"/>
                <w:sz w:val="18"/>
                <w:szCs w:val="18"/>
                <w:b w:val="1"/>
                <w:bCs w:val="1"/>
                <w:color w:val="007549"/>
                <w:w w:val="99"/>
              </w:rPr>
              <w:t xml:space="preserve">10 </w:t>
            </w:r>
            <w:r>
              <w:rPr>
                <w:rFonts w:ascii="Arial" w:cs="Arial" w:eastAsia="Arial" w:hAnsi="Arial"/>
                <w:sz w:val="18"/>
                <w:szCs w:val="18"/>
                <w:color w:val="000000"/>
                <w:w w:val="99"/>
              </w:rPr>
              <w:t>consecutive years</w:t>
            </w:r>
          </w:p>
        </w:tc>
        <w:tc>
          <w:tcPr>
            <w:tcW w:w="1920" w:type="dxa"/>
            <w:vAlign w:val="bottom"/>
            <w:vMerge w:val="restart"/>
          </w:tcPr>
          <w:p>
            <w:pPr>
              <w:jc w:val="center"/>
              <w:ind w:left="11"/>
              <w:spacing w:after="0"/>
              <w:rPr>
                <w:sz w:val="20"/>
                <w:szCs w:val="20"/>
                <w:color w:val="auto"/>
              </w:rPr>
            </w:pPr>
            <w:r>
              <w:rPr>
                <w:rFonts w:ascii="Arial" w:cs="Arial" w:eastAsia="Arial" w:hAnsi="Arial"/>
                <w:sz w:val="18"/>
                <w:szCs w:val="18"/>
                <w:color w:val="auto"/>
                <w:w w:val="99"/>
              </w:rPr>
              <w:t>America Index</w:t>
            </w:r>
          </w:p>
        </w:tc>
        <w:tc>
          <w:tcPr>
            <w:tcW w:w="4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60" w:type="dxa"/>
            <w:vAlign w:val="bottom"/>
          </w:tcPr>
          <w:p>
            <w:pPr>
              <w:spacing w:after="0"/>
              <w:rPr>
                <w:sz w:val="10"/>
                <w:szCs w:val="10"/>
                <w:color w:val="auto"/>
              </w:rPr>
            </w:pPr>
          </w:p>
        </w:tc>
        <w:tc>
          <w:tcPr>
            <w:tcW w:w="2500" w:type="dxa"/>
            <w:vAlign w:val="bottom"/>
            <w:vMerge w:val="continue"/>
          </w:tcPr>
          <w:p>
            <w:pPr>
              <w:spacing w:after="0"/>
              <w:rPr>
                <w:sz w:val="10"/>
                <w:szCs w:val="10"/>
                <w:color w:val="auto"/>
              </w:rPr>
            </w:pPr>
          </w:p>
        </w:tc>
        <w:tc>
          <w:tcPr>
            <w:tcW w:w="1920" w:type="dxa"/>
            <w:vAlign w:val="bottom"/>
            <w:vMerge w:val="continue"/>
          </w:tcPr>
          <w:p>
            <w:pPr>
              <w:spacing w:after="0"/>
              <w:rPr>
                <w:sz w:val="10"/>
                <w:szCs w:val="10"/>
                <w:color w:val="auto"/>
              </w:rPr>
            </w:pPr>
          </w:p>
        </w:tc>
        <w:tc>
          <w:tcPr>
            <w:tcW w:w="4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60" w:type="dxa"/>
            <w:vAlign w:val="bottom"/>
          </w:tcPr>
          <w:p>
            <w:pPr>
              <w:spacing w:after="0"/>
              <w:rPr>
                <w:sz w:val="6"/>
                <w:szCs w:val="6"/>
                <w:color w:val="auto"/>
              </w:rPr>
            </w:pPr>
          </w:p>
        </w:tc>
        <w:tc>
          <w:tcPr>
            <w:tcW w:w="2500" w:type="dxa"/>
            <w:vAlign w:val="bottom"/>
            <w:vMerge w:val="continue"/>
          </w:tcPr>
          <w:p>
            <w:pPr>
              <w:spacing w:after="0"/>
              <w:rPr>
                <w:sz w:val="6"/>
                <w:szCs w:val="6"/>
                <w:color w:val="auto"/>
              </w:rPr>
            </w:pPr>
          </w:p>
        </w:tc>
        <w:tc>
          <w:tcPr>
            <w:tcW w:w="1920" w:type="dxa"/>
            <w:vAlign w:val="bottom"/>
          </w:tcPr>
          <w:p>
            <w:pPr>
              <w:spacing w:after="0"/>
              <w:rPr>
                <w:sz w:val="6"/>
                <w:szCs w:val="6"/>
                <w:color w:val="auto"/>
              </w:rPr>
            </w:pPr>
          </w:p>
        </w:tc>
        <w:tc>
          <w:tcPr>
            <w:tcW w:w="45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93980</wp:posOffset>
            </wp:positionV>
            <wp:extent cx="405765" cy="2451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227" w:lineRule="exact"/>
        <w:rPr>
          <w:sz w:val="20"/>
          <w:szCs w:val="20"/>
          <w:color w:val="auto"/>
        </w:rPr>
      </w:pPr>
    </w:p>
    <w:p>
      <w:pPr>
        <w:ind w:left="840" w:hanging="554"/>
        <w:spacing w:after="0"/>
        <w:tabs>
          <w:tab w:leader="none" w:pos="840" w:val="left"/>
        </w:tabs>
        <w:numPr>
          <w:ilvl w:val="0"/>
          <w:numId w:val="16"/>
        </w:numPr>
        <w:rPr>
          <w:rFonts w:ascii="Arial" w:cs="Arial" w:eastAsia="Arial" w:hAnsi="Arial"/>
          <w:sz w:val="14"/>
          <w:szCs w:val="14"/>
          <w:b w:val="1"/>
          <w:bCs w:val="1"/>
          <w:color w:val="007549"/>
        </w:rPr>
      </w:pPr>
      <w:r>
        <w:rPr>
          <w:rFonts w:ascii="Arial" w:cs="Arial" w:eastAsia="Arial" w:hAnsi="Arial"/>
          <w:sz w:val="12"/>
          <w:szCs w:val="12"/>
          <w:b w:val="1"/>
          <w:bCs w:val="1"/>
          <w:color w:val="666666"/>
        </w:rPr>
        <w:t>2018 PROXY STATEMENT</w:t>
      </w:r>
    </w:p>
    <w:p>
      <w:pPr>
        <w:sectPr>
          <w:pgSz w:w="11900" w:h="16838" w:orient="portrait"/>
          <w:cols w:equalWidth="0" w:num="1">
            <w:col w:w="11140"/>
          </w:cols>
          <w:pgMar w:left="240" w:top="454" w:right="51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80"/>
        <w:spacing w:after="0"/>
        <w:rPr>
          <w:sz w:val="20"/>
          <w:szCs w:val="20"/>
          <w:color w:val="auto"/>
        </w:rPr>
      </w:pPr>
      <w:r>
        <w:rPr>
          <w:rFonts w:ascii="Arial" w:cs="Arial" w:eastAsia="Arial" w:hAnsi="Arial"/>
          <w:sz w:val="39"/>
          <w:szCs w:val="39"/>
          <w:color w:val="007549"/>
        </w:rPr>
        <w:t>PROXY STATEMENT</w:t>
      </w:r>
    </w:p>
    <w:p>
      <w:pPr>
        <w:spacing w:after="0" w:line="210" w:lineRule="exact"/>
        <w:rPr>
          <w:sz w:val="20"/>
          <w:szCs w:val="20"/>
          <w:color w:val="auto"/>
        </w:rPr>
      </w:pPr>
    </w:p>
    <w:p>
      <w:pPr>
        <w:jc w:val="both"/>
        <w:ind w:left="280"/>
        <w:spacing w:after="0" w:line="238" w:lineRule="auto"/>
        <w:rPr>
          <w:sz w:val="20"/>
          <w:szCs w:val="20"/>
          <w:color w:val="auto"/>
        </w:rPr>
      </w:pPr>
      <w:r>
        <w:rPr>
          <w:rFonts w:ascii="Arial" w:cs="Arial" w:eastAsia="Arial" w:hAnsi="Arial"/>
          <w:sz w:val="18"/>
          <w:szCs w:val="18"/>
          <w:color w:val="auto"/>
        </w:rPr>
        <w:t>The enclosed proxy is solicited by the board of directors of Hess Corporation for use at the annual meeting of stockholders to be held on Wednesday, June 6, 2018, at 9:00 a.m., local time, in our office at 1501 McKinney Street, Houston, Texas 77010.</w:t>
      </w:r>
    </w:p>
    <w:p>
      <w:pPr>
        <w:spacing w:after="0" w:line="175" w:lineRule="exact"/>
        <w:rPr>
          <w:sz w:val="20"/>
          <w:szCs w:val="20"/>
          <w:color w:val="auto"/>
        </w:rPr>
      </w:pPr>
    </w:p>
    <w:p>
      <w:pPr>
        <w:jc w:val="both"/>
        <w:ind w:left="280"/>
        <w:spacing w:after="0" w:line="233" w:lineRule="auto"/>
        <w:rPr>
          <w:sz w:val="20"/>
          <w:szCs w:val="20"/>
          <w:color w:val="auto"/>
        </w:rPr>
      </w:pPr>
      <w:r>
        <w:rPr>
          <w:rFonts w:ascii="Arial" w:cs="Arial" w:eastAsia="Arial" w:hAnsi="Arial"/>
          <w:sz w:val="18"/>
          <w:szCs w:val="18"/>
          <w:color w:val="auto"/>
        </w:rPr>
        <w:t>On or about April 27, 2018, we commenced mailing this proxy statement, the notice of annual meeting and the proxy card to stockholders. Holders of record of common stock of the company at the close of business on April 16, 2018 will be entitled to vote at the annual meeting. Each share of common stock will be entitled to one vote. As of April 16, 2018, there were 300,112,892 shares of common stock outstanding and entitled to vote at the annual meeting. There are no other voting securities of the company outstanding. A majority of the outstanding shares of common stock, present in person or represented by proxy, will constitute a quorum at the annual meeting. Abstentions and broker non-votes will be counted as shares present for purposes of determining the presence of a quorum for the transaction of business.</w:t>
      </w:r>
    </w:p>
    <w:p>
      <w:pPr>
        <w:spacing w:after="0" w:line="163" w:lineRule="exact"/>
        <w:rPr>
          <w:sz w:val="20"/>
          <w:szCs w:val="20"/>
          <w:color w:val="auto"/>
        </w:rPr>
      </w:pPr>
    </w:p>
    <w:p>
      <w:pPr>
        <w:jc w:val="both"/>
        <w:ind w:left="280"/>
        <w:spacing w:after="0" w:line="234" w:lineRule="auto"/>
        <w:rPr>
          <w:sz w:val="20"/>
          <w:szCs w:val="20"/>
          <w:color w:val="auto"/>
        </w:rPr>
      </w:pPr>
      <w:r>
        <w:rPr>
          <w:rFonts w:ascii="Arial" w:cs="Arial" w:eastAsia="Arial" w:hAnsi="Arial"/>
          <w:sz w:val="18"/>
          <w:szCs w:val="18"/>
          <w:color w:val="auto"/>
        </w:rPr>
        <w:t>In accordance with Securities and Exchange Commission (“SEC”) rules, we are making our proxy materials available to stockholders over the internet. On or about April 27, 2018, we mailed a Notice of Internet Availability of Proxy Materials to our stockholders (the “Notice”). The Notice contains instructions on how to access this proxy statement and our annual report and submit a proxy over the internet. If you received a Notice by mail, you will not receive a paper copy of the proxy materials unless you request such materials by following the instructions contained in the Notice.</w:t>
      </w:r>
    </w:p>
    <w:p>
      <w:pPr>
        <w:spacing w:after="0" w:line="162" w:lineRule="exact"/>
        <w:rPr>
          <w:sz w:val="20"/>
          <w:szCs w:val="20"/>
          <w:color w:val="auto"/>
        </w:rPr>
      </w:pPr>
    </w:p>
    <w:p>
      <w:pPr>
        <w:jc w:val="both"/>
        <w:ind w:left="280"/>
        <w:spacing w:after="0" w:line="245" w:lineRule="auto"/>
        <w:rPr>
          <w:sz w:val="20"/>
          <w:szCs w:val="20"/>
          <w:color w:val="auto"/>
        </w:rPr>
      </w:pPr>
      <w:r>
        <w:rPr>
          <w:rFonts w:ascii="Arial" w:cs="Arial" w:eastAsia="Arial" w:hAnsi="Arial"/>
          <w:sz w:val="17"/>
          <w:szCs w:val="17"/>
          <w:color w:val="auto"/>
        </w:rPr>
        <w:t xml:space="preserve">If at the close of business on April 16, 2018 your shares were held in an account at a brokerage firm, bank, dealer, or other similar organization, then you are the beneficial owner of shares held in “street name” and the proxy materials, as applicable, are being forwarded to you by that organization. The organization holding your account is considered the stockholder of record for purposes of voting at the annual meeting. As a beneficial owner, you have the right to direct that organization on how to vote the shares in your account. If that organization is not given specific direction, shares held in the name of that organization may not be voted and will not be considered as present and entitled to vote on any matter to be considered at the annual meeting, except with respect to the ratification of the company’s independent auditors. </w:t>
      </w:r>
      <w:r>
        <w:rPr>
          <w:rFonts w:ascii="Arial" w:cs="Arial" w:eastAsia="Arial" w:hAnsi="Arial"/>
          <w:sz w:val="17"/>
          <w:szCs w:val="17"/>
          <w:b w:val="1"/>
          <w:bCs w:val="1"/>
          <w:color w:val="auto"/>
        </w:rPr>
        <w:t>Brokers are not permitted to vote your shares with respect to Proposal 1, the election of directors, or</w:t>
      </w:r>
    </w:p>
    <w:p>
      <w:pPr>
        <w:jc w:val="both"/>
        <w:ind w:left="280"/>
        <w:spacing w:after="0" w:line="238" w:lineRule="auto"/>
        <w:rPr>
          <w:sz w:val="20"/>
          <w:szCs w:val="20"/>
          <w:color w:val="auto"/>
        </w:rPr>
      </w:pPr>
      <w:r>
        <w:rPr>
          <w:rFonts w:ascii="Arial" w:cs="Arial" w:eastAsia="Arial" w:hAnsi="Arial"/>
          <w:sz w:val="18"/>
          <w:szCs w:val="18"/>
          <w:b w:val="1"/>
          <w:bCs w:val="1"/>
          <w:color w:val="auto"/>
        </w:rPr>
        <w:t>Proposal 2, the advisory vote on executive compensation, without your instructions as to how to vote. Please instruct your broker how to vote your shares using the voting instruction form provided by your broker so that your vote can be counted</w:t>
      </w:r>
      <w:r>
        <w:rPr>
          <w:rFonts w:ascii="Arial" w:cs="Arial" w:eastAsia="Arial" w:hAnsi="Arial"/>
          <w:sz w:val="18"/>
          <w:szCs w:val="18"/>
          <w:color w:val="auto"/>
        </w:rPr>
        <w:t>.</w:t>
      </w:r>
    </w:p>
    <w:p>
      <w:pPr>
        <w:spacing w:after="0" w:line="175" w:lineRule="exact"/>
        <w:rPr>
          <w:sz w:val="20"/>
          <w:szCs w:val="20"/>
          <w:color w:val="auto"/>
        </w:rPr>
      </w:pPr>
    </w:p>
    <w:p>
      <w:pPr>
        <w:ind w:left="280" w:right="40"/>
        <w:spacing w:after="0" w:line="234" w:lineRule="auto"/>
        <w:rPr>
          <w:sz w:val="20"/>
          <w:szCs w:val="20"/>
          <w:color w:val="auto"/>
        </w:rPr>
      </w:pPr>
      <w:r>
        <w:rPr>
          <w:rFonts w:ascii="Arial" w:cs="Arial" w:eastAsia="Arial" w:hAnsi="Arial"/>
          <w:sz w:val="18"/>
          <w:szCs w:val="18"/>
          <w:color w:val="auto"/>
        </w:rPr>
        <w:t>If you are a stockholder of record, you can vote by using the internet or calling a toll-free telephone number. Internet and telephone voting information is provided on the proxy card or Notice. A control number, located on the instruction sheet attached to the proxy card or Notice, is designated to verify your identity and allow you to vote your shares and confirm that your voting instructions have been recorded properly. If you vote via the internet or by telephone, there is no need to return a signed proxy card. However, you may still vote by proxy by using the proxy card.</w:t>
      </w:r>
    </w:p>
    <w:p>
      <w:pPr>
        <w:spacing w:after="0" w:line="162" w:lineRule="exact"/>
        <w:rPr>
          <w:sz w:val="20"/>
          <w:szCs w:val="20"/>
          <w:color w:val="auto"/>
        </w:rPr>
      </w:pPr>
    </w:p>
    <w:p>
      <w:pPr>
        <w:jc w:val="both"/>
        <w:ind w:left="280"/>
        <w:spacing w:after="0" w:line="235" w:lineRule="auto"/>
        <w:rPr>
          <w:sz w:val="20"/>
          <w:szCs w:val="20"/>
          <w:color w:val="auto"/>
        </w:rPr>
      </w:pPr>
      <w:r>
        <w:rPr>
          <w:rFonts w:ascii="Arial" w:cs="Arial" w:eastAsia="Arial" w:hAnsi="Arial"/>
          <w:sz w:val="18"/>
          <w:szCs w:val="18"/>
          <w:color w:val="auto"/>
        </w:rPr>
        <w:t>Proxies will be voted at the annual meeting in accordance with the specifications you make on the proxy. If you sign the proxy card or submit a proxy by telephone or over the internet and do not specify how your shares are to be voted, your shares will be voted in accordance with the recommendations of the board of directors. For more information, see “Questions and Answers About the Annual Meeting and Voting,” beginning on 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5115560</wp:posOffset>
            </wp:positionH>
            <wp:positionV relativeFrom="paragraph">
              <wp:posOffset>85725</wp:posOffset>
            </wp:positionV>
            <wp:extent cx="405765" cy="2451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208" w:lineRule="exact"/>
        <w:rPr>
          <w:sz w:val="20"/>
          <w:szCs w:val="20"/>
          <w:color w:val="auto"/>
        </w:rPr>
      </w:pPr>
    </w:p>
    <w:tbl>
      <w:tblPr>
        <w:tblLayout w:type="fixed"/>
        <w:tblInd w:w="9220" w:type="dxa"/>
        <w:tblCellMar>
          <w:top w:w="0" w:type="dxa"/>
          <w:left w:w="0" w:type="dxa"/>
          <w:bottom w:w="0" w:type="dxa"/>
          <w:right w:w="0" w:type="dxa"/>
        </w:tblCellMar>
      </w:tblPr>
      <w:tr>
        <w:trPr>
          <w:trHeight w:val="188"/>
        </w:trPr>
        <w:tc>
          <w:tcPr>
            <w:tcW w:w="1680" w:type="dxa"/>
            <w:vAlign w:val="bottom"/>
          </w:tcPr>
          <w:p>
            <w:pPr>
              <w:spacing w:after="0"/>
              <w:rPr>
                <w:sz w:val="20"/>
                <w:szCs w:val="20"/>
                <w:color w:val="auto"/>
              </w:rPr>
            </w:pPr>
            <w:r>
              <w:rPr>
                <w:rFonts w:ascii="Arial" w:cs="Arial" w:eastAsia="Arial" w:hAnsi="Arial"/>
                <w:sz w:val="12"/>
                <w:szCs w:val="12"/>
                <w:b w:val="1"/>
                <w:bCs w:val="1"/>
                <w:color w:val="666666"/>
              </w:rPr>
              <w:t>2018 PROXY STATEMENT</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007549"/>
              </w:rPr>
              <w:t>1</w:t>
            </w:r>
          </w:p>
        </w:tc>
      </w:tr>
    </w:tbl>
    <w:p>
      <w:pPr>
        <w:sectPr>
          <w:pgSz w:w="11900" w:h="16838" w:orient="portrait"/>
          <w:cols w:equalWidth="0" w:num="1">
            <w:col w:w="11140"/>
          </w:cols>
          <w:pgMar w:left="240" w:top="454" w:right="5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80"/>
        <w:spacing w:after="0"/>
        <w:rPr>
          <w:sz w:val="20"/>
          <w:szCs w:val="20"/>
          <w:color w:val="auto"/>
        </w:rPr>
      </w:pPr>
      <w:r>
        <w:rPr>
          <w:rFonts w:ascii="Arial" w:cs="Arial" w:eastAsia="Arial" w:hAnsi="Arial"/>
          <w:sz w:val="39"/>
          <w:szCs w:val="39"/>
          <w:color w:val="007549"/>
        </w:rPr>
        <w:t>PROPOSAL 1: ELECTION OF DIRECTORS</w:t>
      </w:r>
    </w:p>
    <w:p>
      <w:pPr>
        <w:spacing w:after="0" w:line="182"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333333"/>
        </w:rPr>
        <w:t>Majority Voting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63500</wp:posOffset>
            </wp:positionV>
            <wp:extent cx="68935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173" w:lineRule="exact"/>
        <w:rPr>
          <w:sz w:val="20"/>
          <w:szCs w:val="20"/>
          <w:color w:val="auto"/>
        </w:rPr>
      </w:pPr>
    </w:p>
    <w:p>
      <w:pPr>
        <w:jc w:val="both"/>
        <w:ind w:left="280"/>
        <w:spacing w:after="0" w:line="234" w:lineRule="auto"/>
        <w:rPr>
          <w:sz w:val="20"/>
          <w:szCs w:val="20"/>
          <w:color w:val="auto"/>
        </w:rPr>
      </w:pPr>
      <w:r>
        <w:rPr>
          <w:rFonts w:ascii="Arial" w:cs="Arial" w:eastAsia="Arial" w:hAnsi="Arial"/>
          <w:sz w:val="18"/>
          <w:szCs w:val="18"/>
          <w:color w:val="auto"/>
        </w:rPr>
        <w:t>It is intended that proxies will be voted for the nominees set forth herein. The company’s by-laws provide for majority voting in uncontested elections of directors, which is the case for the election of directors at the 2018 annual meeting. Accordingly, to be elected as a director of the company at the 2018 annual meeting, nominees must receive a majority of the votes cast. A majority of votes cast means that the number of shares voted “for” a director’s election exceeds 50% of the number of votes cast with respect to that director’s election. Abstentions and broker non-votes are not counted as votes cast.</w:t>
      </w:r>
    </w:p>
    <w:p>
      <w:pPr>
        <w:spacing w:after="0" w:line="162" w:lineRule="exact"/>
        <w:rPr>
          <w:sz w:val="20"/>
          <w:szCs w:val="20"/>
          <w:color w:val="auto"/>
        </w:rPr>
      </w:pPr>
    </w:p>
    <w:p>
      <w:pPr>
        <w:jc w:val="both"/>
        <w:ind w:left="280"/>
        <w:spacing w:after="0" w:line="250" w:lineRule="auto"/>
        <w:rPr>
          <w:sz w:val="20"/>
          <w:szCs w:val="20"/>
          <w:color w:val="auto"/>
        </w:rPr>
      </w:pPr>
      <w:r>
        <w:rPr>
          <w:rFonts w:ascii="Arial" w:cs="Arial" w:eastAsia="Arial" w:hAnsi="Arial"/>
          <w:sz w:val="17"/>
          <w:szCs w:val="17"/>
          <w:color w:val="auto"/>
        </w:rPr>
        <w:t xml:space="preserve">If a director is not elected at the 2018 annual meeting and no successor has been elected at the annual meeting, the director is required to promptly tender his or her resignation to the board. The corporate governance and nominating committee is then required to make a recommendation to the board as to whether to accept or reject the tendered resignation, or whether other action should be taken. The board will act on the tendered resignation and will publicly disclose its decision and rationale within 90 days following certification of the election results. These procedures are described in full in our by-laws, which may be found on the company’s website at </w:t>
      </w:r>
      <w:r>
        <w:rPr>
          <w:rFonts w:ascii="Arial" w:cs="Arial" w:eastAsia="Arial" w:hAnsi="Arial"/>
          <w:sz w:val="17"/>
          <w:szCs w:val="17"/>
          <w:b w:val="1"/>
          <w:bCs w:val="1"/>
          <w:color w:val="007549"/>
        </w:rPr>
        <w:t>www.hess.com</w:t>
      </w:r>
      <w:r>
        <w:rPr>
          <w:rFonts w:ascii="Arial" w:cs="Arial" w:eastAsia="Arial" w:hAnsi="Arial"/>
          <w:sz w:val="17"/>
          <w:szCs w:val="17"/>
          <w:color w:val="auto"/>
        </w:rPr>
        <w:t>.</w:t>
      </w:r>
    </w:p>
    <w:p>
      <w:pPr>
        <w:spacing w:after="0" w:line="153" w:lineRule="exact"/>
        <w:rPr>
          <w:sz w:val="20"/>
          <w:szCs w:val="20"/>
          <w:color w:val="auto"/>
        </w:rPr>
      </w:pPr>
    </w:p>
    <w:p>
      <w:pPr>
        <w:jc w:val="both"/>
        <w:ind w:left="280"/>
        <w:spacing w:after="0" w:line="235" w:lineRule="auto"/>
        <w:rPr>
          <w:sz w:val="20"/>
          <w:szCs w:val="20"/>
          <w:color w:val="auto"/>
        </w:rPr>
      </w:pPr>
      <w:r>
        <w:rPr>
          <w:rFonts w:ascii="Arial" w:cs="Arial" w:eastAsia="Arial" w:hAnsi="Arial"/>
          <w:sz w:val="18"/>
          <w:szCs w:val="18"/>
          <w:color w:val="auto"/>
        </w:rPr>
        <w:t>It is expected that all candidates will be able to serve. However, if before the annual meeting any nominee in this proxy statement is unable to serve, or for good cause will not serve as a director, the proxy holders will vote the proxies for the remaining nominees and for substitute nominees chosen by the board of directors to fill the vacancy unless the board reduces the number of directors to be elected at the annual meeting.</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333333"/>
        </w:rPr>
        <w:t>Nominees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63500</wp:posOffset>
            </wp:positionV>
            <wp:extent cx="68935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173" w:lineRule="exact"/>
        <w:rPr>
          <w:sz w:val="20"/>
          <w:szCs w:val="20"/>
          <w:color w:val="auto"/>
        </w:rPr>
      </w:pPr>
    </w:p>
    <w:p>
      <w:pPr>
        <w:jc w:val="both"/>
        <w:ind w:left="280"/>
        <w:spacing w:after="0" w:line="236" w:lineRule="auto"/>
        <w:rPr>
          <w:sz w:val="20"/>
          <w:szCs w:val="20"/>
          <w:color w:val="auto"/>
        </w:rPr>
      </w:pPr>
      <w:r>
        <w:rPr>
          <w:rFonts w:ascii="Arial" w:cs="Arial" w:eastAsia="Arial" w:hAnsi="Arial"/>
          <w:sz w:val="18"/>
          <w:szCs w:val="18"/>
          <w:color w:val="auto"/>
        </w:rPr>
        <w:t>The following table presents information as of February 1, 2018 about the nominees for election as directors of the company, including the specific experience, qualifications, attributes and skills that led the board to conclude that such person should serve as a director. All of the directors on the board are elected for a one-year term expiring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144780</wp:posOffset>
            </wp:positionV>
            <wp:extent cx="68935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93560" cy="17145"/>
                    </a:xfrm>
                    <a:prstGeom prst="rect">
                      <a:avLst/>
                    </a:prstGeom>
                    <a:noFill/>
                  </pic:spPr>
                </pic:pic>
              </a:graphicData>
            </a:graphic>
          </wp:anchor>
        </w:drawing>
      </w:r>
    </w:p>
    <w:p>
      <w:pPr>
        <w:spacing w:after="0" w:line="282" w:lineRule="exact"/>
        <w:rPr>
          <w:sz w:val="20"/>
          <w:szCs w:val="20"/>
          <w:color w:val="auto"/>
        </w:rPr>
      </w:pPr>
    </w:p>
    <w:p>
      <w:pPr>
        <w:ind w:left="2140"/>
        <w:spacing w:after="0"/>
        <w:rPr>
          <w:sz w:val="20"/>
          <w:szCs w:val="20"/>
          <w:color w:val="auto"/>
        </w:rPr>
      </w:pPr>
      <w:r>
        <w:rPr>
          <w:rFonts w:ascii="Arial" w:cs="Arial" w:eastAsia="Arial" w:hAnsi="Arial"/>
          <w:sz w:val="21"/>
          <w:szCs w:val="21"/>
          <w:b w:val="1"/>
          <w:bCs w:val="1"/>
          <w:i w:val="1"/>
          <w:iCs w:val="1"/>
          <w:color w:val="auto"/>
        </w:rPr>
        <w:t>Rodney F. 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-81280</wp:posOffset>
            </wp:positionV>
            <wp:extent cx="6893560" cy="8108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93560" cy="810895"/>
                    </a:xfrm>
                    <a:prstGeom prst="rect">
                      <a:avLst/>
                    </a:prstGeom>
                    <a:noFill/>
                  </pic:spPr>
                </pic:pic>
              </a:graphicData>
            </a:graphic>
          </wp:anchor>
        </w:drawing>
      </w:r>
    </w:p>
    <w:p>
      <w:pPr>
        <w:spacing w:after="0" w:line="54"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Independent Director</w:t>
      </w:r>
    </w:p>
    <w:p>
      <w:pPr>
        <w:spacing w:after="0" w:line="7"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74</w:t>
      </w:r>
    </w:p>
    <w:p>
      <w:pPr>
        <w:ind w:left="2140"/>
        <w:spacing w:after="0" w:line="231" w:lineRule="auto"/>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2013</w:t>
      </w:r>
    </w:p>
    <w:p>
      <w:pPr>
        <w:ind w:left="2140"/>
        <w:spacing w:after="0" w:line="231" w:lineRule="auto"/>
        <w:rPr>
          <w:sz w:val="20"/>
          <w:szCs w:val="20"/>
          <w:color w:val="auto"/>
        </w:rPr>
      </w:pPr>
      <w:r>
        <w:rPr>
          <w:rFonts w:ascii="Arial" w:cs="Arial" w:eastAsia="Arial" w:hAnsi="Arial"/>
          <w:sz w:val="18"/>
          <w:szCs w:val="18"/>
          <w:b w:val="1"/>
          <w:bCs w:val="1"/>
          <w:color w:val="auto"/>
        </w:rPr>
        <w:t xml:space="preserve">Committees Served: </w:t>
      </w:r>
      <w:r>
        <w:rPr>
          <w:rFonts w:ascii="Arial" w:cs="Arial" w:eastAsia="Arial" w:hAnsi="Arial"/>
          <w:sz w:val="18"/>
          <w:szCs w:val="18"/>
          <w:color w:val="auto"/>
        </w:rPr>
        <w:t>Audit, Governance, EHS</w:t>
      </w:r>
    </w:p>
    <w:p>
      <w:pPr>
        <w:spacing w:after="0" w:line="1"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 xml:space="preserve">Principal Occupation: </w:t>
      </w:r>
      <w:r>
        <w:rPr>
          <w:rFonts w:ascii="Arial" w:cs="Arial" w:eastAsia="Arial" w:hAnsi="Arial"/>
          <w:sz w:val="18"/>
          <w:szCs w:val="18"/>
          <w:color w:val="auto"/>
        </w:rPr>
        <w:t>Former Deputy Group Chief Executive of BP plc.</w:t>
      </w:r>
    </w:p>
    <w:p>
      <w:pPr>
        <w:spacing w:after="0" w:line="104" w:lineRule="exact"/>
        <w:rPr>
          <w:sz w:val="20"/>
          <w:szCs w:val="20"/>
          <w:color w:val="auto"/>
        </w:rPr>
      </w:pPr>
    </w:p>
    <w:p>
      <w:pPr>
        <w:jc w:val="both"/>
        <w:ind w:left="280"/>
        <w:spacing w:after="0" w:line="263" w:lineRule="auto"/>
        <w:rPr>
          <w:sz w:val="20"/>
          <w:szCs w:val="20"/>
          <w:color w:val="auto"/>
        </w:rPr>
      </w:pPr>
      <w:r>
        <w:rPr>
          <w:rFonts w:ascii="Arial" w:cs="Arial" w:eastAsia="Arial" w:hAnsi="Arial"/>
          <w:sz w:val="18"/>
          <w:szCs w:val="18"/>
          <w:b w:val="1"/>
          <w:bCs w:val="1"/>
          <w:color w:val="auto"/>
        </w:rPr>
        <w:t xml:space="preserve">Other Directorships: </w:t>
      </w:r>
      <w:r>
        <w:rPr>
          <w:rFonts w:ascii="Arial" w:cs="Arial" w:eastAsia="Arial" w:hAnsi="Arial"/>
          <w:sz w:val="18"/>
          <w:szCs w:val="18"/>
          <w:color w:val="auto"/>
        </w:rPr>
        <w:t>Andeavor (formerly known as Tesoro Corporation).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Former Director</w:t>
      </w:r>
      <w:r>
        <w:rPr>
          <w:rFonts w:ascii="Arial" w:cs="Arial" w:eastAsia="Arial" w:hAnsi="Arial"/>
          <w:sz w:val="18"/>
          <w:szCs w:val="18"/>
          <w:color w:val="auto"/>
        </w:rPr>
        <w:t>, Genel Energy, plc (Chairman), Computer</w:t>
      </w:r>
      <w:r>
        <w:rPr>
          <w:rFonts w:ascii="Arial" w:cs="Arial" w:eastAsia="Arial" w:hAnsi="Arial"/>
          <w:sz w:val="18"/>
          <w:szCs w:val="18"/>
          <w:b w:val="1"/>
          <w:bCs w:val="1"/>
          <w:color w:val="auto"/>
        </w:rPr>
        <w:t xml:space="preserve"> </w:t>
      </w:r>
      <w:r>
        <w:rPr>
          <w:rFonts w:ascii="Arial" w:cs="Arial" w:eastAsia="Arial" w:hAnsi="Arial"/>
          <w:sz w:val="18"/>
          <w:szCs w:val="18"/>
          <w:color w:val="auto"/>
        </w:rPr>
        <w:t>Sciences Corporation (Chairman).</w:t>
      </w:r>
    </w:p>
    <w:p>
      <w:pPr>
        <w:spacing w:after="0" w:line="6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Skills and Experience</w:t>
      </w:r>
    </w:p>
    <w:p>
      <w:pPr>
        <w:spacing w:after="0" w:line="15" w:lineRule="exact"/>
        <w:rPr>
          <w:sz w:val="20"/>
          <w:szCs w:val="20"/>
          <w:color w:val="auto"/>
        </w:rPr>
      </w:pPr>
    </w:p>
    <w:p>
      <w:pPr>
        <w:jc w:val="both"/>
        <w:ind w:left="280"/>
        <w:spacing w:after="0" w:line="238" w:lineRule="auto"/>
        <w:rPr>
          <w:sz w:val="20"/>
          <w:szCs w:val="20"/>
          <w:color w:val="auto"/>
        </w:rPr>
      </w:pPr>
      <w:r>
        <w:rPr>
          <w:rFonts w:ascii="Arial" w:cs="Arial" w:eastAsia="Arial" w:hAnsi="Arial"/>
          <w:sz w:val="18"/>
          <w:szCs w:val="18"/>
          <w:color w:val="auto"/>
        </w:rPr>
        <w:t>Mr. Chase’s experience in the oil and gas industry, corporate management and finance, international operations, public company governance and board practices provides the Hess board with valuable industry knowledge and strategic planning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153670</wp:posOffset>
            </wp:positionV>
            <wp:extent cx="68935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93560" cy="17145"/>
                    </a:xfrm>
                    <a:prstGeom prst="rect">
                      <a:avLst/>
                    </a:prstGeom>
                    <a:noFill/>
                  </pic:spPr>
                </pic:pic>
              </a:graphicData>
            </a:graphic>
          </wp:anchor>
        </w:drawing>
      </w:r>
    </w:p>
    <w:p>
      <w:pPr>
        <w:spacing w:after="0" w:line="296" w:lineRule="exact"/>
        <w:rPr>
          <w:sz w:val="20"/>
          <w:szCs w:val="20"/>
          <w:color w:val="auto"/>
        </w:rPr>
      </w:pPr>
    </w:p>
    <w:p>
      <w:pPr>
        <w:ind w:left="2140"/>
        <w:spacing w:after="0"/>
        <w:rPr>
          <w:sz w:val="20"/>
          <w:szCs w:val="20"/>
          <w:color w:val="auto"/>
        </w:rPr>
      </w:pPr>
      <w:r>
        <w:rPr>
          <w:rFonts w:ascii="Arial" w:cs="Arial" w:eastAsia="Arial" w:hAnsi="Arial"/>
          <w:sz w:val="21"/>
          <w:szCs w:val="21"/>
          <w:b w:val="1"/>
          <w:bCs w:val="1"/>
          <w:i w:val="1"/>
          <w:iCs w:val="1"/>
          <w:color w:val="auto"/>
        </w:rPr>
        <w:t>Terrence J. Checki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-81280</wp:posOffset>
            </wp:positionV>
            <wp:extent cx="6893560" cy="8108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93560" cy="810895"/>
                    </a:xfrm>
                    <a:prstGeom prst="rect">
                      <a:avLst/>
                    </a:prstGeom>
                    <a:noFill/>
                  </pic:spPr>
                </pic:pic>
              </a:graphicData>
            </a:graphic>
          </wp:anchor>
        </w:drawing>
      </w:r>
    </w:p>
    <w:p>
      <w:pPr>
        <w:spacing w:after="0" w:line="54"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Independent Director</w:t>
      </w:r>
    </w:p>
    <w:p>
      <w:pPr>
        <w:spacing w:after="0" w:line="7"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72</w:t>
      </w:r>
    </w:p>
    <w:p>
      <w:pPr>
        <w:ind w:left="2140"/>
        <w:spacing w:after="0" w:line="231" w:lineRule="auto"/>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2014</w:t>
      </w:r>
    </w:p>
    <w:p>
      <w:pPr>
        <w:ind w:left="2140"/>
        <w:spacing w:after="0" w:line="231" w:lineRule="auto"/>
        <w:rPr>
          <w:sz w:val="20"/>
          <w:szCs w:val="20"/>
          <w:color w:val="auto"/>
        </w:rPr>
      </w:pPr>
      <w:r>
        <w:rPr>
          <w:rFonts w:ascii="Arial" w:cs="Arial" w:eastAsia="Arial" w:hAnsi="Arial"/>
          <w:sz w:val="18"/>
          <w:szCs w:val="18"/>
          <w:b w:val="1"/>
          <w:bCs w:val="1"/>
          <w:color w:val="auto"/>
        </w:rPr>
        <w:t xml:space="preserve">Committees Served: </w:t>
      </w:r>
      <w:r>
        <w:rPr>
          <w:rFonts w:ascii="Arial" w:cs="Arial" w:eastAsia="Arial" w:hAnsi="Arial"/>
          <w:sz w:val="18"/>
          <w:szCs w:val="18"/>
          <w:color w:val="auto"/>
        </w:rPr>
        <w:t>Compensation, Governance</w:t>
      </w:r>
    </w:p>
    <w:p>
      <w:pPr>
        <w:spacing w:after="0" w:line="1" w:lineRule="exact"/>
        <w:rPr>
          <w:sz w:val="20"/>
          <w:szCs w:val="20"/>
          <w:color w:val="auto"/>
        </w:rPr>
      </w:pPr>
    </w:p>
    <w:p>
      <w:pPr>
        <w:jc w:val="both"/>
        <w:ind w:left="2140"/>
        <w:spacing w:after="0" w:line="265" w:lineRule="auto"/>
        <w:rPr>
          <w:sz w:val="20"/>
          <w:szCs w:val="20"/>
          <w:color w:val="auto"/>
        </w:rPr>
      </w:pPr>
      <w:r>
        <w:rPr>
          <w:rFonts w:ascii="Arial" w:cs="Arial" w:eastAsia="Arial" w:hAnsi="Arial"/>
          <w:sz w:val="17"/>
          <w:szCs w:val="17"/>
          <w:b w:val="1"/>
          <w:bCs w:val="1"/>
          <w:color w:val="auto"/>
        </w:rPr>
        <w:t xml:space="preserve">Principal Occupation: </w:t>
      </w:r>
      <w:r>
        <w:rPr>
          <w:rFonts w:ascii="Arial" w:cs="Arial" w:eastAsia="Arial" w:hAnsi="Arial"/>
          <w:sz w:val="17"/>
          <w:szCs w:val="17"/>
          <w:color w:val="auto"/>
        </w:rPr>
        <w:t>Former Executive Vice President and Head, Emerging Markets and International Affairs,</w:t>
      </w:r>
      <w:r>
        <w:rPr>
          <w:rFonts w:ascii="Arial" w:cs="Arial" w:eastAsia="Arial" w:hAnsi="Arial"/>
          <w:sz w:val="17"/>
          <w:szCs w:val="17"/>
          <w:b w:val="1"/>
          <w:bCs w:val="1"/>
          <w:color w:val="auto"/>
        </w:rPr>
        <w:t xml:space="preserve"> </w:t>
      </w:r>
      <w:r>
        <w:rPr>
          <w:rFonts w:ascii="Arial" w:cs="Arial" w:eastAsia="Arial" w:hAnsi="Arial"/>
          <w:sz w:val="17"/>
          <w:szCs w:val="17"/>
          <w:color w:val="auto"/>
        </w:rPr>
        <w:t>Federal Reserve Bank of New York. Mr. Checki retired from the Federal Reserve Bank of New York in March 2014.</w:t>
      </w:r>
    </w:p>
    <w:p>
      <w:pPr>
        <w:spacing w:after="0" w:line="6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 xml:space="preserve">Other Directorships: </w:t>
      </w:r>
      <w:r>
        <w:rPr>
          <w:rFonts w:ascii="Arial" w:cs="Arial" w:eastAsia="Arial" w:hAnsi="Arial"/>
          <w:sz w:val="18"/>
          <w:szCs w:val="18"/>
          <w:color w:val="auto"/>
        </w:rPr>
        <w:t>Director or trustee of various Franklin Templeton funds.</w:t>
      </w:r>
    </w:p>
    <w:p>
      <w:pPr>
        <w:spacing w:after="0" w:line="11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Skills and Experience</w:t>
      </w:r>
    </w:p>
    <w:p>
      <w:pPr>
        <w:spacing w:after="0" w:line="15" w:lineRule="exact"/>
        <w:rPr>
          <w:sz w:val="20"/>
          <w:szCs w:val="20"/>
          <w:color w:val="auto"/>
        </w:rPr>
      </w:pPr>
    </w:p>
    <w:p>
      <w:pPr>
        <w:jc w:val="both"/>
        <w:ind w:left="280"/>
        <w:spacing w:after="0" w:line="236" w:lineRule="auto"/>
        <w:rPr>
          <w:sz w:val="20"/>
          <w:szCs w:val="20"/>
          <w:color w:val="auto"/>
        </w:rPr>
      </w:pPr>
      <w:r>
        <w:rPr>
          <w:rFonts w:ascii="Arial" w:cs="Arial" w:eastAsia="Arial" w:hAnsi="Arial"/>
          <w:sz w:val="18"/>
          <w:szCs w:val="18"/>
          <w:color w:val="auto"/>
        </w:rPr>
        <w:t>Mr. Checki brings decades of experience in management, international relations, government and public policy to the Hess board. He has had key roles in the resolution of numerous economic and financial challenges in the U.S. and abroad during his tenure at the Federal Reserve Bank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1769745</wp:posOffset>
            </wp:positionH>
            <wp:positionV relativeFrom="paragraph">
              <wp:posOffset>322580</wp:posOffset>
            </wp:positionV>
            <wp:extent cx="405765" cy="2451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ind w:left="680" w:hanging="394"/>
        <w:spacing w:after="0"/>
        <w:tabs>
          <w:tab w:leader="none" w:pos="680" w:val="left"/>
        </w:tabs>
        <w:numPr>
          <w:ilvl w:val="0"/>
          <w:numId w:val="17"/>
        </w:numPr>
        <w:rPr>
          <w:rFonts w:ascii="Arial" w:cs="Arial" w:eastAsia="Arial" w:hAnsi="Arial"/>
          <w:sz w:val="14"/>
          <w:szCs w:val="14"/>
          <w:b w:val="1"/>
          <w:bCs w:val="1"/>
          <w:color w:val="007549"/>
        </w:rPr>
      </w:pPr>
      <w:r>
        <w:rPr>
          <w:rFonts w:ascii="Arial" w:cs="Arial" w:eastAsia="Arial" w:hAnsi="Arial"/>
          <w:sz w:val="12"/>
          <w:szCs w:val="12"/>
          <w:b w:val="1"/>
          <w:bCs w:val="1"/>
          <w:color w:val="666666"/>
        </w:rPr>
        <w:t>2018 PROXY STATEMENT</w:t>
      </w:r>
    </w:p>
    <w:p>
      <w:pPr>
        <w:sectPr>
          <w:pgSz w:w="11900" w:h="16838" w:orient="portrait"/>
          <w:cols w:equalWidth="0" w:num="1">
            <w:col w:w="11140"/>
          </w:cols>
          <w:pgMar w:left="240" w:top="454" w:right="5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7549"/>
        </w:rPr>
        <w:t xml:space="preserve">Proposal 1: Election of Directors </w:t>
      </w:r>
      <w:r>
        <w:rPr>
          <w:rFonts w:ascii="Arial" w:cs="Arial" w:eastAsia="Arial" w:hAnsi="Arial"/>
          <w:sz w:val="16"/>
          <w:szCs w:val="16"/>
          <w:b w:val="1"/>
          <w:bCs w:val="1"/>
          <w:color w:val="000000"/>
        </w:rPr>
        <w:t>+ Nominees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55245</wp:posOffset>
            </wp:positionV>
            <wp:extent cx="68935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93560" cy="8255"/>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207010</wp:posOffset>
            </wp:positionV>
            <wp:extent cx="68935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93560" cy="17145"/>
                    </a:xfrm>
                    <a:prstGeom prst="rect">
                      <a:avLst/>
                    </a:prstGeom>
                    <a:noFill/>
                  </pic:spPr>
                </pic:pic>
              </a:graphicData>
            </a:graphic>
          </wp:anchor>
        </w:drawing>
      </w:r>
    </w:p>
    <w:p>
      <w:pPr>
        <w:spacing w:after="0" w:line="380" w:lineRule="exact"/>
        <w:rPr>
          <w:sz w:val="20"/>
          <w:szCs w:val="20"/>
          <w:color w:val="auto"/>
        </w:rPr>
      </w:pPr>
    </w:p>
    <w:p>
      <w:pPr>
        <w:ind w:left="1940"/>
        <w:spacing w:after="0"/>
        <w:rPr>
          <w:sz w:val="20"/>
          <w:szCs w:val="20"/>
          <w:color w:val="auto"/>
        </w:rPr>
      </w:pPr>
      <w:r>
        <w:rPr>
          <w:rFonts w:ascii="Arial" w:cs="Arial" w:eastAsia="Arial" w:hAnsi="Arial"/>
          <w:sz w:val="21"/>
          <w:szCs w:val="21"/>
          <w:b w:val="1"/>
          <w:bCs w:val="1"/>
          <w:i w:val="1"/>
          <w:iCs w:val="1"/>
          <w:color w:val="auto"/>
        </w:rPr>
        <w:t>Leonard S. Coleman,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-81280</wp:posOffset>
            </wp:positionV>
            <wp:extent cx="6893560" cy="8108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93560" cy="810895"/>
                    </a:xfrm>
                    <a:prstGeom prst="rect">
                      <a:avLst/>
                    </a:prstGeom>
                    <a:noFill/>
                  </pic:spPr>
                </pic:pic>
              </a:graphicData>
            </a:graphic>
          </wp:anchor>
        </w:drawing>
      </w:r>
    </w:p>
    <w:p>
      <w:pPr>
        <w:spacing w:after="0" w:line="54"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Independent Director</w:t>
      </w:r>
    </w:p>
    <w:p>
      <w:pPr>
        <w:spacing w:after="0" w:line="7"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68</w:t>
      </w:r>
    </w:p>
    <w:p>
      <w:pPr>
        <w:ind w:left="1940"/>
        <w:spacing w:after="0" w:line="231" w:lineRule="auto"/>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2016</w:t>
      </w:r>
    </w:p>
    <w:p>
      <w:pPr>
        <w:ind w:left="1940"/>
        <w:spacing w:after="0" w:line="231" w:lineRule="auto"/>
        <w:rPr>
          <w:sz w:val="20"/>
          <w:szCs w:val="20"/>
          <w:color w:val="auto"/>
        </w:rPr>
      </w:pPr>
      <w:r>
        <w:rPr>
          <w:rFonts w:ascii="Arial" w:cs="Arial" w:eastAsia="Arial" w:hAnsi="Arial"/>
          <w:sz w:val="18"/>
          <w:szCs w:val="18"/>
          <w:b w:val="1"/>
          <w:bCs w:val="1"/>
          <w:color w:val="auto"/>
        </w:rPr>
        <w:t xml:space="preserve">Committees Served: </w:t>
      </w:r>
      <w:r>
        <w:rPr>
          <w:rFonts w:ascii="Arial" w:cs="Arial" w:eastAsia="Arial" w:hAnsi="Arial"/>
          <w:sz w:val="18"/>
          <w:szCs w:val="18"/>
          <w:color w:val="auto"/>
        </w:rPr>
        <w:t>Governance, EHS</w:t>
      </w:r>
    </w:p>
    <w:p>
      <w:pPr>
        <w:spacing w:after="0" w:line="1" w:lineRule="exact"/>
        <w:rPr>
          <w:sz w:val="20"/>
          <w:szCs w:val="20"/>
          <w:color w:val="auto"/>
        </w:rPr>
      </w:pPr>
    </w:p>
    <w:p>
      <w:pPr>
        <w:ind w:left="1940"/>
        <w:spacing w:after="0" w:line="238" w:lineRule="auto"/>
        <w:rPr>
          <w:sz w:val="20"/>
          <w:szCs w:val="20"/>
          <w:color w:val="auto"/>
        </w:rPr>
      </w:pPr>
      <w:r>
        <w:rPr>
          <w:rFonts w:ascii="Arial" w:cs="Arial" w:eastAsia="Arial" w:hAnsi="Arial"/>
          <w:sz w:val="18"/>
          <w:szCs w:val="18"/>
          <w:b w:val="1"/>
          <w:bCs w:val="1"/>
          <w:color w:val="auto"/>
        </w:rPr>
        <w:t xml:space="preserve">Principal Occupation: </w:t>
      </w:r>
      <w:r>
        <w:rPr>
          <w:rFonts w:ascii="Arial" w:cs="Arial" w:eastAsia="Arial" w:hAnsi="Arial"/>
          <w:sz w:val="18"/>
          <w:szCs w:val="18"/>
          <w:color w:val="auto"/>
        </w:rPr>
        <w:t>Former President of the National League of Major League Baseball and Former</w:t>
      </w:r>
      <w:r>
        <w:rPr>
          <w:rFonts w:ascii="Arial" w:cs="Arial" w:eastAsia="Arial" w:hAnsi="Arial"/>
          <w:sz w:val="18"/>
          <w:szCs w:val="18"/>
          <w:b w:val="1"/>
          <w:bCs w:val="1"/>
          <w:color w:val="auto"/>
        </w:rPr>
        <w:t xml:space="preserve"> </w:t>
      </w:r>
      <w:r>
        <w:rPr>
          <w:rFonts w:ascii="Arial" w:cs="Arial" w:eastAsia="Arial" w:hAnsi="Arial"/>
          <w:sz w:val="18"/>
          <w:szCs w:val="18"/>
          <w:color w:val="auto"/>
        </w:rPr>
        <w:t>Commissioner of the New Jersey Department of Energy.</w:t>
      </w:r>
    </w:p>
    <w:p>
      <w:pPr>
        <w:spacing w:after="0" w:line="100" w:lineRule="exact"/>
        <w:rPr>
          <w:sz w:val="20"/>
          <w:szCs w:val="20"/>
          <w:color w:val="auto"/>
        </w:rPr>
      </w:pPr>
    </w:p>
    <w:p>
      <w:pPr>
        <w:jc w:val="both"/>
        <w:ind w:left="280"/>
        <w:spacing w:after="0" w:line="263" w:lineRule="auto"/>
        <w:rPr>
          <w:sz w:val="20"/>
          <w:szCs w:val="20"/>
          <w:color w:val="auto"/>
        </w:rPr>
      </w:pPr>
      <w:r>
        <w:rPr>
          <w:rFonts w:ascii="Arial" w:cs="Arial" w:eastAsia="Arial" w:hAnsi="Arial"/>
          <w:sz w:val="18"/>
          <w:szCs w:val="18"/>
          <w:b w:val="1"/>
          <w:bCs w:val="1"/>
          <w:color w:val="auto"/>
        </w:rPr>
        <w:t xml:space="preserve">Other Directorships: </w:t>
      </w:r>
      <w:r>
        <w:rPr>
          <w:rFonts w:ascii="Arial" w:cs="Arial" w:eastAsia="Arial" w:hAnsi="Arial"/>
          <w:sz w:val="18"/>
          <w:szCs w:val="18"/>
          <w:color w:val="auto"/>
        </w:rPr>
        <w:t>Avis Budget Group, Inc., Electronic Arts Inc., and Omnicom Group Inc.</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Former Director</w:t>
      </w:r>
      <w:r>
        <w:rPr>
          <w:rFonts w:ascii="Arial" w:cs="Arial" w:eastAsia="Arial" w:hAnsi="Arial"/>
          <w:sz w:val="18"/>
          <w:szCs w:val="18"/>
          <w:color w:val="auto"/>
        </w:rPr>
        <w:t>, Aramark, H.J. Heinz</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Churchill Downs, Inc.</w:t>
      </w:r>
    </w:p>
    <w:p>
      <w:pPr>
        <w:spacing w:after="0" w:line="6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Skills and Experience</w:t>
      </w:r>
    </w:p>
    <w:p>
      <w:pPr>
        <w:spacing w:after="0" w:line="15" w:lineRule="exact"/>
        <w:rPr>
          <w:sz w:val="20"/>
          <w:szCs w:val="20"/>
          <w:color w:val="auto"/>
        </w:rPr>
      </w:pPr>
    </w:p>
    <w:p>
      <w:pPr>
        <w:jc w:val="both"/>
        <w:ind w:left="280"/>
        <w:spacing w:after="0" w:line="236" w:lineRule="auto"/>
        <w:rPr>
          <w:sz w:val="20"/>
          <w:szCs w:val="20"/>
          <w:color w:val="auto"/>
        </w:rPr>
      </w:pPr>
      <w:r>
        <w:rPr>
          <w:rFonts w:ascii="Arial" w:cs="Arial" w:eastAsia="Arial" w:hAnsi="Arial"/>
          <w:sz w:val="18"/>
          <w:szCs w:val="18"/>
          <w:color w:val="auto"/>
        </w:rPr>
        <w:t>Mr. Coleman has acquired diverse business experience over his career, including more than a decade of senior management experience in Major League Baseball, significant financial experience through his years of working as a municipal finance banker at Kidder Peabody and extensive government experience, including serving as Commissioner of the New Jersey Department of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229235</wp:posOffset>
            </wp:positionV>
            <wp:extent cx="68935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93560" cy="1714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2140"/>
        <w:spacing w:after="0"/>
        <w:rPr>
          <w:sz w:val="20"/>
          <w:szCs w:val="20"/>
          <w:color w:val="auto"/>
        </w:rPr>
      </w:pPr>
      <w:r>
        <w:rPr>
          <w:rFonts w:ascii="Arial" w:cs="Arial" w:eastAsia="Arial" w:hAnsi="Arial"/>
          <w:sz w:val="21"/>
          <w:szCs w:val="21"/>
          <w:b w:val="1"/>
          <w:bCs w:val="1"/>
          <w:i w:val="1"/>
          <w:iCs w:val="1"/>
          <w:color w:val="auto"/>
        </w:rPr>
        <w:t>John B. 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-81280</wp:posOffset>
            </wp:positionV>
            <wp:extent cx="810895" cy="8108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10895" cy="810895"/>
                    </a:xfrm>
                    <a:prstGeom prst="rect">
                      <a:avLst/>
                    </a:prstGeom>
                    <a:noFill/>
                  </pic:spPr>
                </pic:pic>
              </a:graphicData>
            </a:graphic>
          </wp:anchor>
        </w:drawing>
      </w:r>
    </w:p>
    <w:p>
      <w:pPr>
        <w:spacing w:after="0" w:line="107"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1363980</wp:posOffset>
            </wp:positionH>
            <wp:positionV relativeFrom="paragraph">
              <wp:posOffset>-124460</wp:posOffset>
            </wp:positionV>
            <wp:extent cx="57111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11190" cy="8255"/>
                    </a:xfrm>
                    <a:prstGeom prst="rect">
                      <a:avLst/>
                    </a:prstGeom>
                    <a:noFill/>
                  </pic:spPr>
                </pic:pic>
              </a:graphicData>
            </a:graphic>
          </wp:anchor>
        </w:drawing>
      </w:r>
    </w:p>
    <w:p>
      <w:pPr>
        <w:ind w:left="21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1978</w:t>
      </w:r>
    </w:p>
    <w:p>
      <w:pPr>
        <w:ind w:left="2140" w:right="260"/>
        <w:spacing w:after="0" w:line="238" w:lineRule="auto"/>
        <w:rPr>
          <w:sz w:val="20"/>
          <w:szCs w:val="20"/>
          <w:color w:val="auto"/>
        </w:rPr>
      </w:pPr>
      <w:r>
        <w:rPr>
          <w:rFonts w:ascii="Arial" w:cs="Arial" w:eastAsia="Arial" w:hAnsi="Arial"/>
          <w:sz w:val="18"/>
          <w:szCs w:val="18"/>
          <w:b w:val="1"/>
          <w:bCs w:val="1"/>
          <w:color w:val="auto"/>
        </w:rPr>
        <w:t xml:space="preserve">Principal Occupation: </w:t>
      </w:r>
      <w:r>
        <w:rPr>
          <w:rFonts w:ascii="Arial" w:cs="Arial" w:eastAsia="Arial" w:hAnsi="Arial"/>
          <w:sz w:val="18"/>
          <w:szCs w:val="18"/>
          <w:color w:val="auto"/>
        </w:rPr>
        <w:t>Chief Executive Officer of Hess Corporation and Hess Midstream Partners GP LLC, the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Partner of Hess Midstream Partners, L.P.</w:t>
      </w:r>
    </w:p>
    <w:p>
      <w:pPr>
        <w:spacing w:after="0" w:line="200" w:lineRule="exact"/>
        <w:rPr>
          <w:sz w:val="20"/>
          <w:szCs w:val="20"/>
          <w:color w:val="auto"/>
        </w:rPr>
      </w:pPr>
    </w:p>
    <w:p>
      <w:pPr>
        <w:spacing w:after="0" w:line="232" w:lineRule="exact"/>
        <w:rPr>
          <w:sz w:val="20"/>
          <w:szCs w:val="20"/>
          <w:color w:val="auto"/>
        </w:rPr>
      </w:pPr>
    </w:p>
    <w:p>
      <w:pPr>
        <w:jc w:val="both"/>
        <w:ind w:left="280"/>
        <w:spacing w:after="0" w:line="263" w:lineRule="auto"/>
        <w:rPr>
          <w:sz w:val="20"/>
          <w:szCs w:val="20"/>
          <w:color w:val="auto"/>
        </w:rPr>
      </w:pPr>
      <w:r>
        <w:rPr>
          <w:rFonts w:ascii="Arial" w:cs="Arial" w:eastAsia="Arial" w:hAnsi="Arial"/>
          <w:sz w:val="18"/>
          <w:szCs w:val="18"/>
          <w:b w:val="1"/>
          <w:bCs w:val="1"/>
          <w:color w:val="auto"/>
        </w:rPr>
        <w:t xml:space="preserve">Other Directorships: </w:t>
      </w:r>
      <w:r>
        <w:rPr>
          <w:rFonts w:ascii="Arial" w:cs="Arial" w:eastAsia="Arial" w:hAnsi="Arial"/>
          <w:sz w:val="18"/>
          <w:szCs w:val="18"/>
          <w:color w:val="auto"/>
        </w:rPr>
        <w:t>Hess Midstream Partners GP LLC and KKR Management LLC, the General Partner of KKR &amp; Co. L.P.</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Former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Director</w:t>
      </w:r>
      <w:r>
        <w:rPr>
          <w:rFonts w:ascii="Arial" w:cs="Arial" w:eastAsia="Arial" w:hAnsi="Arial"/>
          <w:sz w:val="18"/>
          <w:szCs w:val="18"/>
          <w:color w:val="auto"/>
        </w:rPr>
        <w:t>, Dow Chemical Company.</w:t>
      </w:r>
    </w:p>
    <w:p>
      <w:pPr>
        <w:spacing w:after="0" w:line="6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Skills and Experience</w:t>
      </w:r>
    </w:p>
    <w:p>
      <w:pPr>
        <w:spacing w:after="0" w:line="15" w:lineRule="exact"/>
        <w:rPr>
          <w:sz w:val="20"/>
          <w:szCs w:val="20"/>
          <w:color w:val="auto"/>
        </w:rPr>
      </w:pPr>
    </w:p>
    <w:p>
      <w:pPr>
        <w:jc w:val="both"/>
        <w:ind w:left="280"/>
        <w:spacing w:after="0" w:line="236" w:lineRule="auto"/>
        <w:rPr>
          <w:sz w:val="20"/>
          <w:szCs w:val="20"/>
          <w:color w:val="auto"/>
        </w:rPr>
      </w:pPr>
      <w:r>
        <w:rPr>
          <w:rFonts w:ascii="Arial" w:cs="Arial" w:eastAsia="Arial" w:hAnsi="Arial"/>
          <w:sz w:val="18"/>
          <w:szCs w:val="18"/>
          <w:color w:val="auto"/>
        </w:rPr>
        <w:t>Mr. Hess has almost 40 years of experience with the company. During his career, Mr. Hess has acquired in-depth knowledge of the company’s strategy and operations and the history of the company’s development, and he and his family have had a long-standing commitment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229235</wp:posOffset>
            </wp:positionV>
            <wp:extent cx="68935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93560" cy="1714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2140"/>
        <w:spacing w:after="0"/>
        <w:rPr>
          <w:sz w:val="20"/>
          <w:szCs w:val="20"/>
          <w:color w:val="auto"/>
        </w:rPr>
      </w:pPr>
      <w:r>
        <w:rPr>
          <w:rFonts w:ascii="Arial" w:cs="Arial" w:eastAsia="Arial" w:hAnsi="Arial"/>
          <w:sz w:val="21"/>
          <w:szCs w:val="21"/>
          <w:b w:val="1"/>
          <w:bCs w:val="1"/>
          <w:i w:val="1"/>
          <w:iCs w:val="1"/>
          <w:color w:val="auto"/>
        </w:rPr>
        <w:t>Edith E. Holiday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-81280</wp:posOffset>
            </wp:positionV>
            <wp:extent cx="6893560" cy="8108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93560" cy="810895"/>
                    </a:xfrm>
                    <a:prstGeom prst="rect">
                      <a:avLst/>
                    </a:prstGeom>
                    <a:noFill/>
                  </pic:spPr>
                </pic:pic>
              </a:graphicData>
            </a:graphic>
          </wp:anchor>
        </w:drawing>
      </w:r>
    </w:p>
    <w:p>
      <w:pPr>
        <w:spacing w:after="0" w:line="54"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Independent Director</w:t>
      </w:r>
    </w:p>
    <w:p>
      <w:pPr>
        <w:spacing w:after="0" w:line="7"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65</w:t>
      </w:r>
    </w:p>
    <w:p>
      <w:pPr>
        <w:ind w:left="2140"/>
        <w:spacing w:after="0" w:line="231" w:lineRule="auto"/>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1993</w:t>
      </w:r>
    </w:p>
    <w:p>
      <w:pPr>
        <w:ind w:left="2140"/>
        <w:spacing w:after="0" w:line="231" w:lineRule="auto"/>
        <w:rPr>
          <w:sz w:val="20"/>
          <w:szCs w:val="20"/>
          <w:color w:val="auto"/>
        </w:rPr>
      </w:pPr>
      <w:r>
        <w:rPr>
          <w:rFonts w:ascii="Arial" w:cs="Arial" w:eastAsia="Arial" w:hAnsi="Arial"/>
          <w:sz w:val="18"/>
          <w:szCs w:val="18"/>
          <w:b w:val="1"/>
          <w:bCs w:val="1"/>
          <w:color w:val="auto"/>
        </w:rPr>
        <w:t xml:space="preserve">Committees Served: </w:t>
      </w:r>
      <w:r>
        <w:rPr>
          <w:rFonts w:ascii="Arial" w:cs="Arial" w:eastAsia="Arial" w:hAnsi="Arial"/>
          <w:sz w:val="18"/>
          <w:szCs w:val="18"/>
          <w:color w:val="auto"/>
        </w:rPr>
        <w:t>Governance (Chair)</w:t>
      </w:r>
    </w:p>
    <w:p>
      <w:pPr>
        <w:spacing w:after="0" w:line="1" w:lineRule="exact"/>
        <w:rPr>
          <w:sz w:val="20"/>
          <w:szCs w:val="20"/>
          <w:color w:val="auto"/>
        </w:rPr>
      </w:pPr>
    </w:p>
    <w:p>
      <w:pPr>
        <w:ind w:left="2140"/>
        <w:spacing w:after="0" w:line="238" w:lineRule="auto"/>
        <w:rPr>
          <w:sz w:val="20"/>
          <w:szCs w:val="20"/>
          <w:color w:val="auto"/>
        </w:rPr>
      </w:pPr>
      <w:r>
        <w:rPr>
          <w:rFonts w:ascii="Arial" w:cs="Arial" w:eastAsia="Arial" w:hAnsi="Arial"/>
          <w:sz w:val="18"/>
          <w:szCs w:val="18"/>
          <w:b w:val="1"/>
          <w:bCs w:val="1"/>
          <w:color w:val="auto"/>
        </w:rPr>
        <w:t xml:space="preserve">Principal Occupation: </w:t>
      </w:r>
      <w:r>
        <w:rPr>
          <w:rFonts w:ascii="Arial" w:cs="Arial" w:eastAsia="Arial" w:hAnsi="Arial"/>
          <w:sz w:val="18"/>
          <w:szCs w:val="18"/>
          <w:color w:val="auto"/>
        </w:rPr>
        <w:t>Corporate Director and Trustee. Former Assistant to the President of the United States</w:t>
      </w:r>
      <w:r>
        <w:rPr>
          <w:rFonts w:ascii="Arial" w:cs="Arial" w:eastAsia="Arial" w:hAnsi="Arial"/>
          <w:sz w:val="18"/>
          <w:szCs w:val="18"/>
          <w:b w:val="1"/>
          <w:bCs w:val="1"/>
          <w:color w:val="auto"/>
        </w:rPr>
        <w:t xml:space="preserve"> </w:t>
      </w:r>
      <w:r>
        <w:rPr>
          <w:rFonts w:ascii="Arial" w:cs="Arial" w:eastAsia="Arial" w:hAnsi="Arial"/>
          <w:sz w:val="18"/>
          <w:szCs w:val="18"/>
          <w:color w:val="auto"/>
        </w:rPr>
        <w:t>and Secretary of the Cabinet and Former General Counsel, United States Department of the Treasury.</w:t>
      </w:r>
    </w:p>
    <w:p>
      <w:pPr>
        <w:spacing w:after="0" w:line="100" w:lineRule="exact"/>
        <w:rPr>
          <w:sz w:val="20"/>
          <w:szCs w:val="20"/>
          <w:color w:val="auto"/>
        </w:rPr>
      </w:pPr>
    </w:p>
    <w:p>
      <w:pPr>
        <w:jc w:val="both"/>
        <w:ind w:left="280"/>
        <w:spacing w:after="0" w:line="263" w:lineRule="auto"/>
        <w:rPr>
          <w:sz w:val="20"/>
          <w:szCs w:val="20"/>
          <w:color w:val="auto"/>
        </w:rPr>
      </w:pPr>
      <w:r>
        <w:rPr>
          <w:rFonts w:ascii="Arial" w:cs="Arial" w:eastAsia="Arial" w:hAnsi="Arial"/>
          <w:sz w:val="18"/>
          <w:szCs w:val="18"/>
          <w:b w:val="1"/>
          <w:bCs w:val="1"/>
          <w:color w:val="auto"/>
        </w:rPr>
        <w:t xml:space="preserve">Other Directorships: </w:t>
      </w:r>
      <w:r>
        <w:rPr>
          <w:rFonts w:ascii="Arial" w:cs="Arial" w:eastAsia="Arial" w:hAnsi="Arial"/>
          <w:sz w:val="18"/>
          <w:szCs w:val="18"/>
          <w:color w:val="auto"/>
        </w:rPr>
        <w:t>Canadian National Railway Company, White Mountains Insurance Group Ltd., Santander Consumer USA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director or trustee of various Franklin Templeton mutual funds. </w:t>
      </w:r>
      <w:r>
        <w:rPr>
          <w:rFonts w:ascii="Arial" w:cs="Arial" w:eastAsia="Arial" w:hAnsi="Arial"/>
          <w:sz w:val="18"/>
          <w:szCs w:val="18"/>
          <w:i w:val="1"/>
          <w:iCs w:val="1"/>
          <w:color w:val="auto"/>
        </w:rPr>
        <w:t>Former Director</w:t>
      </w:r>
      <w:r>
        <w:rPr>
          <w:rFonts w:ascii="Arial" w:cs="Arial" w:eastAsia="Arial" w:hAnsi="Arial"/>
          <w:sz w:val="18"/>
          <w:szCs w:val="18"/>
          <w:color w:val="auto"/>
        </w:rPr>
        <w:t>, RTI International, H.J. Heinz Company.</w:t>
      </w:r>
    </w:p>
    <w:p>
      <w:pPr>
        <w:spacing w:after="0" w:line="6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Skills and Experience</w:t>
      </w:r>
    </w:p>
    <w:p>
      <w:pPr>
        <w:spacing w:after="0" w:line="15" w:lineRule="exact"/>
        <w:rPr>
          <w:sz w:val="20"/>
          <w:szCs w:val="20"/>
          <w:color w:val="auto"/>
        </w:rPr>
      </w:pPr>
    </w:p>
    <w:p>
      <w:pPr>
        <w:jc w:val="both"/>
        <w:ind w:left="280"/>
        <w:spacing w:after="0" w:line="235" w:lineRule="auto"/>
        <w:rPr>
          <w:sz w:val="20"/>
          <w:szCs w:val="20"/>
          <w:color w:val="auto"/>
        </w:rPr>
      </w:pPr>
      <w:r>
        <w:rPr>
          <w:rFonts w:ascii="Arial" w:cs="Arial" w:eastAsia="Arial" w:hAnsi="Arial"/>
          <w:sz w:val="18"/>
          <w:szCs w:val="18"/>
          <w:color w:val="auto"/>
        </w:rPr>
        <w:t>Ms. Holiday brings deep public policy and governance expertise to the Hess board. The first woman to serve as General Counsel of the Treasury Department, Ms. Holiday possesses strong corporate governance and regulatory expertise, as well as legal and managerial experience in both the private and public sectors. She has also served in a directorship capacity across a diverse range of industries throughout her career. Ms. Holiday currently chairs our corporate governance and 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5115560</wp:posOffset>
            </wp:positionH>
            <wp:positionV relativeFrom="paragraph">
              <wp:posOffset>170180</wp:posOffset>
            </wp:positionV>
            <wp:extent cx="405765" cy="2451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341" w:lineRule="exact"/>
        <w:rPr>
          <w:sz w:val="20"/>
          <w:szCs w:val="20"/>
          <w:color w:val="auto"/>
        </w:rPr>
      </w:pPr>
    </w:p>
    <w:tbl>
      <w:tblPr>
        <w:tblLayout w:type="fixed"/>
        <w:tblInd w:w="9220" w:type="dxa"/>
        <w:tblCellMar>
          <w:top w:w="0" w:type="dxa"/>
          <w:left w:w="0" w:type="dxa"/>
          <w:bottom w:w="0" w:type="dxa"/>
          <w:right w:w="0" w:type="dxa"/>
        </w:tblCellMar>
      </w:tblPr>
      <w:tr>
        <w:trPr>
          <w:trHeight w:val="188"/>
        </w:trPr>
        <w:tc>
          <w:tcPr>
            <w:tcW w:w="1680" w:type="dxa"/>
            <w:vAlign w:val="bottom"/>
          </w:tcPr>
          <w:p>
            <w:pPr>
              <w:spacing w:after="0"/>
              <w:rPr>
                <w:sz w:val="20"/>
                <w:szCs w:val="20"/>
                <w:color w:val="auto"/>
              </w:rPr>
            </w:pPr>
            <w:r>
              <w:rPr>
                <w:rFonts w:ascii="Arial" w:cs="Arial" w:eastAsia="Arial" w:hAnsi="Arial"/>
                <w:sz w:val="12"/>
                <w:szCs w:val="12"/>
                <w:b w:val="1"/>
                <w:bCs w:val="1"/>
                <w:color w:val="666666"/>
              </w:rPr>
              <w:t>2018 PROXY STATEMENT</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007549"/>
              </w:rPr>
              <w:t>3</w:t>
            </w:r>
          </w:p>
        </w:tc>
      </w:tr>
    </w:tbl>
    <w:p>
      <w:pPr>
        <w:sectPr>
          <w:pgSz w:w="11900" w:h="16838" w:orient="portrait"/>
          <w:cols w:equalWidth="0" w:num="1">
            <w:col w:w="11140"/>
          </w:cols>
          <w:pgMar w:left="240" w:top="454" w:right="5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007549"/>
        </w:rPr>
        <w:t xml:space="preserve">Proposal 1: Election of Directors </w:t>
      </w:r>
      <w:r>
        <w:rPr>
          <w:rFonts w:ascii="Arial" w:cs="Arial" w:eastAsia="Arial" w:hAnsi="Arial"/>
          <w:sz w:val="16"/>
          <w:szCs w:val="16"/>
          <w:b w:val="1"/>
          <w:bCs w:val="1"/>
          <w:color w:val="000000"/>
        </w:rPr>
        <w:t>+ Nominees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55245</wp:posOffset>
            </wp:positionV>
            <wp:extent cx="68935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93560" cy="8255"/>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334010</wp:posOffset>
            </wp:positionV>
            <wp:extent cx="68935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93560" cy="1714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2020"/>
        <w:spacing w:after="0"/>
        <w:rPr>
          <w:sz w:val="20"/>
          <w:szCs w:val="20"/>
          <w:color w:val="auto"/>
        </w:rPr>
      </w:pPr>
      <w:r>
        <w:rPr>
          <w:rFonts w:ascii="Arial" w:cs="Arial" w:eastAsia="Arial" w:hAnsi="Arial"/>
          <w:sz w:val="21"/>
          <w:szCs w:val="21"/>
          <w:b w:val="1"/>
          <w:bCs w:val="1"/>
          <w:i w:val="1"/>
          <w:iCs w:val="1"/>
          <w:color w:val="auto"/>
        </w:rPr>
        <w:t>Risa Lavizzo-Mourey,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-81280</wp:posOffset>
            </wp:positionV>
            <wp:extent cx="6893560" cy="8108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93560" cy="810895"/>
                    </a:xfrm>
                    <a:prstGeom prst="rect">
                      <a:avLst/>
                    </a:prstGeom>
                    <a:noFill/>
                  </pic:spPr>
                </pic:pic>
              </a:graphicData>
            </a:graphic>
          </wp:anchor>
        </w:drawing>
      </w:r>
    </w:p>
    <w:p>
      <w:pPr>
        <w:spacing w:after="0" w:line="54"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Independent Director</w:t>
      </w:r>
    </w:p>
    <w:p>
      <w:pPr>
        <w:spacing w:after="0" w:line="7"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63</w:t>
      </w:r>
    </w:p>
    <w:p>
      <w:pPr>
        <w:ind w:left="2020"/>
        <w:spacing w:after="0" w:line="231" w:lineRule="auto"/>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2004</w:t>
      </w:r>
    </w:p>
    <w:p>
      <w:pPr>
        <w:ind w:left="2020"/>
        <w:spacing w:after="0" w:line="231" w:lineRule="auto"/>
        <w:rPr>
          <w:sz w:val="20"/>
          <w:szCs w:val="20"/>
          <w:color w:val="auto"/>
        </w:rPr>
      </w:pPr>
      <w:r>
        <w:rPr>
          <w:rFonts w:ascii="Arial" w:cs="Arial" w:eastAsia="Arial" w:hAnsi="Arial"/>
          <w:sz w:val="18"/>
          <w:szCs w:val="18"/>
          <w:b w:val="1"/>
          <w:bCs w:val="1"/>
          <w:color w:val="auto"/>
        </w:rPr>
        <w:t xml:space="preserve">Committees Served: </w:t>
      </w:r>
      <w:r>
        <w:rPr>
          <w:rFonts w:ascii="Arial" w:cs="Arial" w:eastAsia="Arial" w:hAnsi="Arial"/>
          <w:sz w:val="18"/>
          <w:szCs w:val="18"/>
          <w:color w:val="auto"/>
        </w:rPr>
        <w:t>Compensation (Chair)</w:t>
      </w:r>
    </w:p>
    <w:p>
      <w:pPr>
        <w:spacing w:after="0" w:line="1" w:lineRule="exact"/>
        <w:rPr>
          <w:sz w:val="20"/>
          <w:szCs w:val="20"/>
          <w:color w:val="auto"/>
        </w:rPr>
      </w:pPr>
    </w:p>
    <w:p>
      <w:pPr>
        <w:ind w:left="2020"/>
        <w:spacing w:after="0" w:line="238" w:lineRule="auto"/>
        <w:rPr>
          <w:sz w:val="20"/>
          <w:szCs w:val="20"/>
          <w:color w:val="auto"/>
        </w:rPr>
      </w:pPr>
      <w:r>
        <w:rPr>
          <w:rFonts w:ascii="Arial" w:cs="Arial" w:eastAsia="Arial" w:hAnsi="Arial"/>
          <w:sz w:val="18"/>
          <w:szCs w:val="18"/>
          <w:b w:val="1"/>
          <w:bCs w:val="1"/>
          <w:color w:val="auto"/>
        </w:rPr>
        <w:t xml:space="preserve">Principal Occupation: </w:t>
      </w:r>
      <w:r>
        <w:rPr>
          <w:rFonts w:ascii="Arial" w:cs="Arial" w:eastAsia="Arial" w:hAnsi="Arial"/>
          <w:sz w:val="18"/>
          <w:szCs w:val="18"/>
          <w:color w:val="auto"/>
        </w:rPr>
        <w:t>Penn Integrates Knowledge Professor, University of Pennsylvania; Former President and</w:t>
      </w:r>
      <w:r>
        <w:rPr>
          <w:rFonts w:ascii="Arial" w:cs="Arial" w:eastAsia="Arial" w:hAnsi="Arial"/>
          <w:sz w:val="18"/>
          <w:szCs w:val="18"/>
          <w:b w:val="1"/>
          <w:bCs w:val="1"/>
          <w:color w:val="auto"/>
        </w:rPr>
        <w:t xml:space="preserve"> </w:t>
      </w:r>
      <w:r>
        <w:rPr>
          <w:rFonts w:ascii="Arial" w:cs="Arial" w:eastAsia="Arial" w:hAnsi="Arial"/>
          <w:sz w:val="18"/>
          <w:szCs w:val="18"/>
          <w:color w:val="auto"/>
        </w:rPr>
        <w:t>Chief Executive Officer, The Robert Wood Johnson Foundation.</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 xml:space="preserve">Other Directorships: </w:t>
      </w:r>
      <w:r>
        <w:rPr>
          <w:rFonts w:ascii="Arial" w:cs="Arial" w:eastAsia="Arial" w:hAnsi="Arial"/>
          <w:sz w:val="18"/>
          <w:szCs w:val="18"/>
          <w:color w:val="auto"/>
        </w:rPr>
        <w:t>General Electric Company and Intel Corporation.</w:t>
      </w:r>
    </w:p>
    <w:p>
      <w:pPr>
        <w:spacing w:after="0" w:line="11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Skills and Experience</w:t>
      </w:r>
    </w:p>
    <w:p>
      <w:pPr>
        <w:spacing w:after="0" w:line="15" w:lineRule="exact"/>
        <w:rPr>
          <w:sz w:val="20"/>
          <w:szCs w:val="20"/>
          <w:color w:val="auto"/>
        </w:rPr>
      </w:pPr>
    </w:p>
    <w:p>
      <w:pPr>
        <w:jc w:val="both"/>
        <w:ind w:left="280"/>
        <w:spacing w:after="0" w:line="236" w:lineRule="auto"/>
        <w:rPr>
          <w:sz w:val="20"/>
          <w:szCs w:val="20"/>
          <w:color w:val="auto"/>
        </w:rPr>
      </w:pPr>
      <w:r>
        <w:rPr>
          <w:rFonts w:ascii="Arial" w:cs="Arial" w:eastAsia="Arial" w:hAnsi="Arial"/>
          <w:sz w:val="18"/>
          <w:szCs w:val="18"/>
          <w:color w:val="auto"/>
        </w:rPr>
        <w:t>Dr. Lavizzo-Mourey has decades of leadership and technical experience and has significant experience in the government, nonprofit and health care sectors. She also has significant experience as a director for several large public companies, including service on various committees. Dr. Lavizzo-Mourey currently chairs our compensation and management development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153670</wp:posOffset>
            </wp:positionV>
            <wp:extent cx="68935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93560" cy="17145"/>
                    </a:xfrm>
                    <a:prstGeom prst="rect">
                      <a:avLst/>
                    </a:prstGeom>
                    <a:noFill/>
                  </pic:spPr>
                </pic:pic>
              </a:graphicData>
            </a:graphic>
          </wp:anchor>
        </w:drawing>
      </w:r>
    </w:p>
    <w:p>
      <w:pPr>
        <w:spacing w:after="0" w:line="296" w:lineRule="exact"/>
        <w:rPr>
          <w:sz w:val="20"/>
          <w:szCs w:val="20"/>
          <w:color w:val="auto"/>
        </w:rPr>
      </w:pPr>
    </w:p>
    <w:p>
      <w:pPr>
        <w:ind w:left="2020"/>
        <w:spacing w:after="0"/>
        <w:rPr>
          <w:sz w:val="20"/>
          <w:szCs w:val="20"/>
          <w:color w:val="auto"/>
        </w:rPr>
      </w:pPr>
      <w:r>
        <w:rPr>
          <w:rFonts w:ascii="Arial" w:cs="Arial" w:eastAsia="Arial" w:hAnsi="Arial"/>
          <w:sz w:val="21"/>
          <w:szCs w:val="21"/>
          <w:b w:val="1"/>
          <w:bCs w:val="1"/>
          <w:i w:val="1"/>
          <w:iCs w:val="1"/>
          <w:color w:val="auto"/>
        </w:rPr>
        <w:t>Marc S. Lipschultz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-81280</wp:posOffset>
            </wp:positionV>
            <wp:extent cx="6893560" cy="8108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93560" cy="810895"/>
                    </a:xfrm>
                    <a:prstGeom prst="rect">
                      <a:avLst/>
                    </a:prstGeom>
                    <a:noFill/>
                  </pic:spPr>
                </pic:pic>
              </a:graphicData>
            </a:graphic>
          </wp:anchor>
        </w:drawing>
      </w:r>
    </w:p>
    <w:p>
      <w:pPr>
        <w:spacing w:after="0" w:line="54"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Independent Director</w:t>
      </w:r>
    </w:p>
    <w:p>
      <w:pPr>
        <w:spacing w:after="0" w:line="7"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49</w:t>
      </w:r>
    </w:p>
    <w:p>
      <w:pPr>
        <w:ind w:left="2020"/>
        <w:spacing w:after="0" w:line="231" w:lineRule="auto"/>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2016</w:t>
      </w:r>
    </w:p>
    <w:p>
      <w:pPr>
        <w:ind w:left="2020"/>
        <w:spacing w:after="0" w:line="231" w:lineRule="auto"/>
        <w:rPr>
          <w:sz w:val="20"/>
          <w:szCs w:val="20"/>
          <w:color w:val="auto"/>
        </w:rPr>
      </w:pPr>
      <w:r>
        <w:rPr>
          <w:rFonts w:ascii="Arial" w:cs="Arial" w:eastAsia="Arial" w:hAnsi="Arial"/>
          <w:sz w:val="18"/>
          <w:szCs w:val="18"/>
          <w:b w:val="1"/>
          <w:bCs w:val="1"/>
          <w:color w:val="auto"/>
        </w:rPr>
        <w:t xml:space="preserve">Committees Served: </w:t>
      </w:r>
      <w:r>
        <w:rPr>
          <w:rFonts w:ascii="Arial" w:cs="Arial" w:eastAsia="Arial" w:hAnsi="Arial"/>
          <w:sz w:val="18"/>
          <w:szCs w:val="18"/>
          <w:color w:val="auto"/>
        </w:rPr>
        <w:t>Compensation</w:t>
      </w:r>
    </w:p>
    <w:p>
      <w:pPr>
        <w:spacing w:after="0" w:line="1" w:lineRule="exact"/>
        <w:rPr>
          <w:sz w:val="20"/>
          <w:szCs w:val="20"/>
          <w:color w:val="auto"/>
        </w:rPr>
      </w:pPr>
    </w:p>
    <w:p>
      <w:pPr>
        <w:jc w:val="both"/>
        <w:ind w:left="2020"/>
        <w:spacing w:after="0" w:line="236" w:lineRule="auto"/>
        <w:rPr>
          <w:sz w:val="20"/>
          <w:szCs w:val="20"/>
          <w:color w:val="auto"/>
        </w:rPr>
      </w:pPr>
      <w:r>
        <w:rPr>
          <w:rFonts w:ascii="Arial" w:cs="Arial" w:eastAsia="Arial" w:hAnsi="Arial"/>
          <w:sz w:val="18"/>
          <w:szCs w:val="18"/>
          <w:b w:val="1"/>
          <w:bCs w:val="1"/>
          <w:color w:val="auto"/>
        </w:rPr>
        <w:t xml:space="preserve">Principal Occupation: </w:t>
      </w:r>
      <w:r>
        <w:rPr>
          <w:rFonts w:ascii="Arial" w:cs="Arial" w:eastAsia="Arial" w:hAnsi="Arial"/>
          <w:sz w:val="18"/>
          <w:szCs w:val="18"/>
          <w:color w:val="auto"/>
        </w:rPr>
        <w:t>Co-founder and President of Owl Rock Capital Partners and Co-Chief Investment Officer of</w:t>
      </w:r>
      <w:r>
        <w:rPr>
          <w:rFonts w:ascii="Arial" w:cs="Arial" w:eastAsia="Arial" w:hAnsi="Arial"/>
          <w:sz w:val="18"/>
          <w:szCs w:val="18"/>
          <w:b w:val="1"/>
          <w:bCs w:val="1"/>
          <w:color w:val="auto"/>
        </w:rPr>
        <w:t xml:space="preserve"> </w:t>
      </w:r>
      <w:r>
        <w:rPr>
          <w:rFonts w:ascii="Arial" w:cs="Arial" w:eastAsia="Arial" w:hAnsi="Arial"/>
          <w:sz w:val="18"/>
          <w:szCs w:val="18"/>
          <w:color w:val="auto"/>
        </w:rPr>
        <w:t>Owl Rock Capital Advisors. Mr. Lipschultz served as Global Head of Energy and Infrastructure at KKR &amp; Co. LP, from 1995 to 2016 prior to founding Owl Rock.</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Skills and Experience</w:t>
      </w:r>
    </w:p>
    <w:p>
      <w:pPr>
        <w:spacing w:after="0" w:line="15" w:lineRule="exact"/>
        <w:rPr>
          <w:sz w:val="20"/>
          <w:szCs w:val="20"/>
          <w:color w:val="auto"/>
        </w:rPr>
      </w:pPr>
    </w:p>
    <w:p>
      <w:pPr>
        <w:jc w:val="both"/>
        <w:ind w:left="280"/>
        <w:spacing w:after="0" w:line="236" w:lineRule="auto"/>
        <w:rPr>
          <w:sz w:val="20"/>
          <w:szCs w:val="20"/>
          <w:color w:val="auto"/>
        </w:rPr>
      </w:pPr>
      <w:r>
        <w:rPr>
          <w:rFonts w:ascii="Arial" w:cs="Arial" w:eastAsia="Arial" w:hAnsi="Arial"/>
          <w:sz w:val="18"/>
          <w:szCs w:val="18"/>
          <w:color w:val="auto"/>
        </w:rPr>
        <w:t>Mr. Lipschultz brings significant energy, infrastructure, investment, finance and management experience to the Hess board after two decades at KKR &amp; Co., L.P. including as the Global Head of Energy and Infrastructure, as well as his current leadership position at Owl Rock, the investment firm that he co-founded.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229235</wp:posOffset>
            </wp:positionV>
            <wp:extent cx="68935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93560" cy="1714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2020"/>
        <w:spacing w:after="0"/>
        <w:rPr>
          <w:sz w:val="20"/>
          <w:szCs w:val="20"/>
          <w:color w:val="auto"/>
        </w:rPr>
      </w:pPr>
      <w:r>
        <w:rPr>
          <w:rFonts w:ascii="Arial" w:cs="Arial" w:eastAsia="Arial" w:hAnsi="Arial"/>
          <w:sz w:val="21"/>
          <w:szCs w:val="21"/>
          <w:b w:val="1"/>
          <w:bCs w:val="1"/>
          <w:i w:val="1"/>
          <w:iCs w:val="1"/>
          <w:color w:val="auto"/>
        </w:rPr>
        <w:t>David McManus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-81280</wp:posOffset>
            </wp:positionV>
            <wp:extent cx="6893560" cy="8108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93560" cy="810895"/>
                    </a:xfrm>
                    <a:prstGeom prst="rect">
                      <a:avLst/>
                    </a:prstGeom>
                    <a:noFill/>
                  </pic:spPr>
                </pic:pic>
              </a:graphicData>
            </a:graphic>
          </wp:anchor>
        </w:drawing>
      </w:r>
    </w:p>
    <w:p>
      <w:pPr>
        <w:spacing w:after="0" w:line="54"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Independent Director</w:t>
      </w:r>
    </w:p>
    <w:p>
      <w:pPr>
        <w:spacing w:after="0" w:line="7"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64</w:t>
      </w:r>
    </w:p>
    <w:p>
      <w:pPr>
        <w:ind w:left="2020"/>
        <w:spacing w:after="0" w:line="231" w:lineRule="auto"/>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2013</w:t>
      </w:r>
    </w:p>
    <w:p>
      <w:pPr>
        <w:ind w:left="2020"/>
        <w:spacing w:after="0" w:line="231" w:lineRule="auto"/>
        <w:rPr>
          <w:sz w:val="20"/>
          <w:szCs w:val="20"/>
          <w:color w:val="auto"/>
        </w:rPr>
      </w:pPr>
      <w:r>
        <w:rPr>
          <w:rFonts w:ascii="Arial" w:cs="Arial" w:eastAsia="Arial" w:hAnsi="Arial"/>
          <w:sz w:val="18"/>
          <w:szCs w:val="18"/>
          <w:b w:val="1"/>
          <w:bCs w:val="1"/>
          <w:color w:val="auto"/>
        </w:rPr>
        <w:t xml:space="preserve">Committees Served: </w:t>
      </w:r>
      <w:r>
        <w:rPr>
          <w:rFonts w:ascii="Arial" w:cs="Arial" w:eastAsia="Arial" w:hAnsi="Arial"/>
          <w:sz w:val="18"/>
          <w:szCs w:val="18"/>
          <w:color w:val="auto"/>
        </w:rPr>
        <w:t>Compensation, EHS</w:t>
      </w:r>
    </w:p>
    <w:p>
      <w:pPr>
        <w:spacing w:after="0" w:line="1" w:lineRule="exact"/>
        <w:rPr>
          <w:sz w:val="20"/>
          <w:szCs w:val="20"/>
          <w:color w:val="auto"/>
        </w:rPr>
      </w:pPr>
    </w:p>
    <w:p>
      <w:pPr>
        <w:ind w:left="2020"/>
        <w:spacing w:after="0" w:line="238" w:lineRule="auto"/>
        <w:rPr>
          <w:sz w:val="20"/>
          <w:szCs w:val="20"/>
          <w:color w:val="auto"/>
        </w:rPr>
      </w:pPr>
      <w:r>
        <w:rPr>
          <w:rFonts w:ascii="Arial" w:cs="Arial" w:eastAsia="Arial" w:hAnsi="Arial"/>
          <w:sz w:val="18"/>
          <w:szCs w:val="18"/>
          <w:b w:val="1"/>
          <w:bCs w:val="1"/>
          <w:color w:val="auto"/>
        </w:rPr>
        <w:t xml:space="preserve">Principal Occupation: </w:t>
      </w:r>
      <w:r>
        <w:rPr>
          <w:rFonts w:ascii="Arial" w:cs="Arial" w:eastAsia="Arial" w:hAnsi="Arial"/>
          <w:sz w:val="18"/>
          <w:szCs w:val="18"/>
          <w:color w:val="auto"/>
        </w:rPr>
        <w:t>Former Executive Vice President and Head of International Operations, Pioneer Natural</w:t>
      </w:r>
      <w:r>
        <w:rPr>
          <w:rFonts w:ascii="Arial" w:cs="Arial" w:eastAsia="Arial" w:hAnsi="Arial"/>
          <w:sz w:val="18"/>
          <w:szCs w:val="18"/>
          <w:b w:val="1"/>
          <w:bCs w:val="1"/>
          <w:color w:val="auto"/>
        </w:rPr>
        <w:t xml:space="preserve"> </w:t>
      </w:r>
      <w:r>
        <w:rPr>
          <w:rFonts w:ascii="Arial" w:cs="Arial" w:eastAsia="Arial" w:hAnsi="Arial"/>
          <w:sz w:val="18"/>
          <w:szCs w:val="18"/>
          <w:color w:val="auto"/>
        </w:rPr>
        <w:t>Resources Co.</w:t>
      </w:r>
    </w:p>
    <w:p>
      <w:pPr>
        <w:spacing w:after="0" w:line="86" w:lineRule="exact"/>
        <w:rPr>
          <w:sz w:val="20"/>
          <w:szCs w:val="20"/>
          <w:color w:val="auto"/>
        </w:rPr>
      </w:pPr>
    </w:p>
    <w:p>
      <w:pPr>
        <w:ind w:left="280" w:right="520"/>
        <w:spacing w:after="0" w:line="313" w:lineRule="auto"/>
        <w:rPr>
          <w:sz w:val="20"/>
          <w:szCs w:val="20"/>
          <w:color w:val="auto"/>
        </w:rPr>
      </w:pPr>
      <w:r>
        <w:rPr>
          <w:rFonts w:ascii="Arial" w:cs="Arial" w:eastAsia="Arial" w:hAnsi="Arial"/>
          <w:sz w:val="18"/>
          <w:szCs w:val="18"/>
          <w:b w:val="1"/>
          <w:bCs w:val="1"/>
          <w:color w:val="auto"/>
        </w:rPr>
        <w:t xml:space="preserve">Other Directorships: </w:t>
      </w:r>
      <w:r>
        <w:rPr>
          <w:rFonts w:ascii="Arial" w:cs="Arial" w:eastAsia="Arial" w:hAnsi="Arial"/>
          <w:sz w:val="18"/>
          <w:szCs w:val="18"/>
          <w:color w:val="auto"/>
        </w:rPr>
        <w:t>FLEX LNG Limited, Rockhopper Exploration plc and Costain Group plc.</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Former Director</w:t>
      </w:r>
      <w:r>
        <w:rPr>
          <w:rFonts w:ascii="Arial" w:cs="Arial" w:eastAsia="Arial" w:hAnsi="Arial"/>
          <w:sz w:val="18"/>
          <w:szCs w:val="18"/>
          <w:color w:val="auto"/>
        </w:rPr>
        <w:t>, Caza Oil &amp; Gas Inc.</w:t>
      </w:r>
      <w:r>
        <w:rPr>
          <w:rFonts w:ascii="Arial" w:cs="Arial" w:eastAsia="Arial" w:hAnsi="Arial"/>
          <w:sz w:val="18"/>
          <w:szCs w:val="18"/>
          <w:b w:val="1"/>
          <w:bCs w:val="1"/>
          <w:color w:val="auto"/>
        </w:rPr>
        <w:t xml:space="preserve"> Skills and Experience</w:t>
      </w:r>
    </w:p>
    <w:p>
      <w:pPr>
        <w:spacing w:after="0" w:line="1" w:lineRule="exact"/>
        <w:rPr>
          <w:sz w:val="20"/>
          <w:szCs w:val="20"/>
          <w:color w:val="auto"/>
        </w:rPr>
      </w:pPr>
    </w:p>
    <w:p>
      <w:pPr>
        <w:jc w:val="both"/>
        <w:ind w:left="280" w:right="20"/>
        <w:spacing w:after="0" w:line="238" w:lineRule="auto"/>
        <w:rPr>
          <w:sz w:val="20"/>
          <w:szCs w:val="20"/>
          <w:color w:val="auto"/>
        </w:rPr>
      </w:pPr>
      <w:r>
        <w:rPr>
          <w:rFonts w:ascii="Arial" w:cs="Arial" w:eastAsia="Arial" w:hAnsi="Arial"/>
          <w:sz w:val="18"/>
          <w:szCs w:val="18"/>
          <w:color w:val="auto"/>
        </w:rPr>
        <w:t>Mr. McManus is an experienced international business leader in the energy industry and provides the Hess board with oil and gas project management and commercial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229870</wp:posOffset>
            </wp:positionV>
            <wp:extent cx="68935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93560" cy="1714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2020"/>
        <w:spacing w:after="0"/>
        <w:rPr>
          <w:sz w:val="20"/>
          <w:szCs w:val="20"/>
          <w:color w:val="auto"/>
        </w:rPr>
      </w:pPr>
      <w:r>
        <w:rPr>
          <w:rFonts w:ascii="Arial" w:cs="Arial" w:eastAsia="Arial" w:hAnsi="Arial"/>
          <w:sz w:val="21"/>
          <w:szCs w:val="21"/>
          <w:b w:val="1"/>
          <w:bCs w:val="1"/>
          <w:i w:val="1"/>
          <w:iCs w:val="1"/>
          <w:color w:val="auto"/>
        </w:rPr>
        <w:t>Kevin O. Meyers,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-81280</wp:posOffset>
            </wp:positionV>
            <wp:extent cx="6893560" cy="8108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93560" cy="810895"/>
                    </a:xfrm>
                    <a:prstGeom prst="rect">
                      <a:avLst/>
                    </a:prstGeom>
                    <a:noFill/>
                  </pic:spPr>
                </pic:pic>
              </a:graphicData>
            </a:graphic>
          </wp:anchor>
        </w:drawing>
      </w:r>
    </w:p>
    <w:p>
      <w:pPr>
        <w:spacing w:after="0" w:line="54"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Independent Director</w:t>
      </w:r>
    </w:p>
    <w:p>
      <w:pPr>
        <w:spacing w:after="0" w:line="7"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64</w:t>
      </w:r>
    </w:p>
    <w:p>
      <w:pPr>
        <w:ind w:left="2020"/>
        <w:spacing w:after="0" w:line="231" w:lineRule="auto"/>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2013</w:t>
      </w:r>
    </w:p>
    <w:p>
      <w:pPr>
        <w:ind w:left="2020"/>
        <w:spacing w:after="0" w:line="231" w:lineRule="auto"/>
        <w:rPr>
          <w:sz w:val="20"/>
          <w:szCs w:val="20"/>
          <w:color w:val="auto"/>
        </w:rPr>
      </w:pPr>
      <w:r>
        <w:rPr>
          <w:rFonts w:ascii="Arial" w:cs="Arial" w:eastAsia="Arial" w:hAnsi="Arial"/>
          <w:sz w:val="18"/>
          <w:szCs w:val="18"/>
          <w:b w:val="1"/>
          <w:bCs w:val="1"/>
          <w:color w:val="auto"/>
        </w:rPr>
        <w:t xml:space="preserve">Committees Served: </w:t>
      </w:r>
      <w:r>
        <w:rPr>
          <w:rFonts w:ascii="Arial" w:cs="Arial" w:eastAsia="Arial" w:hAnsi="Arial"/>
          <w:sz w:val="18"/>
          <w:szCs w:val="18"/>
          <w:color w:val="auto"/>
        </w:rPr>
        <w:t>EHS (Chair), Audit</w:t>
      </w:r>
    </w:p>
    <w:p>
      <w:pPr>
        <w:spacing w:after="0" w:line="1" w:lineRule="exact"/>
        <w:rPr>
          <w:sz w:val="20"/>
          <w:szCs w:val="20"/>
          <w:color w:val="auto"/>
        </w:rPr>
      </w:pPr>
    </w:p>
    <w:p>
      <w:pPr>
        <w:ind w:left="2020" w:right="320"/>
        <w:spacing w:after="0" w:line="238" w:lineRule="auto"/>
        <w:rPr>
          <w:sz w:val="20"/>
          <w:szCs w:val="20"/>
          <w:color w:val="auto"/>
        </w:rPr>
      </w:pPr>
      <w:r>
        <w:rPr>
          <w:rFonts w:ascii="Arial" w:cs="Arial" w:eastAsia="Arial" w:hAnsi="Arial"/>
          <w:sz w:val="18"/>
          <w:szCs w:val="18"/>
          <w:b w:val="1"/>
          <w:bCs w:val="1"/>
          <w:color w:val="auto"/>
        </w:rPr>
        <w:t xml:space="preserve">Principal Occupation: </w:t>
      </w:r>
      <w:r>
        <w:rPr>
          <w:rFonts w:ascii="Arial" w:cs="Arial" w:eastAsia="Arial" w:hAnsi="Arial"/>
          <w:sz w:val="18"/>
          <w:szCs w:val="18"/>
          <w:color w:val="auto"/>
        </w:rPr>
        <w:t>Independent Energy Consultant. Former Senior Vice President of E&amp;P for the Americas,</w:t>
      </w:r>
      <w:r>
        <w:rPr>
          <w:rFonts w:ascii="Arial" w:cs="Arial" w:eastAsia="Arial" w:hAnsi="Arial"/>
          <w:sz w:val="18"/>
          <w:szCs w:val="18"/>
          <w:b w:val="1"/>
          <w:bCs w:val="1"/>
          <w:color w:val="auto"/>
        </w:rPr>
        <w:t xml:space="preserve"> </w:t>
      </w:r>
      <w:r>
        <w:rPr>
          <w:rFonts w:ascii="Arial" w:cs="Arial" w:eastAsia="Arial" w:hAnsi="Arial"/>
          <w:sz w:val="18"/>
          <w:szCs w:val="18"/>
          <w:color w:val="auto"/>
        </w:rPr>
        <w:t>ConocoPhillips.</w:t>
      </w:r>
    </w:p>
    <w:p>
      <w:pPr>
        <w:spacing w:after="0" w:line="86" w:lineRule="exact"/>
        <w:rPr>
          <w:sz w:val="20"/>
          <w:szCs w:val="20"/>
          <w:color w:val="auto"/>
        </w:rPr>
      </w:pPr>
    </w:p>
    <w:p>
      <w:pPr>
        <w:jc w:val="both"/>
        <w:ind w:left="280"/>
        <w:spacing w:after="0" w:line="263" w:lineRule="auto"/>
        <w:rPr>
          <w:sz w:val="20"/>
          <w:szCs w:val="20"/>
          <w:color w:val="auto"/>
        </w:rPr>
      </w:pPr>
      <w:r>
        <w:rPr>
          <w:rFonts w:ascii="Arial" w:cs="Arial" w:eastAsia="Arial" w:hAnsi="Arial"/>
          <w:sz w:val="18"/>
          <w:szCs w:val="18"/>
          <w:b w:val="1"/>
          <w:bCs w:val="1"/>
          <w:color w:val="auto"/>
        </w:rPr>
        <w:t xml:space="preserve">Other Directorships: </w:t>
      </w:r>
      <w:r>
        <w:rPr>
          <w:rFonts w:ascii="Arial" w:cs="Arial" w:eastAsia="Arial" w:hAnsi="Arial"/>
          <w:sz w:val="18"/>
          <w:szCs w:val="18"/>
          <w:color w:val="auto"/>
        </w:rPr>
        <w:t>Denbury Resources Inc., Hornbeck Offshore Services, Inc. and Precision Drilling Corporation,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Former Director</w:t>
      </w:r>
      <w:r>
        <w:rPr>
          <w:rFonts w:ascii="Arial" w:cs="Arial" w:eastAsia="Arial" w:hAnsi="Arial"/>
          <w:sz w:val="18"/>
          <w:szCs w:val="18"/>
          <w:color w:val="auto"/>
        </w:rPr>
        <w:t>, Bill</w:t>
      </w:r>
      <w:r>
        <w:rPr>
          <w:rFonts w:ascii="Arial" w:cs="Arial" w:eastAsia="Arial" w:hAnsi="Arial"/>
          <w:sz w:val="18"/>
          <w:szCs w:val="18"/>
          <w:b w:val="1"/>
          <w:bCs w:val="1"/>
          <w:color w:val="auto"/>
        </w:rPr>
        <w:t xml:space="preserve"> </w:t>
      </w:r>
      <w:r>
        <w:rPr>
          <w:rFonts w:ascii="Arial" w:cs="Arial" w:eastAsia="Arial" w:hAnsi="Arial"/>
          <w:sz w:val="18"/>
          <w:szCs w:val="18"/>
          <w:color w:val="auto"/>
        </w:rPr>
        <w:t>Barrett Corporation.</w:t>
      </w:r>
    </w:p>
    <w:p>
      <w:pPr>
        <w:spacing w:after="0" w:line="6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Skills and Experience</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Dr. Meyers has over 30 years of experience in exploration and production, both domestic and international. Based on this experience, Dr.</w:t>
      </w:r>
    </w:p>
    <w:p>
      <w:pPr>
        <w:ind w:left="280"/>
        <w:spacing w:after="0" w:line="236" w:lineRule="auto"/>
        <w:rPr>
          <w:sz w:val="20"/>
          <w:szCs w:val="20"/>
          <w:color w:val="auto"/>
        </w:rPr>
      </w:pPr>
      <w:r>
        <w:rPr>
          <w:rFonts w:ascii="Arial" w:cs="Arial" w:eastAsia="Arial" w:hAnsi="Arial"/>
          <w:sz w:val="18"/>
          <w:szCs w:val="18"/>
          <w:color w:val="auto"/>
        </w:rPr>
        <w:t>Meyers brings to the Hess board decades of managing E&amp;P operations in geographies directly relevant to Hess’ focused E&amp;P portfolio.</w:t>
      </w:r>
    </w:p>
    <w:p>
      <w:pPr>
        <w:ind w:left="280"/>
        <w:spacing w:after="0"/>
        <w:rPr>
          <w:sz w:val="20"/>
          <w:szCs w:val="20"/>
          <w:color w:val="auto"/>
        </w:rPr>
      </w:pPr>
      <w:r>
        <w:rPr>
          <w:rFonts w:ascii="Arial" w:cs="Arial" w:eastAsia="Arial" w:hAnsi="Arial"/>
          <w:sz w:val="18"/>
          <w:szCs w:val="18"/>
          <w:color w:val="auto"/>
        </w:rPr>
        <w:t>Dr. Meyers serves as the chair of the environmental, health and safety subcommittee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1769745</wp:posOffset>
            </wp:positionH>
            <wp:positionV relativeFrom="paragraph">
              <wp:posOffset>173355</wp:posOffset>
            </wp:positionV>
            <wp:extent cx="405765" cy="2451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353" w:lineRule="exact"/>
        <w:rPr>
          <w:sz w:val="20"/>
          <w:szCs w:val="20"/>
          <w:color w:val="auto"/>
        </w:rPr>
      </w:pPr>
    </w:p>
    <w:p>
      <w:pPr>
        <w:ind w:left="680" w:hanging="394"/>
        <w:spacing w:after="0"/>
        <w:tabs>
          <w:tab w:leader="none" w:pos="680" w:val="left"/>
        </w:tabs>
        <w:numPr>
          <w:ilvl w:val="0"/>
          <w:numId w:val="18"/>
        </w:numPr>
        <w:rPr>
          <w:rFonts w:ascii="Arial" w:cs="Arial" w:eastAsia="Arial" w:hAnsi="Arial"/>
          <w:sz w:val="14"/>
          <w:szCs w:val="14"/>
          <w:b w:val="1"/>
          <w:bCs w:val="1"/>
          <w:color w:val="007549"/>
        </w:rPr>
      </w:pPr>
      <w:r>
        <w:rPr>
          <w:rFonts w:ascii="Arial" w:cs="Arial" w:eastAsia="Arial" w:hAnsi="Arial"/>
          <w:sz w:val="12"/>
          <w:szCs w:val="12"/>
          <w:b w:val="1"/>
          <w:bCs w:val="1"/>
          <w:color w:val="666666"/>
        </w:rPr>
        <w:t>2018 PROXY STATEMENT</w:t>
      </w:r>
    </w:p>
    <w:p>
      <w:pPr>
        <w:sectPr>
          <w:pgSz w:w="11900" w:h="16838" w:orient="portrait"/>
          <w:cols w:equalWidth="0" w:num="1">
            <w:col w:w="11140"/>
          </w:cols>
          <w:pgMar w:left="240" w:top="454" w:right="5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7549"/>
        </w:rPr>
        <w:t xml:space="preserve">Proposal 1: Election of Directors </w:t>
      </w:r>
      <w:r>
        <w:rPr>
          <w:rFonts w:ascii="Arial" w:cs="Arial" w:eastAsia="Arial" w:hAnsi="Arial"/>
          <w:sz w:val="16"/>
          <w:szCs w:val="16"/>
          <w:b w:val="1"/>
          <w:bCs w:val="1"/>
          <w:color w:val="000000"/>
        </w:rPr>
        <w:t>+ Nominees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55245</wp:posOffset>
            </wp:positionV>
            <wp:extent cx="68935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93560" cy="8255"/>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334010</wp:posOffset>
            </wp:positionV>
            <wp:extent cx="68935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93560" cy="1714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2020"/>
        <w:spacing w:after="0"/>
        <w:rPr>
          <w:sz w:val="20"/>
          <w:szCs w:val="20"/>
          <w:color w:val="auto"/>
        </w:rPr>
      </w:pPr>
      <w:r>
        <w:rPr>
          <w:rFonts w:ascii="Arial" w:cs="Arial" w:eastAsia="Arial" w:hAnsi="Arial"/>
          <w:sz w:val="21"/>
          <w:szCs w:val="21"/>
          <w:b w:val="1"/>
          <w:bCs w:val="1"/>
          <w:i w:val="1"/>
          <w:iCs w:val="1"/>
          <w:color w:val="auto"/>
        </w:rPr>
        <w:t>James H. Quigley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-81280</wp:posOffset>
            </wp:positionV>
            <wp:extent cx="6893560" cy="8108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93560" cy="810895"/>
                    </a:xfrm>
                    <a:prstGeom prst="rect">
                      <a:avLst/>
                    </a:prstGeom>
                    <a:noFill/>
                  </pic:spPr>
                </pic:pic>
              </a:graphicData>
            </a:graphic>
          </wp:anchor>
        </w:drawing>
      </w:r>
    </w:p>
    <w:p>
      <w:pPr>
        <w:spacing w:after="0" w:line="54"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007549"/>
        </w:rPr>
        <w:t>Independent Chair</w:t>
      </w:r>
    </w:p>
    <w:p>
      <w:pPr>
        <w:spacing w:after="0" w:line="7"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65</w:t>
      </w:r>
    </w:p>
    <w:p>
      <w:pPr>
        <w:ind w:left="2020"/>
        <w:spacing w:after="0" w:line="231" w:lineRule="auto"/>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2013</w:t>
      </w:r>
    </w:p>
    <w:p>
      <w:pPr>
        <w:ind w:left="2020"/>
        <w:spacing w:after="0" w:line="231" w:lineRule="auto"/>
        <w:rPr>
          <w:sz w:val="20"/>
          <w:szCs w:val="20"/>
          <w:color w:val="auto"/>
        </w:rPr>
      </w:pPr>
      <w:r>
        <w:rPr>
          <w:rFonts w:ascii="Arial" w:cs="Arial" w:eastAsia="Arial" w:hAnsi="Arial"/>
          <w:sz w:val="18"/>
          <w:szCs w:val="18"/>
          <w:b w:val="1"/>
          <w:bCs w:val="1"/>
          <w:color w:val="auto"/>
        </w:rPr>
        <w:t xml:space="preserve">Committees Served: </w:t>
      </w:r>
      <w:r>
        <w:rPr>
          <w:rFonts w:ascii="Arial" w:cs="Arial" w:eastAsia="Arial" w:hAnsi="Arial"/>
          <w:sz w:val="18"/>
          <w:szCs w:val="18"/>
          <w:color w:val="auto"/>
        </w:rPr>
        <w:t>Compensation</w:t>
      </w:r>
    </w:p>
    <w:p>
      <w:pPr>
        <w:spacing w:after="0" w:line="1" w:lineRule="exact"/>
        <w:rPr>
          <w:sz w:val="20"/>
          <w:szCs w:val="20"/>
          <w:color w:val="auto"/>
        </w:rPr>
      </w:pPr>
    </w:p>
    <w:p>
      <w:pPr>
        <w:ind w:left="2020"/>
        <w:spacing w:after="0" w:line="238" w:lineRule="auto"/>
        <w:rPr>
          <w:sz w:val="20"/>
          <w:szCs w:val="20"/>
          <w:color w:val="auto"/>
        </w:rPr>
      </w:pPr>
      <w:r>
        <w:rPr>
          <w:rFonts w:ascii="Arial" w:cs="Arial" w:eastAsia="Arial" w:hAnsi="Arial"/>
          <w:sz w:val="18"/>
          <w:szCs w:val="18"/>
          <w:b w:val="1"/>
          <w:bCs w:val="1"/>
          <w:color w:val="auto"/>
        </w:rPr>
        <w:t xml:space="preserve">Principal Occupation: </w:t>
      </w:r>
      <w:r>
        <w:rPr>
          <w:rFonts w:ascii="Arial" w:cs="Arial" w:eastAsia="Arial" w:hAnsi="Arial"/>
          <w:sz w:val="18"/>
          <w:szCs w:val="18"/>
          <w:color w:val="auto"/>
        </w:rPr>
        <w:t>Chairman of the Board of Hess Corporation; Former Chief Executive Officer, Deloitte,</w:t>
      </w:r>
      <w:r>
        <w:rPr>
          <w:rFonts w:ascii="Arial" w:cs="Arial" w:eastAsia="Arial" w:hAnsi="Arial"/>
          <w:sz w:val="18"/>
          <w:szCs w:val="18"/>
          <w:b w:val="1"/>
          <w:bCs w:val="1"/>
          <w:color w:val="auto"/>
        </w:rPr>
        <w:t xml:space="preserve"> </w:t>
      </w:r>
      <w:r>
        <w:rPr>
          <w:rFonts w:ascii="Arial" w:cs="Arial" w:eastAsia="Arial" w:hAnsi="Arial"/>
          <w:sz w:val="18"/>
          <w:szCs w:val="18"/>
          <w:color w:val="auto"/>
        </w:rPr>
        <w:t>Touche Tohmatsu Limited.</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 xml:space="preserve">Other Directorships: </w:t>
      </w:r>
      <w:r>
        <w:rPr>
          <w:rFonts w:ascii="Arial" w:cs="Arial" w:eastAsia="Arial" w:hAnsi="Arial"/>
          <w:sz w:val="18"/>
          <w:szCs w:val="18"/>
          <w:color w:val="auto"/>
        </w:rPr>
        <w:t>Merrimack Pharmaceuticals Inc. and Wells Fargo &amp; Company.</w:t>
      </w:r>
    </w:p>
    <w:p>
      <w:pPr>
        <w:spacing w:after="0" w:line="11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Skills and Experience</w:t>
      </w:r>
    </w:p>
    <w:p>
      <w:pPr>
        <w:spacing w:after="0" w:line="15" w:lineRule="exact"/>
        <w:rPr>
          <w:sz w:val="20"/>
          <w:szCs w:val="20"/>
          <w:color w:val="auto"/>
        </w:rPr>
      </w:pPr>
    </w:p>
    <w:p>
      <w:pPr>
        <w:jc w:val="both"/>
        <w:ind w:left="280"/>
        <w:spacing w:after="0" w:line="235" w:lineRule="auto"/>
        <w:rPr>
          <w:sz w:val="20"/>
          <w:szCs w:val="20"/>
          <w:color w:val="auto"/>
        </w:rPr>
      </w:pPr>
      <w:r>
        <w:rPr>
          <w:rFonts w:ascii="Arial" w:cs="Arial" w:eastAsia="Arial" w:hAnsi="Arial"/>
          <w:sz w:val="18"/>
          <w:szCs w:val="18"/>
          <w:color w:val="auto"/>
        </w:rPr>
        <w:t>Mr. Quigley led Deloitte, Touche Tohmatsu Limited, one of the world’s largest accounting and consulting firms. During his 38 years at Deloitte, he was a trusted consultant on strategic leadership and operating matters to senior management teams of multinational companies across multiple industries. He brings to the Hess board significant leadership and governance experience, on a global scale, and knowledge of financial, tax and regulatory matters that are relevant to Hess’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229235</wp:posOffset>
            </wp:positionV>
            <wp:extent cx="68935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93560" cy="1714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2020"/>
        <w:spacing w:after="0"/>
        <w:rPr>
          <w:sz w:val="20"/>
          <w:szCs w:val="20"/>
          <w:color w:val="auto"/>
        </w:rPr>
      </w:pPr>
      <w:r>
        <w:rPr>
          <w:rFonts w:ascii="Arial" w:cs="Arial" w:eastAsia="Arial" w:hAnsi="Arial"/>
          <w:sz w:val="21"/>
          <w:szCs w:val="21"/>
          <w:b w:val="1"/>
          <w:bCs w:val="1"/>
          <w:i w:val="1"/>
          <w:iCs w:val="1"/>
          <w:color w:val="auto"/>
        </w:rPr>
        <w:t>Fredric G. Reynolds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-81280</wp:posOffset>
            </wp:positionV>
            <wp:extent cx="6893560" cy="8108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93560" cy="810895"/>
                    </a:xfrm>
                    <a:prstGeom prst="rect">
                      <a:avLst/>
                    </a:prstGeom>
                    <a:noFill/>
                  </pic:spPr>
                </pic:pic>
              </a:graphicData>
            </a:graphic>
          </wp:anchor>
        </w:drawing>
      </w:r>
    </w:p>
    <w:p>
      <w:pPr>
        <w:spacing w:after="0" w:line="54"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Independent Director</w:t>
      </w:r>
    </w:p>
    <w:p>
      <w:pPr>
        <w:spacing w:after="0" w:line="7"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67</w:t>
      </w:r>
    </w:p>
    <w:p>
      <w:pPr>
        <w:ind w:left="2020"/>
        <w:spacing w:after="0" w:line="231" w:lineRule="auto"/>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2013</w:t>
      </w:r>
    </w:p>
    <w:p>
      <w:pPr>
        <w:ind w:left="2020"/>
        <w:spacing w:after="0" w:line="231" w:lineRule="auto"/>
        <w:rPr>
          <w:sz w:val="20"/>
          <w:szCs w:val="20"/>
          <w:color w:val="auto"/>
        </w:rPr>
      </w:pPr>
      <w:r>
        <w:rPr>
          <w:rFonts w:ascii="Arial" w:cs="Arial" w:eastAsia="Arial" w:hAnsi="Arial"/>
          <w:sz w:val="18"/>
          <w:szCs w:val="18"/>
          <w:b w:val="1"/>
          <w:bCs w:val="1"/>
          <w:color w:val="auto"/>
        </w:rPr>
        <w:t xml:space="preserve">Committees Served: </w:t>
      </w:r>
      <w:r>
        <w:rPr>
          <w:rFonts w:ascii="Arial" w:cs="Arial" w:eastAsia="Arial" w:hAnsi="Arial"/>
          <w:sz w:val="18"/>
          <w:szCs w:val="18"/>
          <w:color w:val="auto"/>
        </w:rPr>
        <w:t>Audit (Chair), Governance, EHS</w:t>
      </w:r>
    </w:p>
    <w:p>
      <w:pPr>
        <w:spacing w:after="0" w:line="1"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 xml:space="preserve">Principal Occupation: </w:t>
      </w:r>
      <w:r>
        <w:rPr>
          <w:rFonts w:ascii="Arial" w:cs="Arial" w:eastAsia="Arial" w:hAnsi="Arial"/>
          <w:sz w:val="18"/>
          <w:szCs w:val="18"/>
          <w:color w:val="auto"/>
        </w:rPr>
        <w:t>Former Executive Vice President and Chief Financial Officer, CBS Corporation.</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 xml:space="preserve">Other Directorships: </w:t>
      </w:r>
      <w:r>
        <w:rPr>
          <w:rFonts w:ascii="Arial" w:cs="Arial" w:eastAsia="Arial" w:hAnsi="Arial"/>
          <w:sz w:val="18"/>
          <w:szCs w:val="18"/>
          <w:color w:val="auto"/>
        </w:rPr>
        <w:t>Mondelez International Inc. and United Technologies Corp.</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Former Director</w:t>
      </w:r>
      <w:r>
        <w:rPr>
          <w:rFonts w:ascii="Arial" w:cs="Arial" w:eastAsia="Arial" w:hAnsi="Arial"/>
          <w:sz w:val="18"/>
          <w:szCs w:val="18"/>
          <w:color w:val="auto"/>
        </w:rPr>
        <w:t>, AOL, Inc.</w:t>
      </w:r>
    </w:p>
    <w:p>
      <w:pPr>
        <w:spacing w:after="0" w:line="11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Skills and Experience</w:t>
      </w:r>
    </w:p>
    <w:p>
      <w:pPr>
        <w:spacing w:after="0" w:line="15" w:lineRule="exact"/>
        <w:rPr>
          <w:sz w:val="20"/>
          <w:szCs w:val="20"/>
          <w:color w:val="auto"/>
        </w:rPr>
      </w:pPr>
    </w:p>
    <w:p>
      <w:pPr>
        <w:jc w:val="both"/>
        <w:ind w:left="280"/>
        <w:spacing w:after="0" w:line="235" w:lineRule="auto"/>
        <w:rPr>
          <w:sz w:val="20"/>
          <w:szCs w:val="20"/>
          <w:color w:val="auto"/>
        </w:rPr>
      </w:pPr>
      <w:r>
        <w:rPr>
          <w:rFonts w:ascii="Arial" w:cs="Arial" w:eastAsia="Arial" w:hAnsi="Arial"/>
          <w:sz w:val="18"/>
          <w:szCs w:val="18"/>
          <w:color w:val="auto"/>
        </w:rPr>
        <w:t>During his tenure as chief financial officer of CBS Corporation, shareholders experienced substantial share price appreciation and return of capital. Mr. Reynolds brings to the Hess board his significant experience as a chief financial officer with a successful track record of financial oversight, leading a successful transformation, returning capital, and delivering long-term returns. Mr. Reynolds currently chairs our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229235</wp:posOffset>
            </wp:positionV>
            <wp:extent cx="68935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93560" cy="1714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2020"/>
        <w:spacing w:after="0"/>
        <w:rPr>
          <w:sz w:val="20"/>
          <w:szCs w:val="20"/>
          <w:color w:val="auto"/>
        </w:rPr>
      </w:pPr>
      <w:r>
        <w:rPr>
          <w:rFonts w:ascii="Arial" w:cs="Arial" w:eastAsia="Arial" w:hAnsi="Arial"/>
          <w:sz w:val="21"/>
          <w:szCs w:val="21"/>
          <w:b w:val="1"/>
          <w:bCs w:val="1"/>
          <w:i w:val="1"/>
          <w:iCs w:val="1"/>
          <w:color w:val="auto"/>
        </w:rPr>
        <w:t>William G. Schrader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-81280</wp:posOffset>
            </wp:positionV>
            <wp:extent cx="6893560" cy="8108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93560" cy="810895"/>
                    </a:xfrm>
                    <a:prstGeom prst="rect">
                      <a:avLst/>
                    </a:prstGeom>
                    <a:noFill/>
                  </pic:spPr>
                </pic:pic>
              </a:graphicData>
            </a:graphic>
          </wp:anchor>
        </w:drawing>
      </w:r>
    </w:p>
    <w:p>
      <w:pPr>
        <w:spacing w:after="0" w:line="54"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Independent Director</w:t>
      </w:r>
    </w:p>
    <w:p>
      <w:pPr>
        <w:spacing w:after="0" w:line="7"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60</w:t>
      </w:r>
    </w:p>
    <w:p>
      <w:pPr>
        <w:ind w:left="2020"/>
        <w:spacing w:after="0" w:line="231" w:lineRule="auto"/>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2013</w:t>
      </w:r>
    </w:p>
    <w:p>
      <w:pPr>
        <w:ind w:left="2020"/>
        <w:spacing w:after="0" w:line="231" w:lineRule="auto"/>
        <w:rPr>
          <w:sz w:val="20"/>
          <w:szCs w:val="20"/>
          <w:color w:val="auto"/>
        </w:rPr>
      </w:pPr>
      <w:r>
        <w:rPr>
          <w:rFonts w:ascii="Arial" w:cs="Arial" w:eastAsia="Arial" w:hAnsi="Arial"/>
          <w:sz w:val="18"/>
          <w:szCs w:val="18"/>
          <w:b w:val="1"/>
          <w:bCs w:val="1"/>
          <w:color w:val="auto"/>
        </w:rPr>
        <w:t xml:space="preserve">Committees Served: </w:t>
      </w:r>
      <w:r>
        <w:rPr>
          <w:rFonts w:ascii="Arial" w:cs="Arial" w:eastAsia="Arial" w:hAnsi="Arial"/>
          <w:sz w:val="18"/>
          <w:szCs w:val="18"/>
          <w:color w:val="auto"/>
        </w:rPr>
        <w:t>Audit, EHS</w:t>
      </w:r>
    </w:p>
    <w:p>
      <w:pPr>
        <w:spacing w:after="0" w:line="1"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 xml:space="preserve">Principal Occupation: </w:t>
      </w:r>
      <w:r>
        <w:rPr>
          <w:rFonts w:ascii="Arial" w:cs="Arial" w:eastAsia="Arial" w:hAnsi="Arial"/>
          <w:sz w:val="18"/>
          <w:szCs w:val="18"/>
          <w:color w:val="auto"/>
        </w:rPr>
        <w:t>Former Chief Operating Officer, TNK-BP Russia.</w:t>
      </w:r>
    </w:p>
    <w:p>
      <w:pPr>
        <w:spacing w:after="0" w:line="10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 xml:space="preserve">Other Directorships: </w:t>
      </w:r>
      <w:r>
        <w:rPr>
          <w:rFonts w:ascii="Arial" w:cs="Arial" w:eastAsia="Arial" w:hAnsi="Arial"/>
          <w:sz w:val="18"/>
          <w:szCs w:val="18"/>
          <w:color w:val="auto"/>
        </w:rPr>
        <w:t>Ophir Energy plc (African oil and gas exploration company) (Chairman), Bahamas Petroleum Company Ltd.</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(Chairman). </w:t>
      </w:r>
      <w:r>
        <w:rPr>
          <w:rFonts w:ascii="Arial" w:cs="Arial" w:eastAsia="Arial" w:hAnsi="Arial"/>
          <w:sz w:val="18"/>
          <w:szCs w:val="18"/>
          <w:i w:val="1"/>
          <w:iCs w:val="1"/>
          <w:color w:val="auto"/>
        </w:rPr>
        <w:t>Former Director</w:t>
      </w:r>
      <w:r>
        <w:rPr>
          <w:rFonts w:ascii="Arial" w:cs="Arial" w:eastAsia="Arial" w:hAnsi="Arial"/>
          <w:sz w:val="18"/>
          <w:szCs w:val="18"/>
          <w:color w:val="auto"/>
        </w:rPr>
        <w:t>, CHC Group Ltd.</w:t>
      </w:r>
    </w:p>
    <w:p>
      <w:pPr>
        <w:spacing w:after="0" w:line="90"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Skills and Experience</w:t>
      </w:r>
    </w:p>
    <w:p>
      <w:pPr>
        <w:spacing w:after="0" w:line="15" w:lineRule="exact"/>
        <w:rPr>
          <w:sz w:val="20"/>
          <w:szCs w:val="20"/>
          <w:color w:val="auto"/>
        </w:rPr>
      </w:pPr>
    </w:p>
    <w:p>
      <w:pPr>
        <w:jc w:val="both"/>
        <w:ind w:left="280"/>
        <w:spacing w:after="0" w:line="236" w:lineRule="auto"/>
        <w:rPr>
          <w:sz w:val="20"/>
          <w:szCs w:val="20"/>
          <w:color w:val="auto"/>
        </w:rPr>
      </w:pPr>
      <w:r>
        <w:rPr>
          <w:rFonts w:ascii="Arial" w:cs="Arial" w:eastAsia="Arial" w:hAnsi="Arial"/>
          <w:sz w:val="18"/>
          <w:szCs w:val="18"/>
          <w:color w:val="auto"/>
        </w:rPr>
        <w:t>Mr. Schrader is an experienced international E&amp;P executive responsible for transforming BP’s significant E&amp;P assets, and brings to the Hess board his experience as a disciplined E&amp;P operator with expertise in production sharing structures, government relations and delivering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77470</wp:posOffset>
            </wp:positionV>
            <wp:extent cx="68935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93560" cy="17145"/>
                    </a:xfrm>
                    <a:prstGeom prst="rect">
                      <a:avLst/>
                    </a:prstGeom>
                    <a:noFill/>
                  </pic:spPr>
                </pic:pic>
              </a:graphicData>
            </a:graphic>
          </wp:anchor>
        </w:drawing>
        <w:drawing>
          <wp:anchor simplePos="0" relativeHeight="251657728" behindDoc="1" locked="0" layoutInCell="0" allowOverlap="1">
            <wp:simplePos x="0" y="0"/>
            <wp:positionH relativeFrom="column">
              <wp:posOffset>916305</wp:posOffset>
            </wp:positionH>
            <wp:positionV relativeFrom="paragraph">
              <wp:posOffset>246380</wp:posOffset>
            </wp:positionV>
            <wp:extent cx="557530" cy="515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57530" cy="51562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2480" w:right="2540"/>
        <w:spacing w:after="0" w:line="292" w:lineRule="auto"/>
        <w:rPr>
          <w:sz w:val="20"/>
          <w:szCs w:val="20"/>
          <w:color w:val="auto"/>
        </w:rPr>
      </w:pPr>
      <w:r>
        <w:rPr>
          <w:rFonts w:ascii="Arial" w:cs="Arial" w:eastAsia="Arial" w:hAnsi="Arial"/>
          <w:sz w:val="17"/>
          <w:szCs w:val="17"/>
          <w:b w:val="1"/>
          <w:bCs w:val="1"/>
          <w:color w:val="007549"/>
        </w:rPr>
        <w:t>The board of directors unanimously recommends that stockholders vote FOR the election of each of the twelve director nominees named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5115560</wp:posOffset>
            </wp:positionH>
            <wp:positionV relativeFrom="paragraph">
              <wp:posOffset>168910</wp:posOffset>
            </wp:positionV>
            <wp:extent cx="405765" cy="2451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339" w:lineRule="exact"/>
        <w:rPr>
          <w:sz w:val="20"/>
          <w:szCs w:val="20"/>
          <w:color w:val="auto"/>
        </w:rPr>
      </w:pPr>
    </w:p>
    <w:tbl>
      <w:tblPr>
        <w:tblLayout w:type="fixed"/>
        <w:tblInd w:w="9220" w:type="dxa"/>
        <w:tblCellMar>
          <w:top w:w="0" w:type="dxa"/>
          <w:left w:w="0" w:type="dxa"/>
          <w:bottom w:w="0" w:type="dxa"/>
          <w:right w:w="0" w:type="dxa"/>
        </w:tblCellMar>
      </w:tblPr>
      <w:tr>
        <w:trPr>
          <w:trHeight w:val="188"/>
        </w:trPr>
        <w:tc>
          <w:tcPr>
            <w:tcW w:w="1680" w:type="dxa"/>
            <w:vAlign w:val="bottom"/>
          </w:tcPr>
          <w:p>
            <w:pPr>
              <w:spacing w:after="0"/>
              <w:rPr>
                <w:sz w:val="20"/>
                <w:szCs w:val="20"/>
                <w:color w:val="auto"/>
              </w:rPr>
            </w:pPr>
            <w:r>
              <w:rPr>
                <w:rFonts w:ascii="Arial" w:cs="Arial" w:eastAsia="Arial" w:hAnsi="Arial"/>
                <w:sz w:val="12"/>
                <w:szCs w:val="12"/>
                <w:b w:val="1"/>
                <w:bCs w:val="1"/>
                <w:color w:val="666666"/>
              </w:rPr>
              <w:t>2018 PROXY STATEMENT</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007549"/>
              </w:rPr>
              <w:t>5</w:t>
            </w:r>
          </w:p>
        </w:tc>
      </w:tr>
    </w:tbl>
    <w:p>
      <w:pPr>
        <w:sectPr>
          <w:pgSz w:w="11900" w:h="16838" w:orient="portrait"/>
          <w:cols w:equalWidth="0" w:num="1">
            <w:col w:w="11140"/>
          </w:cols>
          <w:pgMar w:left="240" w:top="454" w:right="5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007549"/>
        </w:rPr>
        <w:t xml:space="preserve">Proposal 1: Election of Directors </w:t>
      </w:r>
      <w:r>
        <w:rPr>
          <w:rFonts w:ascii="Arial" w:cs="Arial" w:eastAsia="Arial" w:hAnsi="Arial"/>
          <w:sz w:val="16"/>
          <w:szCs w:val="16"/>
          <w:b w:val="1"/>
          <w:bCs w:val="1"/>
          <w:color w:val="000000"/>
        </w:rPr>
        <w:t>+ Director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55245</wp:posOffset>
            </wp:positionV>
            <wp:extent cx="68935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333333"/>
        </w:rPr>
        <w:t>Director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63500</wp:posOffset>
            </wp:positionV>
            <wp:extent cx="68935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159" w:lineRule="exact"/>
        <w:rPr>
          <w:sz w:val="20"/>
          <w:szCs w:val="20"/>
          <w:color w:val="auto"/>
        </w:rPr>
      </w:pPr>
    </w:p>
    <w:p>
      <w:pPr>
        <w:jc w:val="both"/>
        <w:ind w:left="280"/>
        <w:spacing w:after="0" w:line="235" w:lineRule="auto"/>
        <w:rPr>
          <w:sz w:val="20"/>
          <w:szCs w:val="20"/>
          <w:color w:val="auto"/>
        </w:rPr>
      </w:pPr>
      <w:r>
        <w:rPr>
          <w:rFonts w:ascii="Arial" w:cs="Arial" w:eastAsia="Arial" w:hAnsi="Arial"/>
          <w:sz w:val="18"/>
          <w:szCs w:val="18"/>
          <w:color w:val="auto"/>
        </w:rPr>
        <w:t>The corporate governance and nominating committee is responsible for recommending to the board qualified candidates for election as directors. In advance of each annual meeting, the committee meets to recommend nominees for election at the annual meeting. From time to time throughout the year, members of the committee are furnished names of new potential directors and may from time to time meet with the potential candidates.</w:t>
      </w:r>
    </w:p>
    <w:p>
      <w:pPr>
        <w:spacing w:after="0" w:line="174" w:lineRule="exact"/>
        <w:rPr>
          <w:sz w:val="20"/>
          <w:szCs w:val="20"/>
          <w:color w:val="auto"/>
        </w:rPr>
      </w:pPr>
    </w:p>
    <w:p>
      <w:pPr>
        <w:jc w:val="both"/>
        <w:ind w:left="280"/>
        <w:spacing w:after="0" w:line="234" w:lineRule="auto"/>
        <w:rPr>
          <w:sz w:val="20"/>
          <w:szCs w:val="20"/>
          <w:color w:val="auto"/>
        </w:rPr>
      </w:pPr>
      <w:r>
        <w:rPr>
          <w:rFonts w:ascii="Arial" w:cs="Arial" w:eastAsia="Arial" w:hAnsi="Arial"/>
          <w:sz w:val="18"/>
          <w:szCs w:val="18"/>
          <w:color w:val="auto"/>
        </w:rPr>
        <w:t>The corporate governance and nominating committee and the board believe that the board collectively should encompass a broad range of skills, expertise, general industry knowledge and diversity of opinion. New perspectives and ideas are essential to the proper functioning of the board as is the experience and institutional knowledge of longer-tenured directors. The board has undergone significant refreshment over the last several years, replacing 75% of the board since 2013. The corporate governance and nominating committee seeks to ensure that board nominees reflect an appropriate balance of tenure, experience, skills and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115570</wp:posOffset>
            </wp:positionV>
            <wp:extent cx="6918960" cy="17741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18960" cy="1774190"/>
                    </a:xfrm>
                    <a:prstGeom prst="rect">
                      <a:avLst/>
                    </a:prstGeom>
                    <a:noFill/>
                  </pic:spPr>
                </pic:pic>
              </a:graphicData>
            </a:graphic>
          </wp:anchor>
        </w:drawing>
      </w:r>
    </w:p>
    <w:p>
      <w:pPr>
        <w:spacing w:after="0" w:line="208" w:lineRule="exact"/>
        <w:rPr>
          <w:sz w:val="20"/>
          <w:szCs w:val="20"/>
          <w:color w:val="auto"/>
        </w:rPr>
      </w:pPr>
    </w:p>
    <w:p>
      <w:pPr>
        <w:ind w:left="400" w:right="100"/>
        <w:spacing w:after="0" w:line="238" w:lineRule="auto"/>
        <w:rPr>
          <w:sz w:val="20"/>
          <w:szCs w:val="20"/>
          <w:color w:val="auto"/>
        </w:rPr>
      </w:pPr>
      <w:r>
        <w:rPr>
          <w:rFonts w:ascii="Arial" w:cs="Arial" w:eastAsia="Arial" w:hAnsi="Arial"/>
          <w:sz w:val="18"/>
          <w:szCs w:val="18"/>
          <w:color w:val="auto"/>
        </w:rPr>
        <w:t>In accordance with the company’s corporate governance guidelines approved by the board of directors, nominees are reviewed and recommended based on a variety of criteria including:</w:t>
      </w:r>
    </w:p>
    <w:p>
      <w:pPr>
        <w:sectPr>
          <w:pgSz w:w="11900" w:h="16838" w:orient="portrait"/>
          <w:cols w:equalWidth="0" w:num="1">
            <w:col w:w="11140"/>
          </w:cols>
          <w:pgMar w:left="240" w:top="454" w:right="519" w:bottom="1440" w:gutter="0" w:footer="0" w:header="0"/>
        </w:sectPr>
      </w:pPr>
    </w:p>
    <w:p>
      <w:pPr>
        <w:spacing w:after="0" w:line="162" w:lineRule="exact"/>
        <w:rPr>
          <w:sz w:val="20"/>
          <w:szCs w:val="20"/>
          <w:color w:val="auto"/>
        </w:rPr>
      </w:pPr>
    </w:p>
    <w:p>
      <w:pPr>
        <w:ind w:left="600" w:hanging="234"/>
        <w:spacing w:after="0" w:line="265" w:lineRule="auto"/>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personal qualities and characteristics, education, background, accomplishments and reputation in the business community;</w:t>
      </w:r>
    </w:p>
    <w:p>
      <w:pPr>
        <w:spacing w:after="0" w:line="87" w:lineRule="exact"/>
        <w:rPr>
          <w:rFonts w:ascii="Arial" w:cs="Arial" w:eastAsia="Arial" w:hAnsi="Arial"/>
          <w:sz w:val="17"/>
          <w:szCs w:val="17"/>
          <w:color w:val="auto"/>
        </w:rPr>
      </w:pPr>
    </w:p>
    <w:p>
      <w:pPr>
        <w:ind w:left="600" w:right="320" w:hanging="234"/>
        <w:spacing w:after="0" w:line="251" w:lineRule="auto"/>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current knowledge of the energy industry or industries relevant to the company’s business and relationships with individuals or organizations affecting the domestic and international areas in which the company does business;</w:t>
      </w:r>
    </w:p>
    <w:p>
      <w:pPr>
        <w:spacing w:after="0" w:line="100" w:lineRule="exact"/>
        <w:rPr>
          <w:rFonts w:ascii="Arial" w:cs="Arial" w:eastAsia="Arial" w:hAnsi="Arial"/>
          <w:sz w:val="17"/>
          <w:szCs w:val="17"/>
          <w:color w:val="auto"/>
        </w:rPr>
      </w:pPr>
    </w:p>
    <w:p>
      <w:pPr>
        <w:ind w:left="600" w:right="100" w:hanging="234"/>
        <w:spacing w:after="0" w:line="238" w:lineRule="auto"/>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ability and willingness to commit adequate time to board and committee matters;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218" w:hanging="218"/>
        <w:spacing w:after="0"/>
        <w:tabs>
          <w:tab w:leader="none" w:pos="21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fit of the individual’s skills and personality with those</w:t>
      </w:r>
    </w:p>
    <w:p>
      <w:pPr>
        <w:ind w:left="218" w:right="320"/>
        <w:spacing w:after="0" w:line="236" w:lineRule="auto"/>
        <w:rPr>
          <w:rFonts w:ascii="Arial" w:cs="Arial" w:eastAsia="Arial" w:hAnsi="Arial"/>
          <w:sz w:val="18"/>
          <w:szCs w:val="18"/>
          <w:color w:val="auto"/>
        </w:rPr>
      </w:pPr>
      <w:r>
        <w:rPr>
          <w:rFonts w:ascii="Arial" w:cs="Arial" w:eastAsia="Arial" w:hAnsi="Arial"/>
          <w:sz w:val="18"/>
          <w:szCs w:val="18"/>
          <w:color w:val="auto"/>
        </w:rPr>
        <w:t>of other directors and potential directors in building a board that is effective, collegial and responsive to the needs of the company;</w:t>
      </w:r>
    </w:p>
    <w:p>
      <w:pPr>
        <w:spacing w:after="0" w:line="107" w:lineRule="exact"/>
        <w:rPr>
          <w:rFonts w:ascii="Arial" w:cs="Arial" w:eastAsia="Arial" w:hAnsi="Arial"/>
          <w:sz w:val="18"/>
          <w:szCs w:val="18"/>
          <w:color w:val="auto"/>
        </w:rPr>
      </w:pPr>
    </w:p>
    <w:p>
      <w:pPr>
        <w:ind w:left="218" w:hanging="218"/>
        <w:spacing w:after="0"/>
        <w:tabs>
          <w:tab w:leader="none" w:pos="218"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diversity of viewpoints, background and experience; and</w:t>
      </w:r>
    </w:p>
    <w:p>
      <w:pPr>
        <w:spacing w:after="0" w:line="112" w:lineRule="exact"/>
        <w:rPr>
          <w:rFonts w:ascii="Arial" w:cs="Arial" w:eastAsia="Arial" w:hAnsi="Arial"/>
          <w:sz w:val="18"/>
          <w:szCs w:val="18"/>
          <w:color w:val="auto"/>
        </w:rPr>
      </w:pPr>
    </w:p>
    <w:p>
      <w:pPr>
        <w:ind w:left="218" w:right="640" w:hanging="218"/>
        <w:spacing w:after="0" w:line="238" w:lineRule="auto"/>
        <w:tabs>
          <w:tab w:leader="none" w:pos="218"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compatibility with independence and other qualifications established by applicable law and rules.</w:t>
      </w:r>
    </w:p>
    <w:p>
      <w:pPr>
        <w:spacing w:after="0" w:line="399" w:lineRule="exact"/>
        <w:rPr>
          <w:sz w:val="20"/>
          <w:szCs w:val="20"/>
          <w:color w:val="auto"/>
        </w:rPr>
      </w:pPr>
    </w:p>
    <w:p>
      <w:pPr>
        <w:sectPr>
          <w:pgSz w:w="11900" w:h="16838" w:orient="portrait"/>
          <w:cols w:equalWidth="0" w:num="2">
            <w:col w:w="5440" w:space="462"/>
            <w:col w:w="5238"/>
          </w:cols>
          <w:pgMar w:left="240" w:top="454" w:right="519" w:bottom="1440" w:gutter="0" w:footer="0" w:header="0"/>
          <w:type w:val="continuous"/>
        </w:sectPr>
      </w:pPr>
    </w:p>
    <w:p>
      <w:pPr>
        <w:spacing w:after="0" w:line="281" w:lineRule="exact"/>
        <w:rPr>
          <w:sz w:val="20"/>
          <w:szCs w:val="20"/>
          <w:color w:val="auto"/>
        </w:rPr>
      </w:pPr>
    </w:p>
    <w:p>
      <w:pPr>
        <w:jc w:val="both"/>
        <w:ind w:left="280"/>
        <w:spacing w:after="0" w:line="233" w:lineRule="auto"/>
        <w:rPr>
          <w:sz w:val="20"/>
          <w:szCs w:val="20"/>
          <w:color w:val="auto"/>
        </w:rPr>
      </w:pPr>
      <w:r>
        <w:rPr>
          <w:rFonts w:ascii="Arial" w:cs="Arial" w:eastAsia="Arial" w:hAnsi="Arial"/>
          <w:sz w:val="18"/>
          <w:szCs w:val="18"/>
          <w:color w:val="auto"/>
        </w:rPr>
        <w:t>As noted above, among the criteria used to evaluate nominees for the board is diversity of viewpoints, background and experience, including diversity of race, gender, ethnicity, age and cultural background. The board believes that such diversity provides varied perspectives which promote active and constructive dialogue among board members and between the board and management, resulting in more effective oversight. The board believes this diversity is amply demonstrated in the varied backgrounds, experience, qualifications and skills of the current and proposed members of the board. In the board’s executive sessions and in annual performance evaluations conducted by the board and its committees, the board from time to time considers whether the members of the board reflect such diversity and whether such diversity contributes to a constructive and collegial environment.</w:t>
      </w:r>
    </w:p>
    <w:p>
      <w:pPr>
        <w:spacing w:after="0" w:line="177" w:lineRule="exact"/>
        <w:rPr>
          <w:sz w:val="20"/>
          <w:szCs w:val="20"/>
          <w:color w:val="auto"/>
        </w:rPr>
      </w:pPr>
    </w:p>
    <w:p>
      <w:pPr>
        <w:jc w:val="both"/>
        <w:ind w:left="280"/>
        <w:spacing w:after="0" w:line="234" w:lineRule="auto"/>
        <w:rPr>
          <w:sz w:val="20"/>
          <w:szCs w:val="20"/>
          <w:color w:val="auto"/>
        </w:rPr>
      </w:pPr>
      <w:r>
        <w:rPr>
          <w:rFonts w:ascii="Arial" w:cs="Arial" w:eastAsia="Arial" w:hAnsi="Arial"/>
          <w:sz w:val="18"/>
          <w:szCs w:val="18"/>
          <w:color w:val="auto"/>
        </w:rPr>
        <w:t>The corporate governance and nominating committee has retained Russell Reynolds Associates, a director and executive search and recruiting firm, to identify and review potential independent director candidates and assist the committee and the board in assessing the qualifications of candidates. The committee has not paid fees to any other third parties to assist in identifying or evaluating potential nominees. Each of the nominees for election at the 2018 annual meeting were recommended by the non-management directors of the corporate governance and nominating committee, with the input of senior management, the committee’s consultants and advisors.</w:t>
      </w:r>
    </w:p>
    <w:p>
      <w:pPr>
        <w:spacing w:after="0" w:line="162" w:lineRule="exact"/>
        <w:rPr>
          <w:sz w:val="20"/>
          <w:szCs w:val="20"/>
          <w:color w:val="auto"/>
        </w:rPr>
      </w:pPr>
    </w:p>
    <w:p>
      <w:pPr>
        <w:jc w:val="both"/>
        <w:ind w:left="280"/>
        <w:spacing w:after="0" w:line="234" w:lineRule="auto"/>
        <w:rPr>
          <w:sz w:val="20"/>
          <w:szCs w:val="20"/>
          <w:color w:val="auto"/>
        </w:rPr>
      </w:pPr>
      <w:r>
        <w:rPr>
          <w:rFonts w:ascii="Arial" w:cs="Arial" w:eastAsia="Arial" w:hAnsi="Arial"/>
          <w:sz w:val="18"/>
          <w:szCs w:val="18"/>
          <w:color w:val="auto"/>
        </w:rPr>
        <w:t>In addition, the company has adopted a director retirement policy, which provides that no person may be nominated to stand for election or re-election to the board of directors as a non-management director if the election would take place after such person has attained the age of 75, unless otherwise approved by the board. Upon the recommendation of the corporate governance and nominating committee, the board determined to nominate Mr. Chase to stand for re-election at the 2018 annual meeting based on his extensive experience in senior management roles in the oil and gas industry and his significant contributions to the board’s collective knowledge and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1769745</wp:posOffset>
            </wp:positionH>
            <wp:positionV relativeFrom="paragraph">
              <wp:posOffset>86360</wp:posOffset>
            </wp:positionV>
            <wp:extent cx="405765" cy="2451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216" w:lineRule="exact"/>
        <w:rPr>
          <w:sz w:val="20"/>
          <w:szCs w:val="20"/>
          <w:color w:val="auto"/>
        </w:rPr>
      </w:pPr>
    </w:p>
    <w:p>
      <w:pPr>
        <w:ind w:left="680" w:hanging="394"/>
        <w:spacing w:after="0"/>
        <w:tabs>
          <w:tab w:leader="none" w:pos="680" w:val="left"/>
        </w:tabs>
        <w:numPr>
          <w:ilvl w:val="0"/>
          <w:numId w:val="21"/>
        </w:numPr>
        <w:rPr>
          <w:rFonts w:ascii="Arial" w:cs="Arial" w:eastAsia="Arial" w:hAnsi="Arial"/>
          <w:sz w:val="14"/>
          <w:szCs w:val="14"/>
          <w:b w:val="1"/>
          <w:bCs w:val="1"/>
          <w:color w:val="007549"/>
        </w:rPr>
      </w:pPr>
      <w:r>
        <w:rPr>
          <w:rFonts w:ascii="Arial" w:cs="Arial" w:eastAsia="Arial" w:hAnsi="Arial"/>
          <w:sz w:val="12"/>
          <w:szCs w:val="12"/>
          <w:b w:val="1"/>
          <w:bCs w:val="1"/>
          <w:color w:val="666666"/>
        </w:rPr>
        <w:t>2018 PROXY STATEMENT</w:t>
      </w:r>
    </w:p>
    <w:p>
      <w:pPr>
        <w:sectPr>
          <w:pgSz w:w="11900" w:h="16838" w:orient="portrait"/>
          <w:cols w:equalWidth="0" w:num="1">
            <w:col w:w="11140"/>
          </w:cols>
          <w:pgMar w:left="240" w:top="454" w:right="51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7549"/>
        </w:rPr>
        <w:t xml:space="preserve">Proposal 1: Election of Directors </w:t>
      </w:r>
      <w:r>
        <w:rPr>
          <w:rFonts w:ascii="Arial" w:cs="Arial" w:eastAsia="Arial" w:hAnsi="Arial"/>
          <w:sz w:val="16"/>
          <w:szCs w:val="16"/>
          <w:b w:val="1"/>
          <w:bCs w:val="1"/>
          <w:color w:val="000000"/>
        </w:rPr>
        <w:t>+ Board 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55245</wp:posOffset>
            </wp:positionV>
            <wp:extent cx="68935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234"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007549"/>
        </w:rPr>
        <w:t>Stockholder Recommendations and Proxy Access</w:t>
      </w:r>
    </w:p>
    <w:p>
      <w:pPr>
        <w:spacing w:after="0" w:line="136" w:lineRule="exact"/>
        <w:rPr>
          <w:sz w:val="20"/>
          <w:szCs w:val="20"/>
          <w:color w:val="auto"/>
        </w:rPr>
      </w:pPr>
    </w:p>
    <w:p>
      <w:pPr>
        <w:jc w:val="both"/>
        <w:ind w:left="280"/>
        <w:spacing w:after="0" w:line="233" w:lineRule="auto"/>
        <w:rPr>
          <w:sz w:val="20"/>
          <w:szCs w:val="20"/>
          <w:color w:val="auto"/>
        </w:rPr>
      </w:pPr>
      <w:r>
        <w:rPr>
          <w:rFonts w:ascii="Arial" w:cs="Arial" w:eastAsia="Arial" w:hAnsi="Arial"/>
          <w:sz w:val="18"/>
          <w:szCs w:val="18"/>
          <w:color w:val="auto"/>
        </w:rPr>
        <w:t>Stockholders may suggest candidates by writing to the corporate governance and nominating committee, in care of the corporate secretary of the company at the address set forth on page 55. Stockholder suggestions should include a summary of the candidate’s qualifications, the information required by SEC rules for director nominees and contact information for the candidate. Stockholder suggestions should be submitted no later than December 1 for consideration as nominees for election at the next annual meeting and otherwise in accordance with the company’s policy and by-laws. The committee follows the same process of identifying and evaluating nominees recommended by stockholders as that for candidates recommended by any other source.</w:t>
      </w:r>
    </w:p>
    <w:p>
      <w:pPr>
        <w:spacing w:after="0" w:line="165" w:lineRule="exact"/>
        <w:rPr>
          <w:sz w:val="20"/>
          <w:szCs w:val="20"/>
          <w:color w:val="auto"/>
        </w:rPr>
      </w:pPr>
    </w:p>
    <w:p>
      <w:pPr>
        <w:jc w:val="both"/>
        <w:ind w:left="280"/>
        <w:spacing w:after="0" w:line="233" w:lineRule="auto"/>
        <w:rPr>
          <w:sz w:val="20"/>
          <w:szCs w:val="20"/>
          <w:color w:val="auto"/>
        </w:rPr>
      </w:pPr>
      <w:r>
        <w:rPr>
          <w:rFonts w:ascii="Arial" w:cs="Arial" w:eastAsia="Arial" w:hAnsi="Arial"/>
          <w:sz w:val="18"/>
          <w:szCs w:val="18"/>
          <w:color w:val="auto"/>
        </w:rPr>
        <w:t>In 2015, our board adopted a proxy access by-law that permits a stockholder, or group of up to 20 stockholders, owning at least 3% of our outstanding common stock continuously for at least three years to nominate and include in our proxy materials up to the greater of two directors or 20% of our board of directors. Stockholders and nominees must satisfy the requirements set forth in the by-laws in connection with such nominations. We believe that this by-law provision provides meaningful and effective proxy access rights to our stockholders, and balances those benefits against the risk of misuse by stockholders with interests that are not shared by a significant percentage of our stockholders.</w:t>
      </w:r>
    </w:p>
    <w:p>
      <w:pPr>
        <w:spacing w:after="0" w:line="177"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333333"/>
        </w:rPr>
        <w:t>Board 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63500</wp:posOffset>
            </wp:positionV>
            <wp:extent cx="68935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173" w:lineRule="exact"/>
        <w:rPr>
          <w:sz w:val="20"/>
          <w:szCs w:val="20"/>
          <w:color w:val="auto"/>
        </w:rPr>
      </w:pPr>
    </w:p>
    <w:p>
      <w:pPr>
        <w:jc w:val="both"/>
        <w:ind w:left="280"/>
        <w:spacing w:after="0" w:line="235" w:lineRule="auto"/>
        <w:rPr>
          <w:sz w:val="20"/>
          <w:szCs w:val="20"/>
          <w:color w:val="auto"/>
        </w:rPr>
      </w:pPr>
      <w:r>
        <w:rPr>
          <w:rFonts w:ascii="Arial" w:cs="Arial" w:eastAsia="Arial" w:hAnsi="Arial"/>
          <w:sz w:val="18"/>
          <w:szCs w:val="18"/>
          <w:color w:val="auto"/>
        </w:rPr>
        <w:t>Our board is committed to continuous improvement and recognizes the importance of a rigorous evaluation process to enhance board performance and effectiveness. Our corporate governance and nominating committee oversees the annual performance evaluation of the board and ensures that each of the board’s committees conducts an annual self-evaluation. The chair of the corporate governance and nominating committee also oversees the evaluation of our board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144780</wp:posOffset>
            </wp:positionV>
            <wp:extent cx="6918960" cy="40932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18960" cy="409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board evaluations are designed to solicit input and perspective on various topics, including:</w:t>
      </w:r>
    </w:p>
    <w:p>
      <w:pPr>
        <w:sectPr>
          <w:pgSz w:w="11900" w:h="16838" w:orient="portrait"/>
          <w:cols w:equalWidth="0" w:num="1">
            <w:col w:w="11140"/>
          </w:cols>
          <w:pgMar w:left="240" w:top="454" w:right="519" w:bottom="1440" w:gutter="0" w:footer="0" w:header="0"/>
        </w:sectPr>
      </w:pPr>
    </w:p>
    <w:p>
      <w:pPr>
        <w:spacing w:after="0" w:line="166" w:lineRule="exact"/>
        <w:rPr>
          <w:sz w:val="20"/>
          <w:szCs w:val="20"/>
          <w:color w:val="auto"/>
        </w:rPr>
      </w:pPr>
    </w:p>
    <w:p>
      <w:pPr>
        <w:ind w:left="640" w:hanging="234"/>
        <w:spacing w:after="0" w:line="238"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board structure, size and composition, including director skills and experience;</w:t>
      </w:r>
    </w:p>
    <w:p>
      <w:pPr>
        <w:spacing w:after="0" w:line="108" w:lineRule="exact"/>
        <w:rPr>
          <w:rFonts w:ascii="Arial" w:cs="Arial" w:eastAsia="Arial" w:hAnsi="Arial"/>
          <w:sz w:val="18"/>
          <w:szCs w:val="18"/>
          <w:color w:val="auto"/>
        </w:rPr>
      </w:pPr>
    </w:p>
    <w:p>
      <w:pPr>
        <w:ind w:left="640" w:hanging="234"/>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committee structure and allocation of responsibilities;</w:t>
      </w:r>
    </w:p>
    <w:p>
      <w:pPr>
        <w:spacing w:after="0" w:line="112" w:lineRule="exact"/>
        <w:rPr>
          <w:rFonts w:ascii="Arial" w:cs="Arial" w:eastAsia="Arial" w:hAnsi="Arial"/>
          <w:sz w:val="18"/>
          <w:szCs w:val="18"/>
          <w:color w:val="auto"/>
        </w:rPr>
      </w:pPr>
    </w:p>
    <w:p>
      <w:pPr>
        <w:ind w:left="640" w:right="40" w:hanging="234"/>
        <w:spacing w:after="0" w:line="238"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conduct of meetings, including cadence, length and ability for director input and meaningful discussion;</w:t>
      </w:r>
    </w:p>
    <w:p>
      <w:pPr>
        <w:spacing w:after="0" w:line="108" w:lineRule="exact"/>
        <w:rPr>
          <w:rFonts w:ascii="Arial" w:cs="Arial" w:eastAsia="Arial" w:hAnsi="Arial"/>
          <w:sz w:val="18"/>
          <w:szCs w:val="18"/>
          <w:color w:val="auto"/>
        </w:rPr>
      </w:pPr>
    </w:p>
    <w:p>
      <w:pPr>
        <w:ind w:left="640" w:right="260" w:hanging="234"/>
        <w:spacing w:after="0" w:line="238"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materials and information, including quality, timeliness and relevance;</w:t>
      </w:r>
    </w:p>
    <w:p>
      <w:pPr>
        <w:spacing w:after="0" w:line="108" w:lineRule="exact"/>
        <w:rPr>
          <w:rFonts w:ascii="Arial" w:cs="Arial" w:eastAsia="Arial" w:hAnsi="Arial"/>
          <w:sz w:val="18"/>
          <w:szCs w:val="18"/>
          <w:color w:val="auto"/>
        </w:rPr>
      </w:pPr>
    </w:p>
    <w:p>
      <w:pPr>
        <w:ind w:left="640" w:hanging="234"/>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director orientation and education;</w:t>
      </w:r>
    </w:p>
    <w:p>
      <w:pPr>
        <w:spacing w:after="0" w:line="112" w:lineRule="exact"/>
        <w:rPr>
          <w:rFonts w:ascii="Arial" w:cs="Arial" w:eastAsia="Arial" w:hAnsi="Arial"/>
          <w:sz w:val="18"/>
          <w:szCs w:val="18"/>
          <w:color w:val="auto"/>
        </w:rPr>
      </w:pPr>
    </w:p>
    <w:p>
      <w:pPr>
        <w:ind w:left="640" w:right="120" w:hanging="234"/>
        <w:spacing w:after="0" w:line="238"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director performance, including attendance, preparation and participation;</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218" w:right="460" w:hanging="218"/>
        <w:spacing w:after="0" w:line="238" w:lineRule="auto"/>
        <w:tabs>
          <w:tab w:leader="none" w:pos="218"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access to management and internal and external experts, resources and support;</w:t>
      </w:r>
    </w:p>
    <w:p>
      <w:pPr>
        <w:spacing w:after="0" w:line="108" w:lineRule="exact"/>
        <w:rPr>
          <w:rFonts w:ascii="Arial" w:cs="Arial" w:eastAsia="Arial" w:hAnsi="Arial"/>
          <w:sz w:val="18"/>
          <w:szCs w:val="18"/>
          <w:color w:val="auto"/>
        </w:rPr>
      </w:pPr>
    </w:p>
    <w:p>
      <w:pPr>
        <w:ind w:left="218" w:right="520" w:hanging="218"/>
        <w:spacing w:after="0" w:line="238" w:lineRule="auto"/>
        <w:tabs>
          <w:tab w:leader="none" w:pos="218" w:val="left"/>
        </w:tabs>
        <w:numPr>
          <w:ilvl w:val="0"/>
          <w:numId w:val="23"/>
        </w:numPr>
        <w:rPr>
          <w:rFonts w:ascii="Arial" w:cs="Arial" w:eastAsia="Arial" w:hAnsi="Arial"/>
          <w:sz w:val="18"/>
          <w:szCs w:val="18"/>
          <w:color w:val="auto"/>
        </w:rPr>
      </w:pPr>
      <w:r>
        <w:rPr>
          <w:rFonts w:ascii="Arial" w:cs="Arial" w:eastAsia="Arial" w:hAnsi="Arial"/>
          <w:sz w:val="18"/>
          <w:szCs w:val="18"/>
          <w:color w:val="auto"/>
        </w:rPr>
        <w:t>key areas of focus for the board, including strategy, crisis management and stockholder engagement;</w:t>
      </w:r>
    </w:p>
    <w:p>
      <w:pPr>
        <w:spacing w:after="0" w:line="108" w:lineRule="exact"/>
        <w:rPr>
          <w:rFonts w:ascii="Arial" w:cs="Arial" w:eastAsia="Arial" w:hAnsi="Arial"/>
          <w:sz w:val="18"/>
          <w:szCs w:val="18"/>
          <w:color w:val="auto"/>
        </w:rPr>
      </w:pPr>
    </w:p>
    <w:p>
      <w:pPr>
        <w:ind w:left="218" w:right="180" w:hanging="218"/>
        <w:spacing w:after="0" w:line="236" w:lineRule="auto"/>
        <w:tabs>
          <w:tab w:leader="none" w:pos="218"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committee structure and process, member and chair performance, duties and functions and management support; and</w:t>
      </w:r>
    </w:p>
    <w:p>
      <w:pPr>
        <w:spacing w:after="0" w:line="107" w:lineRule="exact"/>
        <w:rPr>
          <w:rFonts w:ascii="Arial" w:cs="Arial" w:eastAsia="Arial" w:hAnsi="Arial"/>
          <w:sz w:val="18"/>
          <w:szCs w:val="18"/>
          <w:color w:val="auto"/>
        </w:rPr>
      </w:pPr>
    </w:p>
    <w:p>
      <w:pPr>
        <w:ind w:left="218" w:right="460" w:hanging="218"/>
        <w:spacing w:after="0" w:line="255" w:lineRule="auto"/>
        <w:tabs>
          <w:tab w:leader="none" w:pos="218" w:val="left"/>
        </w:tabs>
        <w:numPr>
          <w:ilvl w:val="0"/>
          <w:numId w:val="23"/>
        </w:numPr>
        <w:rPr>
          <w:rFonts w:ascii="Arial" w:cs="Arial" w:eastAsia="Arial" w:hAnsi="Arial"/>
          <w:sz w:val="17"/>
          <w:szCs w:val="17"/>
          <w:color w:val="auto"/>
        </w:rPr>
      </w:pPr>
      <w:r>
        <w:rPr>
          <w:rFonts w:ascii="Arial" w:cs="Arial" w:eastAsia="Arial" w:hAnsi="Arial"/>
          <w:sz w:val="17"/>
          <w:szCs w:val="17"/>
          <w:color w:val="auto"/>
        </w:rPr>
        <w:t>performance of the board chair, including communication, relationship with management, availability, focus on appropriate issues and inclusiveness.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356870</wp:posOffset>
            </wp:positionV>
            <wp:extent cx="405765" cy="2451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426" w:lineRule="exact"/>
        <w:rPr>
          <w:sz w:val="20"/>
          <w:szCs w:val="20"/>
          <w:color w:val="auto"/>
        </w:rPr>
      </w:pPr>
    </w:p>
    <w:p>
      <w:pPr>
        <w:sectPr>
          <w:pgSz w:w="11900" w:h="16838" w:orient="portrait"/>
          <w:cols w:equalWidth="0" w:num="2">
            <w:col w:w="5460" w:space="482"/>
            <w:col w:w="5198"/>
          </w:cols>
          <w:pgMar w:left="240" w:top="454" w:right="519" w:bottom="1440" w:gutter="0" w:footer="0" w:header="0"/>
          <w:type w:val="continuous"/>
        </w:sectPr>
      </w:pPr>
    </w:p>
    <w:p>
      <w:pPr>
        <w:spacing w:after="0" w:line="228" w:lineRule="exact"/>
        <w:rPr>
          <w:sz w:val="20"/>
          <w:szCs w:val="20"/>
          <w:color w:val="auto"/>
        </w:rPr>
      </w:pPr>
    </w:p>
    <w:tbl>
      <w:tblPr>
        <w:tblLayout w:type="fixed"/>
        <w:tblInd w:w="9220" w:type="dxa"/>
        <w:tblCellMar>
          <w:top w:w="0" w:type="dxa"/>
          <w:left w:w="0" w:type="dxa"/>
          <w:bottom w:w="0" w:type="dxa"/>
          <w:right w:w="0" w:type="dxa"/>
        </w:tblCellMar>
      </w:tblPr>
      <w:tr>
        <w:trPr>
          <w:trHeight w:val="188"/>
        </w:trPr>
        <w:tc>
          <w:tcPr>
            <w:tcW w:w="1680" w:type="dxa"/>
            <w:vAlign w:val="bottom"/>
          </w:tcPr>
          <w:p>
            <w:pPr>
              <w:spacing w:after="0"/>
              <w:rPr>
                <w:sz w:val="20"/>
                <w:szCs w:val="20"/>
                <w:color w:val="auto"/>
              </w:rPr>
            </w:pPr>
            <w:r>
              <w:rPr>
                <w:rFonts w:ascii="Arial" w:cs="Arial" w:eastAsia="Arial" w:hAnsi="Arial"/>
                <w:sz w:val="12"/>
                <w:szCs w:val="12"/>
                <w:b w:val="1"/>
                <w:bCs w:val="1"/>
                <w:color w:val="666666"/>
              </w:rPr>
              <w:t>2018 PROXY STATEMENT</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007549"/>
              </w:rPr>
              <w:t>7</w:t>
            </w:r>
          </w:p>
        </w:tc>
      </w:tr>
    </w:tbl>
    <w:p>
      <w:pPr>
        <w:sectPr>
          <w:pgSz w:w="11900" w:h="16838" w:orient="portrait"/>
          <w:cols w:equalWidth="0" w:num="1">
            <w:col w:w="11140"/>
          </w:cols>
          <w:pgMar w:left="240" w:top="454" w:right="51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007549"/>
        </w:rPr>
        <w:t xml:space="preserve">Proposal 1: Election of Directors </w:t>
      </w:r>
      <w:r>
        <w:rPr>
          <w:rFonts w:ascii="Arial" w:cs="Arial" w:eastAsia="Arial" w:hAnsi="Arial"/>
          <w:sz w:val="16"/>
          <w:szCs w:val="16"/>
          <w:b w:val="1"/>
          <w:bCs w:val="1"/>
          <w:color w:val="000000"/>
        </w:rPr>
        <w:t>+ Board Leadership Structure / Independent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55245</wp:posOffset>
            </wp:positionV>
            <wp:extent cx="68935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238"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333333"/>
        </w:rPr>
        <w:t>Board Leadership Structure / Independent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63500</wp:posOffset>
            </wp:positionV>
            <wp:extent cx="68935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159" w:lineRule="exact"/>
        <w:rPr>
          <w:sz w:val="20"/>
          <w:szCs w:val="20"/>
          <w:color w:val="auto"/>
        </w:rPr>
      </w:pPr>
    </w:p>
    <w:p>
      <w:pPr>
        <w:jc w:val="both"/>
        <w:ind w:left="280"/>
        <w:spacing w:after="0" w:line="238" w:lineRule="auto"/>
        <w:rPr>
          <w:sz w:val="20"/>
          <w:szCs w:val="20"/>
          <w:color w:val="auto"/>
        </w:rPr>
      </w:pPr>
      <w:r>
        <w:rPr>
          <w:rFonts w:ascii="Arial" w:cs="Arial" w:eastAsia="Arial" w:hAnsi="Arial"/>
          <w:sz w:val="18"/>
          <w:szCs w:val="18"/>
          <w:color w:val="auto"/>
        </w:rPr>
        <w:t>Our by-laws provide for a non-executive chairman of the board and a separate position of chief executive officer. Mr. Quigley serves as the independent chairman of the board and Mr. Hess serves as chief executive officer and a director of the board.</w:t>
      </w:r>
    </w:p>
    <w:p>
      <w:pPr>
        <w:spacing w:after="0" w:line="175" w:lineRule="exact"/>
        <w:rPr>
          <w:sz w:val="20"/>
          <w:szCs w:val="20"/>
          <w:color w:val="auto"/>
        </w:rPr>
      </w:pPr>
    </w:p>
    <w:p>
      <w:pPr>
        <w:jc w:val="both"/>
        <w:ind w:left="280"/>
        <w:spacing w:after="0" w:line="234" w:lineRule="auto"/>
        <w:rPr>
          <w:sz w:val="20"/>
          <w:szCs w:val="20"/>
          <w:color w:val="auto"/>
        </w:rPr>
      </w:pPr>
      <w:r>
        <w:rPr>
          <w:rFonts w:ascii="Arial" w:cs="Arial" w:eastAsia="Arial" w:hAnsi="Arial"/>
          <w:sz w:val="18"/>
          <w:szCs w:val="18"/>
          <w:color w:val="auto"/>
        </w:rPr>
        <w:t>The board currently believes that separating the roles of chairman and chief executive officer allows for better alignment of corporate governance with stockholder interests and aids in the board’s oversight of management and the board’s ability to carry out its roles and responsibilities on behalf of the stockholders. The board also believes that the separation of the roles of chairman and chief executive officer allows the chief executive officer to focus more of his time and energy on operating and managing the company and leverages the chairman’s leadership and financial, governance and regulatory experience.</w:t>
      </w:r>
    </w:p>
    <w:p>
      <w:pPr>
        <w:spacing w:after="0" w:line="162" w:lineRule="exact"/>
        <w:rPr>
          <w:sz w:val="20"/>
          <w:szCs w:val="20"/>
          <w:color w:val="auto"/>
        </w:rPr>
      </w:pPr>
    </w:p>
    <w:p>
      <w:pPr>
        <w:jc w:val="both"/>
        <w:ind w:left="280"/>
        <w:spacing w:after="0" w:line="238" w:lineRule="auto"/>
        <w:rPr>
          <w:sz w:val="20"/>
          <w:szCs w:val="20"/>
          <w:color w:val="auto"/>
        </w:rPr>
      </w:pPr>
      <w:r>
        <w:rPr>
          <w:rFonts w:ascii="Arial" w:cs="Arial" w:eastAsia="Arial" w:hAnsi="Arial"/>
          <w:sz w:val="18"/>
          <w:szCs w:val="18"/>
          <w:color w:val="auto"/>
        </w:rPr>
        <w:t>The chairman, an independent member of the board who has not previously served as an executive officer of the company, is appointed by the board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115570</wp:posOffset>
            </wp:positionV>
            <wp:extent cx="6918960" cy="21545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18960" cy="2154555"/>
                    </a:xfrm>
                    <a:prstGeom prst="rect">
                      <a:avLst/>
                    </a:prstGeom>
                    <a:noFill/>
                  </pic:spPr>
                </pic:pic>
              </a:graphicData>
            </a:graphic>
          </wp:anchor>
        </w:drawing>
      </w:r>
    </w:p>
    <w:p>
      <w:pPr>
        <w:spacing w:after="0" w:line="2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set forth in the company’s corporate governance guidelines, the responsibilities of the chairman include:</w:t>
      </w:r>
    </w:p>
    <w:p>
      <w:pPr>
        <w:sectPr>
          <w:pgSz w:w="11900" w:h="16838" w:orient="portrait"/>
          <w:cols w:equalWidth="0" w:num="1">
            <w:col w:w="11140"/>
          </w:cols>
          <w:pgMar w:left="240" w:top="454" w:right="519" w:bottom="1440" w:gutter="0" w:footer="0" w:header="0"/>
        </w:sectPr>
      </w:pPr>
    </w:p>
    <w:p>
      <w:pPr>
        <w:spacing w:after="0" w:line="166" w:lineRule="exact"/>
        <w:rPr>
          <w:sz w:val="20"/>
          <w:szCs w:val="20"/>
          <w:color w:val="auto"/>
        </w:rPr>
      </w:pPr>
    </w:p>
    <w:p>
      <w:pPr>
        <w:ind w:left="640" w:hanging="234"/>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acting as chair of regular and special meetings of the board;</w:t>
      </w:r>
    </w:p>
    <w:p>
      <w:pPr>
        <w:spacing w:after="0" w:line="112" w:lineRule="exact"/>
        <w:rPr>
          <w:rFonts w:ascii="Arial" w:cs="Arial" w:eastAsia="Arial" w:hAnsi="Arial"/>
          <w:sz w:val="18"/>
          <w:szCs w:val="18"/>
          <w:color w:val="auto"/>
        </w:rPr>
      </w:pPr>
    </w:p>
    <w:p>
      <w:pPr>
        <w:jc w:val="both"/>
        <w:ind w:left="640" w:hanging="234"/>
        <w:spacing w:after="0" w:line="236"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acting as chair of executive sessions or other meetings of the independent directors and leading such executive sessions and meetings;</w:t>
      </w:r>
    </w:p>
    <w:p>
      <w:pPr>
        <w:spacing w:after="0" w:line="107" w:lineRule="exact"/>
        <w:rPr>
          <w:rFonts w:ascii="Arial" w:cs="Arial" w:eastAsia="Arial" w:hAnsi="Arial"/>
          <w:sz w:val="18"/>
          <w:szCs w:val="18"/>
          <w:color w:val="auto"/>
        </w:rPr>
      </w:pPr>
    </w:p>
    <w:p>
      <w:pPr>
        <w:jc w:val="both"/>
        <w:ind w:left="640" w:hanging="234"/>
        <w:spacing w:after="0" w:line="236"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determining if special meetings of the board should be called (but without prejudice to any rights of others to call special board meetings);</w:t>
      </w:r>
    </w:p>
    <w:p>
      <w:pPr>
        <w:spacing w:after="0" w:line="107" w:lineRule="exact"/>
        <w:rPr>
          <w:rFonts w:ascii="Arial" w:cs="Arial" w:eastAsia="Arial" w:hAnsi="Arial"/>
          <w:sz w:val="18"/>
          <w:szCs w:val="18"/>
          <w:color w:val="auto"/>
        </w:rPr>
      </w:pPr>
    </w:p>
    <w:p>
      <w:pPr>
        <w:jc w:val="both"/>
        <w:ind w:left="640" w:hanging="234"/>
        <w:spacing w:after="0" w:line="235"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acting as a liaison between the chief executive officer and the board and facilitating communication between meetings, including discussing action items with the chief executive officer following executive sessions;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both"/>
        <w:ind w:left="218" w:right="100" w:hanging="218"/>
        <w:spacing w:after="0" w:line="234" w:lineRule="auto"/>
        <w:tabs>
          <w:tab w:leader="none" w:pos="218"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consulting with the chief executive officer regarding agenda items and appropriate materials for board meetings, and the allocation of time to each discussion topic on the agenda and coordinating with committee chairpersons to facilitate their meetings;</w:t>
      </w:r>
    </w:p>
    <w:p>
      <w:pPr>
        <w:spacing w:after="0" w:line="108" w:lineRule="exact"/>
        <w:rPr>
          <w:rFonts w:ascii="Arial" w:cs="Arial" w:eastAsia="Arial" w:hAnsi="Arial"/>
          <w:sz w:val="18"/>
          <w:szCs w:val="18"/>
          <w:color w:val="auto"/>
        </w:rPr>
      </w:pPr>
    </w:p>
    <w:p>
      <w:pPr>
        <w:ind w:left="218" w:hanging="218"/>
        <w:spacing w:after="0"/>
        <w:tabs>
          <w:tab w:leader="none" w:pos="218"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presiding over the annual stockholders meeting;</w:t>
      </w:r>
    </w:p>
    <w:p>
      <w:pPr>
        <w:spacing w:after="0" w:line="112" w:lineRule="exact"/>
        <w:rPr>
          <w:rFonts w:ascii="Arial" w:cs="Arial" w:eastAsia="Arial" w:hAnsi="Arial"/>
          <w:sz w:val="18"/>
          <w:szCs w:val="18"/>
          <w:color w:val="auto"/>
        </w:rPr>
      </w:pPr>
    </w:p>
    <w:p>
      <w:pPr>
        <w:ind w:left="218" w:right="100" w:hanging="218"/>
        <w:spacing w:after="0" w:line="238" w:lineRule="auto"/>
        <w:tabs>
          <w:tab w:leader="none" w:pos="218"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being available to participate in or facilitating appropriate meetings with stockholders; and</w:t>
      </w:r>
    </w:p>
    <w:p>
      <w:pPr>
        <w:spacing w:after="0" w:line="108" w:lineRule="exact"/>
        <w:rPr>
          <w:rFonts w:ascii="Arial" w:cs="Arial" w:eastAsia="Arial" w:hAnsi="Arial"/>
          <w:sz w:val="18"/>
          <w:szCs w:val="18"/>
          <w:color w:val="auto"/>
        </w:rPr>
      </w:pPr>
    </w:p>
    <w:p>
      <w:pPr>
        <w:jc w:val="both"/>
        <w:ind w:left="218" w:right="80" w:hanging="218"/>
        <w:spacing w:after="0" w:line="235" w:lineRule="auto"/>
        <w:tabs>
          <w:tab w:leader="none" w:pos="218"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partnering with the chairman of the compensation and management development committee to provide annual performance evaluation feedback to the chief executive officer.</w:t>
      </w:r>
    </w:p>
    <w:p>
      <w:pPr>
        <w:spacing w:after="0" w:line="200" w:lineRule="exact"/>
        <w:rPr>
          <w:sz w:val="20"/>
          <w:szCs w:val="20"/>
          <w:color w:val="auto"/>
        </w:rPr>
      </w:pPr>
    </w:p>
    <w:p>
      <w:pPr>
        <w:sectPr>
          <w:pgSz w:w="11900" w:h="16838" w:orient="portrait"/>
          <w:cols w:equalWidth="0" w:num="2">
            <w:col w:w="5480" w:space="462"/>
            <w:col w:w="5198"/>
          </w:cols>
          <w:pgMar w:left="240" w:top="454" w:right="519" w:bottom="1440" w:gutter="0" w:footer="0" w:header="0"/>
          <w:type w:val="continuous"/>
        </w:sectPr>
      </w:pPr>
    </w:p>
    <w:p>
      <w:pPr>
        <w:spacing w:after="0" w:line="159"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333333"/>
        </w:rPr>
        <w:t>Director and Nominee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63500</wp:posOffset>
            </wp:positionV>
            <wp:extent cx="68935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173" w:lineRule="exact"/>
        <w:rPr>
          <w:sz w:val="20"/>
          <w:szCs w:val="20"/>
          <w:color w:val="auto"/>
        </w:rPr>
      </w:pPr>
    </w:p>
    <w:p>
      <w:pPr>
        <w:jc w:val="both"/>
        <w:ind w:left="280"/>
        <w:spacing w:after="0" w:line="250" w:lineRule="auto"/>
        <w:rPr>
          <w:sz w:val="20"/>
          <w:szCs w:val="20"/>
          <w:color w:val="auto"/>
        </w:rPr>
      </w:pPr>
      <w:r>
        <w:rPr>
          <w:rFonts w:ascii="Arial" w:cs="Arial" w:eastAsia="Arial" w:hAnsi="Arial"/>
          <w:sz w:val="17"/>
          <w:szCs w:val="17"/>
          <w:color w:val="auto"/>
        </w:rPr>
        <w:t>The board of directors has affirmatively determined that eleven of the twelve current directors on the board and nominees for election at the 2018 meeting, namely, Mr. Chase, Mr. Checki, Mr. Coleman, Ms. Holiday, Dr. Lavizzo-Mourey, Mr. Lipschultz, Mr. McManus, Dr. Meyers, Mr. Quigley, Mr. Reynolds, and Mr. Schrader, are independent within the meaning of the rules and standards of the NYSE. The board determined that these directors and nominees not only met all “bright-line” criteria under these rules, but also that, based on all known relevant facts and circumstances, there did not exist any relationship that would compromise the independence of these directors.</w:t>
      </w:r>
    </w:p>
    <w:p>
      <w:pPr>
        <w:spacing w:after="0" w:line="165"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333333"/>
        </w:rPr>
        <w:t>Meeting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63500</wp:posOffset>
            </wp:positionV>
            <wp:extent cx="68935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159" w:lineRule="exact"/>
        <w:rPr>
          <w:sz w:val="20"/>
          <w:szCs w:val="20"/>
          <w:color w:val="auto"/>
        </w:rPr>
      </w:pPr>
    </w:p>
    <w:p>
      <w:pPr>
        <w:jc w:val="both"/>
        <w:ind w:left="280"/>
        <w:spacing w:after="0" w:line="238" w:lineRule="auto"/>
        <w:rPr>
          <w:sz w:val="20"/>
          <w:szCs w:val="20"/>
          <w:color w:val="auto"/>
        </w:rPr>
      </w:pPr>
      <w:r>
        <w:rPr>
          <w:rFonts w:ascii="Arial" w:cs="Arial" w:eastAsia="Arial" w:hAnsi="Arial"/>
          <w:sz w:val="18"/>
          <w:szCs w:val="18"/>
          <w:color w:val="auto"/>
        </w:rPr>
        <w:t>The board of directors met 9 times in 2017. Each director attended at least 75% of the aggregate of all board of directors meetings and all meetings of the committees of the board of directors on which he or she served during 2017.</w:t>
      </w:r>
    </w:p>
    <w:p>
      <w:pPr>
        <w:spacing w:after="0" w:line="162" w:lineRule="exact"/>
        <w:rPr>
          <w:sz w:val="20"/>
          <w:szCs w:val="20"/>
          <w:color w:val="auto"/>
        </w:rPr>
      </w:pPr>
    </w:p>
    <w:p>
      <w:pPr>
        <w:jc w:val="both"/>
        <w:ind w:left="280"/>
        <w:spacing w:after="0" w:line="238" w:lineRule="auto"/>
        <w:rPr>
          <w:sz w:val="20"/>
          <w:szCs w:val="20"/>
          <w:color w:val="auto"/>
        </w:rPr>
      </w:pPr>
      <w:r>
        <w:rPr>
          <w:rFonts w:ascii="Arial" w:cs="Arial" w:eastAsia="Arial" w:hAnsi="Arial"/>
          <w:sz w:val="18"/>
          <w:szCs w:val="18"/>
          <w:color w:val="auto"/>
        </w:rPr>
        <w:t>Non-management directors meet without members of management present after each regularly scheduled board meeting. The chairman of the board of directors presides at these meetings.</w:t>
      </w:r>
    </w:p>
    <w:p>
      <w:pPr>
        <w:spacing w:after="0" w:line="175" w:lineRule="exact"/>
        <w:rPr>
          <w:sz w:val="20"/>
          <w:szCs w:val="20"/>
          <w:color w:val="auto"/>
        </w:rPr>
      </w:pPr>
    </w:p>
    <w:p>
      <w:pPr>
        <w:jc w:val="both"/>
        <w:ind w:left="280"/>
        <w:spacing w:after="0" w:line="238" w:lineRule="auto"/>
        <w:rPr>
          <w:sz w:val="20"/>
          <w:szCs w:val="20"/>
          <w:color w:val="auto"/>
        </w:rPr>
      </w:pPr>
      <w:r>
        <w:rPr>
          <w:rFonts w:ascii="Arial" w:cs="Arial" w:eastAsia="Arial" w:hAnsi="Arial"/>
          <w:sz w:val="18"/>
          <w:szCs w:val="18"/>
          <w:color w:val="auto"/>
        </w:rPr>
        <w:t>All of the current directors who were serving as a director at the time of last year’s annual meeting attended that meeting, other than Mr. Lipschultz, who had a prior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1769745</wp:posOffset>
            </wp:positionH>
            <wp:positionV relativeFrom="paragraph">
              <wp:posOffset>86360</wp:posOffset>
            </wp:positionV>
            <wp:extent cx="405765" cy="2451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216" w:lineRule="exact"/>
        <w:rPr>
          <w:sz w:val="20"/>
          <w:szCs w:val="20"/>
          <w:color w:val="auto"/>
        </w:rPr>
      </w:pPr>
    </w:p>
    <w:p>
      <w:pPr>
        <w:ind w:left="680" w:hanging="394"/>
        <w:spacing w:after="0"/>
        <w:tabs>
          <w:tab w:leader="none" w:pos="680" w:val="left"/>
        </w:tabs>
        <w:numPr>
          <w:ilvl w:val="0"/>
          <w:numId w:val="26"/>
        </w:numPr>
        <w:rPr>
          <w:rFonts w:ascii="Arial" w:cs="Arial" w:eastAsia="Arial" w:hAnsi="Arial"/>
          <w:sz w:val="14"/>
          <w:szCs w:val="14"/>
          <w:b w:val="1"/>
          <w:bCs w:val="1"/>
          <w:color w:val="007549"/>
        </w:rPr>
      </w:pPr>
      <w:r>
        <w:rPr>
          <w:rFonts w:ascii="Arial" w:cs="Arial" w:eastAsia="Arial" w:hAnsi="Arial"/>
          <w:sz w:val="12"/>
          <w:szCs w:val="12"/>
          <w:b w:val="1"/>
          <w:bCs w:val="1"/>
          <w:color w:val="666666"/>
        </w:rPr>
        <w:t>2018 PROXY STATEMENT</w:t>
      </w:r>
    </w:p>
    <w:p>
      <w:pPr>
        <w:sectPr>
          <w:pgSz w:w="11900" w:h="16838" w:orient="portrait"/>
          <w:cols w:equalWidth="0" w:num="1">
            <w:col w:w="11140"/>
          </w:cols>
          <w:pgMar w:left="240" w:top="454" w:right="51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7549"/>
        </w:rPr>
        <w:t xml:space="preserve">Proposal 1: Election of Directors </w:t>
      </w:r>
      <w:r>
        <w:rPr>
          <w:rFonts w:ascii="Arial" w:cs="Arial" w:eastAsia="Arial" w:hAnsi="Arial"/>
          <w:sz w:val="16"/>
          <w:szCs w:val="16"/>
          <w:b w:val="1"/>
          <w:bCs w:val="1"/>
          <w:color w:val="000000"/>
        </w:rPr>
        <w:t>+ Corporate Governance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55245</wp:posOffset>
            </wp:positionV>
            <wp:extent cx="68935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238"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333333"/>
        </w:rPr>
        <w:t>Corporate Governance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63500</wp:posOffset>
            </wp:positionV>
            <wp:extent cx="68935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159" w:lineRule="exact"/>
        <w:rPr>
          <w:sz w:val="20"/>
          <w:szCs w:val="20"/>
          <w:color w:val="auto"/>
        </w:rPr>
      </w:pPr>
    </w:p>
    <w:p>
      <w:pPr>
        <w:jc w:val="both"/>
        <w:ind w:left="280"/>
        <w:spacing w:after="0" w:line="233" w:lineRule="auto"/>
        <w:rPr>
          <w:sz w:val="20"/>
          <w:szCs w:val="20"/>
          <w:color w:val="auto"/>
        </w:rPr>
      </w:pPr>
      <w:r>
        <w:rPr>
          <w:rFonts w:ascii="Arial" w:cs="Arial" w:eastAsia="Arial" w:hAnsi="Arial"/>
          <w:sz w:val="18"/>
          <w:szCs w:val="18"/>
          <w:color w:val="auto"/>
        </w:rPr>
        <w:t xml:space="preserve">The board has approved a set of corporate governance guidelines in accordance with the rules of the NYSE. These guidelines set forth the key policies relating to corporate governance, including director qualification standards, director responsibilities and director compensation. The board has also approved a code of business conduct and ethics in accordance with rules of the NYSE and the SEC applicable to all directors, officers and employees, including the chief executive officer, the principal financial and accounting officer and other senior financial officers. The code is intended to provide guidance to directors and management to assure compliance with law and promote ethical behavior. Copies of the company’s corporate governance guidelines and its code of business conduct and ethics may be found on the company’s website at </w:t>
      </w:r>
      <w:r>
        <w:rPr>
          <w:rFonts w:ascii="Arial" w:cs="Arial" w:eastAsia="Arial" w:hAnsi="Arial"/>
          <w:sz w:val="18"/>
          <w:szCs w:val="18"/>
          <w:b w:val="1"/>
          <w:bCs w:val="1"/>
          <w:color w:val="007549"/>
        </w:rPr>
        <w:t>www.hess.com</w:t>
      </w:r>
      <w:r>
        <w:rPr>
          <w:rFonts w:ascii="Arial" w:cs="Arial" w:eastAsia="Arial" w:hAnsi="Arial"/>
          <w:sz w:val="18"/>
          <w:szCs w:val="18"/>
          <w:color w:val="auto"/>
        </w:rPr>
        <w:t xml:space="preserve"> and are also available without charge upon request to the company’s corporate secretary at the address set forth on page 55.</w:t>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333333"/>
        </w:rPr>
        <w:t>Stockholder and Interested Party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63500</wp:posOffset>
            </wp:positionV>
            <wp:extent cx="68935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173" w:lineRule="exact"/>
        <w:rPr>
          <w:sz w:val="20"/>
          <w:szCs w:val="20"/>
          <w:color w:val="auto"/>
        </w:rPr>
      </w:pPr>
    </w:p>
    <w:p>
      <w:pPr>
        <w:jc w:val="both"/>
        <w:ind w:left="280"/>
        <w:spacing w:after="0" w:line="248" w:lineRule="auto"/>
        <w:rPr>
          <w:sz w:val="20"/>
          <w:szCs w:val="20"/>
          <w:color w:val="auto"/>
        </w:rPr>
      </w:pPr>
      <w:r>
        <w:rPr>
          <w:rFonts w:ascii="Arial" w:cs="Arial" w:eastAsia="Arial" w:hAnsi="Arial"/>
          <w:sz w:val="17"/>
          <w:szCs w:val="17"/>
          <w:color w:val="auto"/>
        </w:rPr>
        <w:t xml:space="preserve">Any stockholder or interested party who wishes to communicate or request a meeting with members of the board of directors or with only non-management directors or any specified individual director may do so by writing to them in care of the chairman of the board of directors, Hess Corporation, at the address set forth on page 55. Stockholders may also communicate directly to the chairman by e-mail to </w:t>
      </w:r>
      <w:r>
        <w:rPr>
          <w:rFonts w:ascii="Arial" w:cs="Arial" w:eastAsia="Arial" w:hAnsi="Arial"/>
          <w:sz w:val="17"/>
          <w:szCs w:val="17"/>
          <w:b w:val="1"/>
          <w:bCs w:val="1"/>
          <w:color w:val="007549"/>
        </w:rPr>
        <w:t>BoardChairman@hess.com</w:t>
      </w:r>
      <w:r>
        <w:rPr>
          <w:rFonts w:ascii="Arial" w:cs="Arial" w:eastAsia="Arial" w:hAnsi="Arial"/>
          <w:sz w:val="17"/>
          <w:szCs w:val="17"/>
          <w:color w:val="000000"/>
        </w:rPr>
        <w:t>. Communications sent by mail or e-mail will be reviewed by the chairman and will be referred for resolution</w:t>
      </w:r>
      <w:r>
        <w:rPr>
          <w:rFonts w:ascii="Arial" w:cs="Arial" w:eastAsia="Arial" w:hAnsi="Arial"/>
          <w:sz w:val="17"/>
          <w:szCs w:val="17"/>
          <w:b w:val="1"/>
          <w:bCs w:val="1"/>
          <w:color w:val="007549"/>
        </w:rPr>
        <w:t xml:space="preserve"> </w:t>
      </w:r>
      <w:r>
        <w:rPr>
          <w:rFonts w:ascii="Arial" w:cs="Arial" w:eastAsia="Arial" w:hAnsi="Arial"/>
          <w:sz w:val="17"/>
          <w:szCs w:val="17"/>
          <w:color w:val="000000"/>
        </w:rPr>
        <w:t>and response as deemed appropriate by the chairman. If a stockholder requests a meeting, the corporate governance and nominating committee will decide whether the subject matter is a proper one to be addressed by the board and, if so, whether a meeting is warranted. The corporate governance and nominating committee will meet periodically to review all stockholder communications received.</w:t>
      </w:r>
    </w:p>
    <w:p>
      <w:pPr>
        <w:spacing w:after="0" w:line="168"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333333"/>
        </w:rPr>
        <w:t>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63500</wp:posOffset>
            </wp:positionV>
            <wp:extent cx="68935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159" w:lineRule="exact"/>
        <w:rPr>
          <w:sz w:val="20"/>
          <w:szCs w:val="20"/>
          <w:color w:val="auto"/>
        </w:rPr>
      </w:pPr>
    </w:p>
    <w:p>
      <w:pPr>
        <w:jc w:val="both"/>
        <w:ind w:left="280"/>
        <w:spacing w:after="0" w:line="232" w:lineRule="auto"/>
        <w:rPr>
          <w:sz w:val="20"/>
          <w:szCs w:val="20"/>
          <w:color w:val="auto"/>
        </w:rPr>
      </w:pPr>
      <w:r>
        <w:rPr>
          <w:rFonts w:ascii="Arial" w:cs="Arial" w:eastAsia="Arial" w:hAnsi="Arial"/>
          <w:sz w:val="18"/>
          <w:szCs w:val="18"/>
          <w:color w:val="auto"/>
        </w:rPr>
        <w:t>The company expects all directors and executive officers to bring to the company’s attention any related party transactions, including transactions which may be required to be disclosed under Item 404 of Regulation S-K promulgated by the SEC. The company’s policies provide that if any company representative, including a director or officer, considers conducting any transaction that reasonably would be expected to give rise to a conflict of interest between the representative and the company, such representative must disclose such transaction in advance to the company’s legal department for review. In addition, the company annually sends each director and executive officer a questionnaire requiring such person to describe any transaction contemplated under Item 404 or in the case of independent directors, any transaction that might compromise their independence. The company also annually conducts a review of its accounting records to determine whether any such related party transaction occurred in the prior fiscal year. If any proposed or existing related party transaction is identified, the transaction is brought to the general counsel for review. If the general counsel determines the transaction poses a conflict of interest, or would compromise the independence of a non-management director, the general counsel will advise the audit committee of the transaction and the disinterested members of the audit committee will determine whether the transaction serves the best interest of the company and its stockholders and whether if proposed, it may proceed and if existing, it may continue to exist. The general counsel and the disinterested members of the audit committee will determine the appropriate scope of, and process for, the review of any such transaction based on the then existing facts and circumstances of the transaction in view of applicable listing standards of the NYSE.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5115560</wp:posOffset>
            </wp:positionH>
            <wp:positionV relativeFrom="paragraph">
              <wp:posOffset>88265</wp:posOffset>
            </wp:positionV>
            <wp:extent cx="405765" cy="2451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213" w:lineRule="exact"/>
        <w:rPr>
          <w:sz w:val="20"/>
          <w:szCs w:val="20"/>
          <w:color w:val="auto"/>
        </w:rPr>
      </w:pPr>
    </w:p>
    <w:tbl>
      <w:tblPr>
        <w:tblLayout w:type="fixed"/>
        <w:tblInd w:w="9220" w:type="dxa"/>
        <w:tblCellMar>
          <w:top w:w="0" w:type="dxa"/>
          <w:left w:w="0" w:type="dxa"/>
          <w:bottom w:w="0" w:type="dxa"/>
          <w:right w:w="0" w:type="dxa"/>
        </w:tblCellMar>
      </w:tblPr>
      <w:tr>
        <w:trPr>
          <w:trHeight w:val="188"/>
        </w:trPr>
        <w:tc>
          <w:tcPr>
            <w:tcW w:w="1680" w:type="dxa"/>
            <w:vAlign w:val="bottom"/>
          </w:tcPr>
          <w:p>
            <w:pPr>
              <w:spacing w:after="0"/>
              <w:rPr>
                <w:sz w:val="20"/>
                <w:szCs w:val="20"/>
                <w:color w:val="auto"/>
              </w:rPr>
            </w:pPr>
            <w:r>
              <w:rPr>
                <w:rFonts w:ascii="Arial" w:cs="Arial" w:eastAsia="Arial" w:hAnsi="Arial"/>
                <w:sz w:val="12"/>
                <w:szCs w:val="12"/>
                <w:b w:val="1"/>
                <w:bCs w:val="1"/>
                <w:color w:val="666666"/>
              </w:rPr>
              <w:t>2018 PROXY STATEMENT</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007549"/>
              </w:rPr>
              <w:t>9</w:t>
            </w:r>
          </w:p>
        </w:tc>
      </w:tr>
    </w:tbl>
    <w:p>
      <w:pPr>
        <w:sectPr>
          <w:pgSz w:w="11900" w:h="16838" w:orient="portrait"/>
          <w:cols w:equalWidth="0" w:num="1">
            <w:col w:w="11140"/>
          </w:cols>
          <w:pgMar w:left="240" w:top="454" w:right="5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007549"/>
        </w:rPr>
        <w:t xml:space="preserve">Proposal 1: Election of Directors </w:t>
      </w:r>
      <w:r>
        <w:rPr>
          <w:rFonts w:ascii="Arial" w:cs="Arial" w:eastAsia="Arial" w:hAnsi="Arial"/>
          <w:sz w:val="16"/>
          <w:szCs w:val="16"/>
          <w:b w:val="1"/>
          <w:bCs w:val="1"/>
          <w:color w:val="000000"/>
        </w:rPr>
        <w:t>+ 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55245</wp:posOffset>
            </wp:positionV>
            <wp:extent cx="68935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238"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333333"/>
        </w:rPr>
        <w:t>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63500</wp:posOffset>
            </wp:positionV>
            <wp:extent cx="68935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159" w:lineRule="exact"/>
        <w:rPr>
          <w:sz w:val="20"/>
          <w:szCs w:val="20"/>
          <w:color w:val="auto"/>
        </w:rPr>
      </w:pPr>
    </w:p>
    <w:p>
      <w:pPr>
        <w:jc w:val="both"/>
        <w:ind w:left="280"/>
        <w:spacing w:after="0" w:line="235" w:lineRule="auto"/>
        <w:rPr>
          <w:sz w:val="20"/>
          <w:szCs w:val="20"/>
          <w:color w:val="auto"/>
        </w:rPr>
      </w:pPr>
      <w:r>
        <w:rPr>
          <w:rFonts w:ascii="Arial" w:cs="Arial" w:eastAsia="Arial" w:hAnsi="Arial"/>
          <w:sz w:val="18"/>
          <w:szCs w:val="18"/>
          <w:color w:val="auto"/>
        </w:rPr>
        <w:t xml:space="preserve">The board has three standing committees: the compensation and management development committee, the corporate governance and nominating committee and the audit committee. Each committee’s written charter is available on our website at </w:t>
      </w:r>
      <w:r>
        <w:rPr>
          <w:rFonts w:ascii="Arial" w:cs="Arial" w:eastAsia="Arial" w:hAnsi="Arial"/>
          <w:sz w:val="18"/>
          <w:szCs w:val="18"/>
          <w:b w:val="1"/>
          <w:bCs w:val="1"/>
          <w:color w:val="007549"/>
        </w:rPr>
        <w:t>www.hess.com</w:t>
      </w:r>
      <w:r>
        <w:rPr>
          <w:rFonts w:ascii="Arial" w:cs="Arial" w:eastAsia="Arial" w:hAnsi="Arial"/>
          <w:sz w:val="18"/>
          <w:szCs w:val="18"/>
          <w:color w:val="auto"/>
        </w:rPr>
        <w:t xml:space="preserve"> and also available without charge upon request to the company’s corporate secretary at the address set forth on page 55. The board receives regular reports from each committee and discusses matters of particular concern or importance.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144780</wp:posOffset>
            </wp:positionV>
            <wp:extent cx="6893560" cy="1860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93560" cy="186055"/>
                    </a:xfrm>
                    <a:prstGeom prst="rect">
                      <a:avLst/>
                    </a:prstGeom>
                    <a:noFill/>
                  </pic:spPr>
                </pic:pic>
              </a:graphicData>
            </a:graphic>
          </wp:anchor>
        </w:drawing>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FFFFF"/>
        </w:rPr>
        <w:t>Compensation and Management Development Committee</w:t>
      </w:r>
    </w:p>
    <w:p>
      <w:pPr>
        <w:sectPr>
          <w:pgSz w:w="11900" w:h="16838" w:orient="portrait"/>
          <w:cols w:equalWidth="0" w:num="1">
            <w:col w:w="11140"/>
          </w:cols>
          <w:pgMar w:left="240" w:top="454"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Dr. Lavizzo-Mourey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-1060450</wp:posOffset>
            </wp:positionV>
            <wp:extent cx="810895" cy="8108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10895" cy="810895"/>
                    </a:xfrm>
                    <a:prstGeom prst="rect">
                      <a:avLst/>
                    </a:prstGeom>
                    <a:noFill/>
                  </pic:spPr>
                </pic:pic>
              </a:graphicData>
            </a:graphic>
          </wp:anchor>
        </w:drawing>
      </w:r>
    </w:p>
    <w:p>
      <w:pPr>
        <w:ind w:left="360"/>
        <w:spacing w:after="0" w:line="236" w:lineRule="auto"/>
        <w:rPr>
          <w:sz w:val="20"/>
          <w:szCs w:val="20"/>
          <w:color w:val="auto"/>
        </w:rPr>
      </w:pPr>
      <w:r>
        <w:rPr>
          <w:rFonts w:ascii="Arial" w:cs="Arial" w:eastAsia="Arial" w:hAnsi="Arial"/>
          <w:sz w:val="18"/>
          <w:szCs w:val="18"/>
          <w:color w:val="auto"/>
        </w:rPr>
        <w:t>(Chair)</w:t>
      </w:r>
    </w:p>
    <w:p>
      <w:pPr>
        <w:ind w:left="360"/>
        <w:spacing w:after="0" w:line="231" w:lineRule="auto"/>
        <w:rPr>
          <w:sz w:val="20"/>
          <w:szCs w:val="20"/>
          <w:color w:val="auto"/>
        </w:rPr>
      </w:pPr>
      <w:r>
        <w:rPr>
          <w:rFonts w:ascii="Arial" w:cs="Arial" w:eastAsia="Arial" w:hAnsi="Arial"/>
          <w:sz w:val="18"/>
          <w:szCs w:val="18"/>
          <w:color w:val="auto"/>
        </w:rPr>
        <w:t>Mr. Checki</w:t>
      </w:r>
    </w:p>
    <w:p>
      <w:pPr>
        <w:ind w:left="360"/>
        <w:spacing w:after="0" w:line="231" w:lineRule="auto"/>
        <w:rPr>
          <w:sz w:val="20"/>
          <w:szCs w:val="20"/>
          <w:color w:val="auto"/>
        </w:rPr>
      </w:pPr>
      <w:r>
        <w:rPr>
          <w:rFonts w:ascii="Arial" w:cs="Arial" w:eastAsia="Arial" w:hAnsi="Arial"/>
          <w:sz w:val="18"/>
          <w:szCs w:val="18"/>
          <w:color w:val="auto"/>
        </w:rPr>
        <w:t>Mr. Lipschultz</w:t>
      </w:r>
    </w:p>
    <w:p>
      <w:pPr>
        <w:ind w:left="360"/>
        <w:spacing w:after="0" w:line="232" w:lineRule="auto"/>
        <w:rPr>
          <w:sz w:val="20"/>
          <w:szCs w:val="20"/>
          <w:color w:val="auto"/>
        </w:rPr>
      </w:pPr>
      <w:r>
        <w:rPr>
          <w:rFonts w:ascii="Arial" w:cs="Arial" w:eastAsia="Arial" w:hAnsi="Arial"/>
          <w:sz w:val="18"/>
          <w:szCs w:val="18"/>
          <w:color w:val="auto"/>
        </w:rPr>
        <w:t>Mr. McManus</w:t>
      </w:r>
    </w:p>
    <w:p>
      <w:pPr>
        <w:ind w:left="360"/>
        <w:spacing w:after="0"/>
        <w:rPr>
          <w:sz w:val="20"/>
          <w:szCs w:val="20"/>
          <w:color w:val="auto"/>
        </w:rPr>
      </w:pPr>
      <w:r>
        <w:rPr>
          <w:rFonts w:ascii="Arial" w:cs="Arial" w:eastAsia="Arial" w:hAnsi="Arial"/>
          <w:sz w:val="18"/>
          <w:szCs w:val="18"/>
          <w:color w:val="auto"/>
        </w:rPr>
        <w:t>Mr. Quigley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All committee</w:t>
      </w:r>
    </w:p>
    <w:p>
      <w:pPr>
        <w:ind w:left="360"/>
        <w:spacing w:after="0" w:line="231" w:lineRule="auto"/>
        <w:rPr>
          <w:sz w:val="20"/>
          <w:szCs w:val="20"/>
          <w:color w:val="auto"/>
        </w:rPr>
      </w:pPr>
      <w:r>
        <w:rPr>
          <w:rFonts w:ascii="Arial" w:cs="Arial" w:eastAsia="Arial" w:hAnsi="Arial"/>
          <w:sz w:val="18"/>
          <w:szCs w:val="18"/>
          <w:color w:val="auto"/>
        </w:rPr>
        <w:t>members are</w:t>
      </w:r>
    </w:p>
    <w:p>
      <w:pPr>
        <w:ind w:left="360"/>
        <w:spacing w:after="0"/>
        <w:rPr>
          <w:sz w:val="20"/>
          <w:szCs w:val="20"/>
          <w:color w:val="auto"/>
        </w:rPr>
      </w:pPr>
      <w:r>
        <w:rPr>
          <w:rFonts w:ascii="Arial" w:cs="Arial" w:eastAsia="Arial" w:hAnsi="Arial"/>
          <w:sz w:val="18"/>
          <w:szCs w:val="18"/>
          <w:color w:val="auto"/>
        </w:rPr>
        <w:t>independent</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49"/>
        </w:rPr>
        <w:t>6 meetings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43815</wp:posOffset>
            </wp:positionV>
            <wp:extent cx="55079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507990" cy="825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The committee’s principal responsibilities are to:</w:t>
      </w:r>
    </w:p>
    <w:p>
      <w:pPr>
        <w:spacing w:after="0" w:line="72" w:lineRule="exact"/>
        <w:rPr>
          <w:sz w:val="20"/>
          <w:szCs w:val="20"/>
          <w:color w:val="auto"/>
        </w:rPr>
      </w:pPr>
    </w:p>
    <w:p>
      <w:pPr>
        <w:ind w:left="260" w:hanging="171"/>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 and approve the company’s overall compensation philosophy;</w:t>
      </w:r>
    </w:p>
    <w:p>
      <w:pPr>
        <w:spacing w:after="0" w:line="72" w:lineRule="exact"/>
        <w:rPr>
          <w:rFonts w:ascii="Arial" w:cs="Arial" w:eastAsia="Arial" w:hAnsi="Arial"/>
          <w:sz w:val="18"/>
          <w:szCs w:val="18"/>
          <w:color w:val="auto"/>
        </w:rPr>
      </w:pPr>
    </w:p>
    <w:p>
      <w:pPr>
        <w:ind w:left="260" w:hanging="171"/>
        <w:spacing w:after="0" w:line="238" w:lineRule="auto"/>
        <w:tabs>
          <w:tab w:leader="none" w:pos="24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performance goals and objectives for the company’s chief executive officer and reviews the goals set by the company’s chief executive officer for the other named executive officers;</w:t>
      </w:r>
    </w:p>
    <w:p>
      <w:pPr>
        <w:spacing w:after="0" w:line="68" w:lineRule="exact"/>
        <w:rPr>
          <w:rFonts w:ascii="Arial" w:cs="Arial" w:eastAsia="Arial" w:hAnsi="Arial"/>
          <w:sz w:val="18"/>
          <w:szCs w:val="18"/>
          <w:color w:val="auto"/>
        </w:rPr>
      </w:pPr>
    </w:p>
    <w:p>
      <w:pPr>
        <w:ind w:left="260" w:hanging="171"/>
        <w:spacing w:after="0" w:line="238" w:lineRule="auto"/>
        <w:tabs>
          <w:tab w:leader="none" w:pos="24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 the performance and approve the compensation of the company’s chief executive officer and other named executive officers;</w:t>
      </w:r>
    </w:p>
    <w:p>
      <w:pPr>
        <w:spacing w:after="0" w:line="68" w:lineRule="exact"/>
        <w:rPr>
          <w:rFonts w:ascii="Arial" w:cs="Arial" w:eastAsia="Arial" w:hAnsi="Arial"/>
          <w:sz w:val="18"/>
          <w:szCs w:val="18"/>
          <w:color w:val="auto"/>
        </w:rPr>
      </w:pPr>
    </w:p>
    <w:p>
      <w:pPr>
        <w:ind w:left="260" w:hanging="171"/>
        <w:spacing w:after="0" w:line="238" w:lineRule="auto"/>
        <w:tabs>
          <w:tab w:leader="none" w:pos="24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oversight and monitor the company’s compensation and benefit programs, including the company’s pension, savings, bonus, medical, health and wellness plans;</w:t>
      </w:r>
    </w:p>
    <w:p>
      <w:pPr>
        <w:spacing w:after="0" w:line="68" w:lineRule="exact"/>
        <w:rPr>
          <w:rFonts w:ascii="Arial" w:cs="Arial" w:eastAsia="Arial" w:hAnsi="Arial"/>
          <w:sz w:val="18"/>
          <w:szCs w:val="18"/>
          <w:color w:val="auto"/>
        </w:rPr>
      </w:pPr>
    </w:p>
    <w:p>
      <w:pPr>
        <w:ind w:left="260" w:hanging="171"/>
        <w:spacing w:after="0" w:line="238" w:lineRule="auto"/>
        <w:tabs>
          <w:tab w:leader="none" w:pos="24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administer and make awards of stock-based compensation under the company’s long-term incentive plans;</w:t>
      </w:r>
    </w:p>
    <w:p>
      <w:pPr>
        <w:spacing w:after="0" w:line="68" w:lineRule="exact"/>
        <w:rPr>
          <w:rFonts w:ascii="Arial" w:cs="Arial" w:eastAsia="Arial" w:hAnsi="Arial"/>
          <w:sz w:val="18"/>
          <w:szCs w:val="18"/>
          <w:color w:val="auto"/>
        </w:rPr>
      </w:pPr>
    </w:p>
    <w:p>
      <w:pPr>
        <w:ind w:left="260" w:hanging="171"/>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 management development and succession programs;</w:t>
      </w:r>
    </w:p>
    <w:p>
      <w:pPr>
        <w:spacing w:after="0" w:line="72" w:lineRule="exact"/>
        <w:rPr>
          <w:rFonts w:ascii="Arial" w:cs="Arial" w:eastAsia="Arial" w:hAnsi="Arial"/>
          <w:sz w:val="18"/>
          <w:szCs w:val="18"/>
          <w:color w:val="auto"/>
        </w:rPr>
      </w:pPr>
    </w:p>
    <w:p>
      <w:pPr>
        <w:ind w:left="260" w:hanging="171"/>
        <w:spacing w:after="0"/>
        <w:tabs>
          <w:tab w:leader="none" w:pos="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oversee the assessment of potential risks to the company from its compensation programs and policies;</w:t>
      </w:r>
    </w:p>
    <w:p>
      <w:pPr>
        <w:spacing w:after="0" w:line="83" w:lineRule="exact"/>
        <w:rPr>
          <w:rFonts w:ascii="Arial" w:cs="Arial" w:eastAsia="Arial" w:hAnsi="Arial"/>
          <w:sz w:val="17"/>
          <w:szCs w:val="17"/>
          <w:color w:val="auto"/>
        </w:rPr>
      </w:pPr>
    </w:p>
    <w:p>
      <w:pPr>
        <w:ind w:left="260" w:hanging="171"/>
        <w:spacing w:after="0" w:line="238" w:lineRule="auto"/>
        <w:tabs>
          <w:tab w:leader="none" w:pos="24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approve the retention and review the performance and independence of compensation consultants to the committee; and</w:t>
      </w:r>
    </w:p>
    <w:p>
      <w:pPr>
        <w:spacing w:after="0" w:line="68" w:lineRule="exact"/>
        <w:rPr>
          <w:rFonts w:ascii="Arial" w:cs="Arial" w:eastAsia="Arial" w:hAnsi="Arial"/>
          <w:sz w:val="18"/>
          <w:szCs w:val="18"/>
          <w:color w:val="auto"/>
        </w:rPr>
      </w:pPr>
    </w:p>
    <w:p>
      <w:pPr>
        <w:ind w:left="260" w:hanging="171"/>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prepare an annual report on executive compensation for the company’s proxy statement.</w:t>
      </w:r>
    </w:p>
    <w:p>
      <w:pPr>
        <w:spacing w:after="0" w:line="54"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Executive Compensation</w:t>
      </w:r>
      <w:r>
        <w:rPr>
          <w:rFonts w:ascii="Arial" w:cs="Arial" w:eastAsia="Arial" w:hAnsi="Arial"/>
          <w:sz w:val="18"/>
          <w:szCs w:val="18"/>
          <w:color w:val="auto"/>
        </w:rPr>
        <w:t>. The committee’s processes for determining executive compensation are</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in “Compensation Discussion and Analysis” on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-1519555</wp:posOffset>
            </wp:positionH>
            <wp:positionV relativeFrom="paragraph">
              <wp:posOffset>-8255</wp:posOffset>
            </wp:positionV>
            <wp:extent cx="68935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93560" cy="8255"/>
                    </a:xfrm>
                    <a:prstGeom prst="rect">
                      <a:avLst/>
                    </a:prstGeom>
                    <a:noFill/>
                  </pic:spPr>
                </pic:pic>
              </a:graphicData>
            </a:graphic>
          </wp:anchor>
        </w:drawing>
        <w:drawing>
          <wp:anchor simplePos="0" relativeHeight="251657728" behindDoc="1" locked="0" layoutInCell="0" allowOverlap="1">
            <wp:simplePos x="0" y="0"/>
            <wp:positionH relativeFrom="column">
              <wp:posOffset>-1519555</wp:posOffset>
            </wp:positionH>
            <wp:positionV relativeFrom="paragraph">
              <wp:posOffset>151765</wp:posOffset>
            </wp:positionV>
            <wp:extent cx="6893560" cy="1860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93560" cy="1860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60" w:space="720"/>
            <w:col w:w="8460"/>
          </w:cols>
          <w:pgMar w:left="240" w:top="454" w:right="519" w:bottom="1440" w:gutter="0" w:footer="0" w:header="0"/>
          <w:type w:val="continuous"/>
        </w:sectPr>
      </w:pPr>
    </w:p>
    <w:p>
      <w:pPr>
        <w:spacing w:after="0" w:line="5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FFFFFF"/>
        </w:rPr>
        <w:t>Corporate Governance and Nominating Committee</w:t>
      </w:r>
    </w:p>
    <w:p>
      <w:pPr>
        <w:sectPr>
          <w:pgSz w:w="11900" w:h="16838" w:orient="portrait"/>
          <w:cols w:equalWidth="0" w:num="1">
            <w:col w:w="11140"/>
          </w:cols>
          <w:pgMar w:left="240" w:top="454"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60" w:right="180"/>
        <w:spacing w:after="0" w:line="234" w:lineRule="auto"/>
        <w:rPr>
          <w:sz w:val="20"/>
          <w:szCs w:val="20"/>
          <w:color w:val="auto"/>
        </w:rPr>
      </w:pPr>
      <w:r>
        <w:rPr>
          <w:rFonts w:ascii="Arial" w:cs="Arial" w:eastAsia="Arial" w:hAnsi="Arial"/>
          <w:sz w:val="18"/>
          <w:szCs w:val="18"/>
          <w:color w:val="auto"/>
        </w:rPr>
        <w:t>Ms. Holiday (Chair) Mr. Chase Mr. Checki Mr. Coleman Mr. Reynolds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-1475740</wp:posOffset>
            </wp:positionV>
            <wp:extent cx="810895" cy="8108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10895" cy="810895"/>
                    </a:xfrm>
                    <a:prstGeom prst="rect">
                      <a:avLst/>
                    </a:prstGeom>
                    <a:noFill/>
                  </pic:spPr>
                </pic:pic>
              </a:graphicData>
            </a:graphic>
          </wp:anchor>
        </w:drawing>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All committee</w:t>
      </w:r>
    </w:p>
    <w:p>
      <w:pPr>
        <w:ind w:left="360"/>
        <w:spacing w:after="0" w:line="231" w:lineRule="auto"/>
        <w:rPr>
          <w:sz w:val="20"/>
          <w:szCs w:val="20"/>
          <w:color w:val="auto"/>
        </w:rPr>
      </w:pPr>
      <w:r>
        <w:rPr>
          <w:rFonts w:ascii="Arial" w:cs="Arial" w:eastAsia="Arial" w:hAnsi="Arial"/>
          <w:sz w:val="18"/>
          <w:szCs w:val="18"/>
          <w:color w:val="auto"/>
        </w:rPr>
        <w:t>members are</w:t>
      </w:r>
    </w:p>
    <w:p>
      <w:pPr>
        <w:ind w:left="360"/>
        <w:spacing w:after="0"/>
        <w:rPr>
          <w:sz w:val="20"/>
          <w:szCs w:val="20"/>
          <w:color w:val="auto"/>
        </w:rPr>
      </w:pPr>
      <w:r>
        <w:rPr>
          <w:rFonts w:ascii="Arial" w:cs="Arial" w:eastAsia="Arial" w:hAnsi="Arial"/>
          <w:sz w:val="18"/>
          <w:szCs w:val="18"/>
          <w:color w:val="auto"/>
        </w:rPr>
        <w:t>independent</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49"/>
        </w:rPr>
        <w:t>6 meetings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43815</wp:posOffset>
            </wp:positionV>
            <wp:extent cx="54406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440680" cy="825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The committee’s principal responsibilities are to:</w:t>
      </w:r>
    </w:p>
    <w:p>
      <w:pPr>
        <w:spacing w:after="0" w:line="72" w:lineRule="exact"/>
        <w:rPr>
          <w:sz w:val="20"/>
          <w:szCs w:val="20"/>
          <w:color w:val="auto"/>
        </w:rPr>
      </w:pPr>
    </w:p>
    <w:p>
      <w:pPr>
        <w:ind w:left="260" w:hanging="164"/>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 and recommend to the board the criteria for board membership;</w:t>
      </w:r>
    </w:p>
    <w:p>
      <w:pPr>
        <w:spacing w:after="0" w:line="72" w:lineRule="exact"/>
        <w:rPr>
          <w:rFonts w:ascii="Arial" w:cs="Arial" w:eastAsia="Arial" w:hAnsi="Arial"/>
          <w:sz w:val="18"/>
          <w:szCs w:val="18"/>
          <w:color w:val="auto"/>
        </w:rPr>
      </w:pPr>
    </w:p>
    <w:p>
      <w:pPr>
        <w:ind w:left="280" w:hanging="184"/>
        <w:spacing w:after="0" w:line="238" w:lineRule="auto"/>
        <w:tabs>
          <w:tab w:leader="none" w:pos="264" w:val="left"/>
        </w:tabs>
        <w:numPr>
          <w:ilvl w:val="0"/>
          <w:numId w:val="28"/>
        </w:numPr>
        <w:rPr>
          <w:rFonts w:ascii="Arial" w:cs="Arial" w:eastAsia="Arial" w:hAnsi="Arial"/>
          <w:sz w:val="18"/>
          <w:szCs w:val="18"/>
          <w:color w:val="auto"/>
        </w:rPr>
      </w:pPr>
      <w:r>
        <w:rPr>
          <w:rFonts w:ascii="Arial" w:cs="Arial" w:eastAsia="Arial" w:hAnsi="Arial"/>
          <w:sz w:val="18"/>
          <w:szCs w:val="18"/>
          <w:color w:val="auto"/>
        </w:rPr>
        <w:t>identify and recommend individuals to the board for nomination as members of the board and its committees consistent with criteria approved by the board;</w:t>
      </w:r>
    </w:p>
    <w:p>
      <w:pPr>
        <w:spacing w:after="0" w:line="68" w:lineRule="exact"/>
        <w:rPr>
          <w:rFonts w:ascii="Arial" w:cs="Arial" w:eastAsia="Arial" w:hAnsi="Arial"/>
          <w:sz w:val="18"/>
          <w:szCs w:val="18"/>
          <w:color w:val="auto"/>
        </w:rPr>
      </w:pPr>
    </w:p>
    <w:p>
      <w:pPr>
        <w:ind w:left="280" w:hanging="184"/>
        <w:spacing w:after="0" w:line="238" w:lineRule="auto"/>
        <w:tabs>
          <w:tab w:leader="none" w:pos="264"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 and make recommendations to the board regarding the size and composition of the board of directors and the establishment and composition of committees;</w:t>
      </w:r>
    </w:p>
    <w:p>
      <w:pPr>
        <w:spacing w:after="0" w:line="68" w:lineRule="exact"/>
        <w:rPr>
          <w:rFonts w:ascii="Arial" w:cs="Arial" w:eastAsia="Arial" w:hAnsi="Arial"/>
          <w:sz w:val="18"/>
          <w:szCs w:val="18"/>
          <w:color w:val="auto"/>
        </w:rPr>
      </w:pPr>
    </w:p>
    <w:p>
      <w:pPr>
        <w:ind w:left="260" w:hanging="164"/>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oversee board and committee performance evaluations;</w:t>
      </w:r>
    </w:p>
    <w:p>
      <w:pPr>
        <w:spacing w:after="0" w:line="72" w:lineRule="exact"/>
        <w:rPr>
          <w:rFonts w:ascii="Arial" w:cs="Arial" w:eastAsia="Arial" w:hAnsi="Arial"/>
          <w:sz w:val="18"/>
          <w:szCs w:val="18"/>
          <w:color w:val="auto"/>
        </w:rPr>
      </w:pPr>
    </w:p>
    <w:p>
      <w:pPr>
        <w:ind w:left="260" w:hanging="164"/>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identify and recommend to the board potential continuing education opportunities for directors;</w:t>
      </w:r>
    </w:p>
    <w:p>
      <w:pPr>
        <w:spacing w:after="0" w:line="72" w:lineRule="exact"/>
        <w:rPr>
          <w:rFonts w:ascii="Arial" w:cs="Arial" w:eastAsia="Arial" w:hAnsi="Arial"/>
          <w:sz w:val="18"/>
          <w:szCs w:val="18"/>
          <w:color w:val="auto"/>
        </w:rPr>
      </w:pPr>
    </w:p>
    <w:p>
      <w:pPr>
        <w:ind w:left="280" w:hanging="184"/>
        <w:spacing w:after="0" w:line="238" w:lineRule="auto"/>
        <w:tabs>
          <w:tab w:leader="none" w:pos="264"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periodically review and, if appropriate, make recommendations to the board relating to board practices and corporate governance; and</w:t>
      </w:r>
    </w:p>
    <w:p>
      <w:pPr>
        <w:spacing w:after="0" w:line="68" w:lineRule="exact"/>
        <w:rPr>
          <w:rFonts w:ascii="Arial" w:cs="Arial" w:eastAsia="Arial" w:hAnsi="Arial"/>
          <w:sz w:val="18"/>
          <w:szCs w:val="18"/>
          <w:color w:val="auto"/>
        </w:rPr>
      </w:pPr>
    </w:p>
    <w:p>
      <w:pPr>
        <w:ind w:left="280" w:hanging="184"/>
        <w:spacing w:after="0" w:line="238" w:lineRule="auto"/>
        <w:tabs>
          <w:tab w:leader="none" w:pos="264"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 recommend to the board and periodically review a set of corporate governance principles applicable to the company.</w:t>
      </w:r>
    </w:p>
    <w:p>
      <w:pPr>
        <w:spacing w:after="0" w:line="50"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Director Candidates</w:t>
      </w:r>
      <w:r>
        <w:rPr>
          <w:rFonts w:ascii="Arial" w:cs="Arial" w:eastAsia="Arial" w:hAnsi="Arial"/>
          <w:sz w:val="18"/>
          <w:szCs w:val="18"/>
          <w:color w:val="auto"/>
        </w:rPr>
        <w:t>. This committee recommends for election as directors qualified, diverse candidates</w:t>
      </w:r>
      <w:r>
        <w:rPr>
          <w:rFonts w:ascii="Arial" w:cs="Arial" w:eastAsia="Arial" w:hAnsi="Arial"/>
          <w:sz w:val="18"/>
          <w:szCs w:val="18"/>
          <w:i w:val="1"/>
          <w:iCs w:val="1"/>
          <w:color w:val="auto"/>
        </w:rPr>
        <w:t xml:space="preserve"> </w:t>
      </w:r>
      <w:r>
        <w:rPr>
          <w:rFonts w:ascii="Arial" w:cs="Arial" w:eastAsia="Arial" w:hAnsi="Arial"/>
          <w:sz w:val="18"/>
          <w:szCs w:val="18"/>
          <w:color w:val="auto"/>
        </w:rPr>
        <w:t>identified through a variety of sources, as described on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-8255</wp:posOffset>
            </wp:positionV>
            <wp:extent cx="68935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93560" cy="8255"/>
                    </a:xfrm>
                    <a:prstGeom prst="rect">
                      <a:avLst/>
                    </a:prstGeom>
                    <a:noFill/>
                  </pic:spPr>
                </pic:pic>
              </a:graphicData>
            </a:graphic>
          </wp:anchor>
        </w:drawing>
        <w:drawing>
          <wp:anchor simplePos="0" relativeHeight="251657728" behindDoc="1" locked="0" layoutInCell="0" allowOverlap="1">
            <wp:simplePos x="0" y="0"/>
            <wp:positionH relativeFrom="column">
              <wp:posOffset>55245</wp:posOffset>
            </wp:positionH>
            <wp:positionV relativeFrom="paragraph">
              <wp:posOffset>244475</wp:posOffset>
            </wp:positionV>
            <wp:extent cx="405765" cy="2451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60" w:space="720"/>
            <w:col w:w="8360"/>
          </w:cols>
          <w:pgMar w:left="240" w:top="454" w:right="519" w:bottom="1440" w:gutter="0" w:footer="0" w:header="0"/>
          <w:type w:val="continuous"/>
        </w:sectPr>
      </w:pPr>
    </w:p>
    <w:p>
      <w:pPr>
        <w:spacing w:after="0" w:line="285" w:lineRule="exact"/>
        <w:rPr>
          <w:sz w:val="20"/>
          <w:szCs w:val="20"/>
          <w:color w:val="auto"/>
        </w:rPr>
      </w:pPr>
    </w:p>
    <w:p>
      <w:pPr>
        <w:ind w:left="760" w:hanging="474"/>
        <w:spacing w:after="0"/>
        <w:tabs>
          <w:tab w:leader="none" w:pos="760" w:val="left"/>
        </w:tabs>
        <w:numPr>
          <w:ilvl w:val="0"/>
          <w:numId w:val="29"/>
        </w:numPr>
        <w:rPr>
          <w:rFonts w:ascii="Arial" w:cs="Arial" w:eastAsia="Arial" w:hAnsi="Arial"/>
          <w:sz w:val="14"/>
          <w:szCs w:val="14"/>
          <w:b w:val="1"/>
          <w:bCs w:val="1"/>
          <w:color w:val="007549"/>
        </w:rPr>
      </w:pPr>
      <w:r>
        <w:rPr>
          <w:rFonts w:ascii="Arial" w:cs="Arial" w:eastAsia="Arial" w:hAnsi="Arial"/>
          <w:sz w:val="12"/>
          <w:szCs w:val="12"/>
          <w:b w:val="1"/>
          <w:bCs w:val="1"/>
          <w:color w:val="666666"/>
        </w:rPr>
        <w:t>2018 PROXY STATEMENT</w:t>
      </w:r>
    </w:p>
    <w:p>
      <w:pPr>
        <w:sectPr>
          <w:pgSz w:w="11900" w:h="16838" w:orient="portrait"/>
          <w:cols w:equalWidth="0" w:num="1">
            <w:col w:w="11140"/>
          </w:cols>
          <w:pgMar w:left="240" w:top="454" w:right="51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7549"/>
        </w:rPr>
        <w:t xml:space="preserve">Proposal 1: Election of Directors </w:t>
      </w:r>
      <w:r>
        <w:rPr>
          <w:rFonts w:ascii="Arial" w:cs="Arial" w:eastAsia="Arial" w:hAnsi="Arial"/>
          <w:sz w:val="16"/>
          <w:szCs w:val="16"/>
          <w:b w:val="1"/>
          <w:bCs w:val="1"/>
          <w:color w:val="000000"/>
        </w:rPr>
        <w:t>+ 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55245</wp:posOffset>
            </wp:positionV>
            <wp:extent cx="68935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ectPr>
          <w:pgSz w:w="11900" w:h="16838" w:orient="portrait"/>
          <w:cols w:equalWidth="0" w:num="1">
            <w:col w:w="11140"/>
          </w:cols>
          <w:pgMar w:left="240" w:top="454" w:right="519" w:bottom="1440" w:gutter="0" w:footer="0" w:header="0"/>
        </w:sectPr>
      </w:pPr>
    </w:p>
    <w:p>
      <w:pPr>
        <w:spacing w:after="0" w:line="26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FFFFF"/>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60325</wp:posOffset>
            </wp:positionV>
            <wp:extent cx="810895" cy="8108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10895" cy="810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Mr. Reynolds* (Chair)</w:t>
      </w:r>
    </w:p>
    <w:p>
      <w:pPr>
        <w:ind w:left="360"/>
        <w:spacing w:after="0" w:line="236" w:lineRule="auto"/>
        <w:rPr>
          <w:sz w:val="20"/>
          <w:szCs w:val="20"/>
          <w:color w:val="auto"/>
        </w:rPr>
      </w:pPr>
      <w:r>
        <w:rPr>
          <w:rFonts w:ascii="Arial" w:cs="Arial" w:eastAsia="Arial" w:hAnsi="Arial"/>
          <w:sz w:val="18"/>
          <w:szCs w:val="18"/>
          <w:color w:val="auto"/>
        </w:rPr>
        <w:t>Mr. Chase*</w:t>
      </w:r>
    </w:p>
    <w:p>
      <w:pPr>
        <w:ind w:left="360"/>
        <w:spacing w:after="0" w:line="231" w:lineRule="auto"/>
        <w:rPr>
          <w:sz w:val="20"/>
          <w:szCs w:val="20"/>
          <w:color w:val="auto"/>
        </w:rPr>
      </w:pPr>
      <w:r>
        <w:rPr>
          <w:rFonts w:ascii="Arial" w:cs="Arial" w:eastAsia="Arial" w:hAnsi="Arial"/>
          <w:sz w:val="18"/>
          <w:szCs w:val="18"/>
          <w:color w:val="auto"/>
        </w:rPr>
        <w:t>Dr. Meyers</w:t>
      </w:r>
    </w:p>
    <w:p>
      <w:pPr>
        <w:ind w:left="360"/>
        <w:spacing w:after="0"/>
        <w:rPr>
          <w:sz w:val="20"/>
          <w:szCs w:val="20"/>
          <w:color w:val="auto"/>
        </w:rPr>
      </w:pPr>
      <w:r>
        <w:rPr>
          <w:rFonts w:ascii="Arial" w:cs="Arial" w:eastAsia="Arial" w:hAnsi="Arial"/>
          <w:sz w:val="18"/>
          <w:szCs w:val="18"/>
          <w:color w:val="auto"/>
        </w:rPr>
        <w:t>Mr. Schrader</w:t>
      </w:r>
    </w:p>
    <w:p>
      <w:pPr>
        <w:spacing w:after="0" w:line="112" w:lineRule="exact"/>
        <w:rPr>
          <w:sz w:val="20"/>
          <w:szCs w:val="20"/>
          <w:color w:val="auto"/>
        </w:rPr>
      </w:pPr>
    </w:p>
    <w:p>
      <w:pPr>
        <w:ind w:left="360" w:right="360"/>
        <w:spacing w:after="0" w:line="265" w:lineRule="auto"/>
        <w:rPr>
          <w:sz w:val="20"/>
          <w:szCs w:val="20"/>
          <w:color w:val="auto"/>
        </w:rPr>
      </w:pPr>
      <w:r>
        <w:rPr>
          <w:rFonts w:ascii="Arial" w:cs="Arial" w:eastAsia="Arial" w:hAnsi="Arial"/>
          <w:sz w:val="17"/>
          <w:szCs w:val="17"/>
          <w:color w:val="auto"/>
        </w:rPr>
        <w:t>*Audit committee financial expert</w:t>
      </w:r>
    </w:p>
    <w:p>
      <w:pPr>
        <w:spacing w:after="0" w:line="207" w:lineRule="exact"/>
        <w:rPr>
          <w:sz w:val="20"/>
          <w:szCs w:val="20"/>
          <w:color w:val="auto"/>
        </w:rPr>
      </w:pPr>
    </w:p>
    <w:p>
      <w:pPr>
        <w:ind w:left="360" w:right="300"/>
        <w:spacing w:after="0" w:line="251" w:lineRule="auto"/>
        <w:rPr>
          <w:sz w:val="20"/>
          <w:szCs w:val="20"/>
          <w:color w:val="auto"/>
        </w:rPr>
      </w:pPr>
      <w:r>
        <w:rPr>
          <w:rFonts w:ascii="Arial" w:cs="Arial" w:eastAsia="Arial" w:hAnsi="Arial"/>
          <w:sz w:val="17"/>
          <w:szCs w:val="17"/>
          <w:color w:val="auto"/>
        </w:rPr>
        <w:t>All committee members are independent and financially literate.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49"/>
        </w:rPr>
        <w:t>7 meetings in 2017, plus 4 reviews of quarterly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-1227455</wp:posOffset>
            </wp:positionH>
            <wp:positionV relativeFrom="paragraph">
              <wp:posOffset>-243205</wp:posOffset>
            </wp:positionV>
            <wp:extent cx="6893560" cy="1270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93560" cy="127000"/>
                    </a:xfrm>
                    <a:prstGeom prst="rect">
                      <a:avLst/>
                    </a:prstGeom>
                    <a:noFill/>
                  </pic:spPr>
                </pic:pic>
              </a:graphicData>
            </a:graphic>
          </wp:anchor>
        </w:drawing>
        <w:drawing>
          <wp:anchor simplePos="0" relativeHeight="251657728" behindDoc="1" locked="0" layoutInCell="0" allowOverlap="1">
            <wp:simplePos x="0" y="0"/>
            <wp:positionH relativeFrom="column">
              <wp:posOffset>-61595</wp:posOffset>
            </wp:positionH>
            <wp:positionV relativeFrom="paragraph">
              <wp:posOffset>43815</wp:posOffset>
            </wp:positionV>
            <wp:extent cx="559244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592445" cy="8255"/>
                    </a:xfrm>
                    <a:prstGeom prst="rect">
                      <a:avLst/>
                    </a:prstGeom>
                    <a:noFill/>
                  </pic:spPr>
                </pic:pic>
              </a:graphicData>
            </a:graphic>
          </wp:anchor>
        </w:drawing>
      </w:r>
    </w:p>
    <w:p>
      <w:pPr>
        <w:spacing w:after="0" w:line="61" w:lineRule="exact"/>
        <w:rPr>
          <w:sz w:val="20"/>
          <w:szCs w:val="20"/>
          <w:color w:val="auto"/>
        </w:rPr>
      </w:pPr>
    </w:p>
    <w:p>
      <w:pPr>
        <w:ind w:left="180" w:right="220" w:hanging="176"/>
        <w:spacing w:after="0" w:line="238" w:lineRule="auto"/>
        <w:rPr>
          <w:sz w:val="20"/>
          <w:szCs w:val="20"/>
          <w:color w:val="auto"/>
        </w:rPr>
      </w:pPr>
      <w:r>
        <w:rPr>
          <w:rFonts w:ascii="Arial" w:cs="Arial" w:eastAsia="Arial" w:hAnsi="Arial"/>
          <w:sz w:val="18"/>
          <w:szCs w:val="18"/>
          <w:color w:val="auto"/>
        </w:rPr>
        <w:t>The audit committee’s principal responsibility is to provide assistance to the board of directors in fulfilling its oversight responsibility to the stockholders, the investment community and others, including to:</w:t>
      </w:r>
    </w:p>
    <w:p>
      <w:pPr>
        <w:spacing w:after="0" w:line="68" w:lineRule="exact"/>
        <w:rPr>
          <w:sz w:val="20"/>
          <w:szCs w:val="20"/>
          <w:color w:val="auto"/>
        </w:rPr>
      </w:pPr>
    </w:p>
    <w:p>
      <w:pPr>
        <w:ind w:left="180" w:right="220" w:hanging="172"/>
        <w:spacing w:after="0" w:line="238" w:lineRule="auto"/>
        <w:tabs>
          <w:tab w:leader="none" w:pos="164"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 and discuss with management, internal audit and the independent registered public accountants matters relating to the company’s financial statements, earnings releases and annual and quarterly reports;</w:t>
      </w:r>
    </w:p>
    <w:p>
      <w:pPr>
        <w:spacing w:after="0" w:line="68" w:lineRule="exact"/>
        <w:rPr>
          <w:rFonts w:ascii="Arial" w:cs="Arial" w:eastAsia="Arial" w:hAnsi="Arial"/>
          <w:sz w:val="18"/>
          <w:szCs w:val="18"/>
          <w:color w:val="auto"/>
        </w:rPr>
      </w:pPr>
    </w:p>
    <w:p>
      <w:pPr>
        <w:jc w:val="both"/>
        <w:ind w:left="180" w:right="220" w:hanging="172"/>
        <w:spacing w:after="0" w:line="236" w:lineRule="auto"/>
        <w:tabs>
          <w:tab w:leader="none" w:pos="164" w:val="left"/>
        </w:tabs>
        <w:numPr>
          <w:ilvl w:val="0"/>
          <w:numId w:val="30"/>
        </w:numPr>
        <w:rPr>
          <w:rFonts w:ascii="Arial" w:cs="Arial" w:eastAsia="Arial" w:hAnsi="Arial"/>
          <w:sz w:val="18"/>
          <w:szCs w:val="18"/>
          <w:color w:val="auto"/>
        </w:rPr>
      </w:pPr>
      <w:r>
        <w:rPr>
          <w:rFonts w:ascii="Arial" w:cs="Arial" w:eastAsia="Arial" w:hAnsi="Arial"/>
          <w:sz w:val="18"/>
          <w:szCs w:val="18"/>
          <w:color w:val="auto"/>
        </w:rPr>
        <w:t>meet with management, internal audit and the independent registered public accountants to review and discuss the company’s financial reporting practices and accounting policies and systems, including the appropriateness of management’s application of those policies;</w:t>
      </w:r>
    </w:p>
    <w:p>
      <w:pPr>
        <w:spacing w:after="0" w:line="67" w:lineRule="exact"/>
        <w:rPr>
          <w:rFonts w:ascii="Arial" w:cs="Arial" w:eastAsia="Arial" w:hAnsi="Arial"/>
          <w:sz w:val="18"/>
          <w:szCs w:val="18"/>
          <w:color w:val="auto"/>
        </w:rPr>
      </w:pPr>
    </w:p>
    <w:p>
      <w:pPr>
        <w:jc w:val="both"/>
        <w:ind w:left="180" w:right="220" w:hanging="172"/>
        <w:spacing w:after="0" w:line="236" w:lineRule="auto"/>
        <w:tabs>
          <w:tab w:leader="none" w:pos="164"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 and discuss with management, internal audit and the independent registered public accountants the adequacy and effectiveness of the company’s internal controls over financial reporting and disclosure controls and procedures;</w:t>
      </w:r>
    </w:p>
    <w:p>
      <w:pPr>
        <w:spacing w:after="0" w:line="67" w:lineRule="exact"/>
        <w:rPr>
          <w:rFonts w:ascii="Arial" w:cs="Arial" w:eastAsia="Arial" w:hAnsi="Arial"/>
          <w:sz w:val="18"/>
          <w:szCs w:val="18"/>
          <w:color w:val="auto"/>
        </w:rPr>
      </w:pPr>
    </w:p>
    <w:p>
      <w:pPr>
        <w:jc w:val="both"/>
        <w:ind w:left="180" w:right="220" w:hanging="172"/>
        <w:spacing w:after="0" w:line="236" w:lineRule="auto"/>
        <w:tabs>
          <w:tab w:leader="none" w:pos="164"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appoint and oversee the independent registered public accountants, determine their compensation and review their qualifications, performance and independence from management when deciding whether to retain the independent registered public accountants;</w:t>
      </w:r>
    </w:p>
    <w:p>
      <w:pPr>
        <w:spacing w:after="0" w:line="67" w:lineRule="exact"/>
        <w:rPr>
          <w:rFonts w:ascii="Arial" w:cs="Arial" w:eastAsia="Arial" w:hAnsi="Arial"/>
          <w:sz w:val="18"/>
          <w:szCs w:val="18"/>
          <w:color w:val="auto"/>
        </w:rPr>
      </w:pPr>
    </w:p>
    <w:p>
      <w:pPr>
        <w:ind w:left="180" w:hanging="172"/>
        <w:spacing w:after="0"/>
        <w:tabs>
          <w:tab w:leader="none" w:pos="1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review the scope and results of the internal audit program and the performance of the internal audit function;</w:t>
      </w:r>
    </w:p>
    <w:p>
      <w:pPr>
        <w:spacing w:after="0" w:line="83" w:lineRule="exact"/>
        <w:rPr>
          <w:rFonts w:ascii="Arial" w:cs="Arial" w:eastAsia="Arial" w:hAnsi="Arial"/>
          <w:sz w:val="17"/>
          <w:szCs w:val="17"/>
          <w:color w:val="auto"/>
        </w:rPr>
      </w:pPr>
    </w:p>
    <w:p>
      <w:pPr>
        <w:ind w:left="180" w:right="220" w:hanging="172"/>
        <w:spacing w:after="0" w:line="238" w:lineRule="auto"/>
        <w:tabs>
          <w:tab w:leader="none" w:pos="164"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 and discuss with management the company’s policies with respect to risk assessment and risk management, including cyber-security and the company’s overall insurance coverage;</w:t>
      </w:r>
    </w:p>
    <w:p>
      <w:pPr>
        <w:spacing w:after="0" w:line="68" w:lineRule="exact"/>
        <w:rPr>
          <w:rFonts w:ascii="Arial" w:cs="Arial" w:eastAsia="Arial" w:hAnsi="Arial"/>
          <w:sz w:val="18"/>
          <w:szCs w:val="18"/>
          <w:color w:val="auto"/>
        </w:rPr>
      </w:pPr>
    </w:p>
    <w:p>
      <w:pPr>
        <w:ind w:left="180" w:right="220" w:hanging="172"/>
        <w:spacing w:after="0" w:line="238" w:lineRule="auto"/>
        <w:tabs>
          <w:tab w:leader="none" w:pos="164"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 compliance with legal and regulatory requirements and company policies and procedures and discuss the effectiveness of the company’s legal, regulatory and ethical compliance programs; and</w:t>
      </w:r>
    </w:p>
    <w:p>
      <w:pPr>
        <w:spacing w:after="0" w:line="68" w:lineRule="exact"/>
        <w:rPr>
          <w:rFonts w:ascii="Arial" w:cs="Arial" w:eastAsia="Arial" w:hAnsi="Arial"/>
          <w:sz w:val="18"/>
          <w:szCs w:val="18"/>
          <w:color w:val="auto"/>
        </w:rPr>
      </w:pPr>
    </w:p>
    <w:p>
      <w:pPr>
        <w:ind w:left="180" w:right="220" w:hanging="172"/>
        <w:spacing w:after="0" w:line="238" w:lineRule="auto"/>
        <w:tabs>
          <w:tab w:leader="none" w:pos="164"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discuss policies with respect to environment, health, safety and social responsibility programs and compliance.</w:t>
      </w:r>
    </w:p>
    <w:p>
      <w:pPr>
        <w:spacing w:after="0" w:line="122"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No member of the audit committee serves on the audit committees of more than three public companies, including 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-259715</wp:posOffset>
            </wp:positionV>
            <wp:extent cx="5727700" cy="2533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727700" cy="253365"/>
                    </a:xfrm>
                    <a:prstGeom prst="rect">
                      <a:avLst/>
                    </a:prstGeom>
                    <a:noFill/>
                  </pic:spPr>
                </pic:pic>
              </a:graphicData>
            </a:graphic>
          </wp:anchor>
        </w:drawing>
        <w:drawing>
          <wp:anchor simplePos="0" relativeHeight="251657728" behindDoc="1" locked="0" layoutInCell="0" allowOverlap="1">
            <wp:simplePos x="0" y="0"/>
            <wp:positionH relativeFrom="column">
              <wp:posOffset>-61595</wp:posOffset>
            </wp:positionH>
            <wp:positionV relativeFrom="paragraph">
              <wp:posOffset>120015</wp:posOffset>
            </wp:positionV>
            <wp:extent cx="5727700" cy="1860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27700" cy="1860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07549"/>
        </w:rPr>
        <w:t>Environmental, Health and Safety Subcommittee</w:t>
      </w:r>
    </w:p>
    <w:p>
      <w:pPr>
        <w:spacing w:after="0" w:line="46" w:lineRule="exact"/>
        <w:rPr>
          <w:sz w:val="20"/>
          <w:szCs w:val="20"/>
          <w:color w:val="auto"/>
        </w:rPr>
      </w:pPr>
    </w:p>
    <w:p>
      <w:pPr>
        <w:sectPr>
          <w:pgSz w:w="11900" w:h="16838" w:orient="portrait"/>
          <w:cols w:equalWidth="0" w:num="2">
            <w:col w:w="2060" w:space="160"/>
            <w:col w:w="8920"/>
          </w:cols>
          <w:pgMar w:left="240" w:top="454"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Dr. Meyers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1414780</wp:posOffset>
            </wp:positionH>
            <wp:positionV relativeFrom="paragraph">
              <wp:posOffset>-959485</wp:posOffset>
            </wp:positionV>
            <wp:extent cx="810895" cy="8108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10895" cy="810895"/>
                    </a:xfrm>
                    <a:prstGeom prst="rect">
                      <a:avLst/>
                    </a:prstGeom>
                    <a:noFill/>
                  </pic:spPr>
                </pic:pic>
              </a:graphicData>
            </a:graphic>
          </wp:anchor>
        </w:drawing>
      </w:r>
    </w:p>
    <w:p>
      <w:pPr>
        <w:ind w:left="2220"/>
        <w:spacing w:after="0" w:line="236" w:lineRule="auto"/>
        <w:rPr>
          <w:sz w:val="20"/>
          <w:szCs w:val="20"/>
          <w:color w:val="auto"/>
        </w:rPr>
      </w:pPr>
      <w:r>
        <w:rPr>
          <w:rFonts w:ascii="Arial" w:cs="Arial" w:eastAsia="Arial" w:hAnsi="Arial"/>
          <w:sz w:val="18"/>
          <w:szCs w:val="18"/>
          <w:color w:val="auto"/>
        </w:rPr>
        <w:t>Mr. Chase</w:t>
      </w:r>
    </w:p>
    <w:p>
      <w:pPr>
        <w:ind w:left="2220"/>
        <w:spacing w:after="0" w:line="231" w:lineRule="auto"/>
        <w:rPr>
          <w:sz w:val="20"/>
          <w:szCs w:val="20"/>
          <w:color w:val="auto"/>
        </w:rPr>
      </w:pPr>
      <w:r>
        <w:rPr>
          <w:rFonts w:ascii="Arial" w:cs="Arial" w:eastAsia="Arial" w:hAnsi="Arial"/>
          <w:sz w:val="18"/>
          <w:szCs w:val="18"/>
          <w:color w:val="auto"/>
        </w:rPr>
        <w:t>Mr. Coleman</w:t>
      </w:r>
    </w:p>
    <w:p>
      <w:pPr>
        <w:ind w:left="2220"/>
        <w:spacing w:after="0" w:line="231" w:lineRule="auto"/>
        <w:rPr>
          <w:sz w:val="20"/>
          <w:szCs w:val="20"/>
          <w:color w:val="auto"/>
        </w:rPr>
      </w:pPr>
      <w:r>
        <w:rPr>
          <w:rFonts w:ascii="Arial" w:cs="Arial" w:eastAsia="Arial" w:hAnsi="Arial"/>
          <w:sz w:val="18"/>
          <w:szCs w:val="18"/>
          <w:color w:val="auto"/>
        </w:rPr>
        <w:t>Mr. McManus</w:t>
      </w:r>
    </w:p>
    <w:p>
      <w:pPr>
        <w:ind w:left="2220"/>
        <w:spacing w:after="0" w:line="232" w:lineRule="auto"/>
        <w:rPr>
          <w:sz w:val="20"/>
          <w:szCs w:val="20"/>
          <w:color w:val="auto"/>
        </w:rPr>
      </w:pPr>
      <w:r>
        <w:rPr>
          <w:rFonts w:ascii="Arial" w:cs="Arial" w:eastAsia="Arial" w:hAnsi="Arial"/>
          <w:sz w:val="18"/>
          <w:szCs w:val="18"/>
          <w:color w:val="auto"/>
        </w:rPr>
        <w:t>Mr. Reynolds</w:t>
      </w:r>
    </w:p>
    <w:p>
      <w:pPr>
        <w:ind w:left="2220"/>
        <w:spacing w:after="0"/>
        <w:rPr>
          <w:sz w:val="20"/>
          <w:szCs w:val="20"/>
          <w:color w:val="auto"/>
        </w:rPr>
      </w:pPr>
      <w:r>
        <w:rPr>
          <w:rFonts w:ascii="Arial" w:cs="Arial" w:eastAsia="Arial" w:hAnsi="Arial"/>
          <w:sz w:val="18"/>
          <w:szCs w:val="18"/>
          <w:color w:val="auto"/>
        </w:rPr>
        <w:t>Mr. Schrader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007549"/>
        </w:rPr>
        <w:t>4 meetings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9525</wp:posOffset>
            </wp:positionV>
            <wp:extent cx="446913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469130" cy="8255"/>
                    </a:xfrm>
                    <a:prstGeom prst="rect">
                      <a:avLst/>
                    </a:prstGeom>
                    <a:noFill/>
                  </pic:spPr>
                </pic:pic>
              </a:graphicData>
            </a:graphic>
          </wp:anchor>
        </w:drawing>
      </w:r>
    </w:p>
    <w:p>
      <w:pPr>
        <w:spacing w:after="0" w:line="8" w:lineRule="exact"/>
        <w:rPr>
          <w:sz w:val="20"/>
          <w:szCs w:val="20"/>
          <w:color w:val="auto"/>
        </w:rPr>
      </w:pPr>
    </w:p>
    <w:p>
      <w:pPr>
        <w:jc w:val="both"/>
        <w:ind w:right="220"/>
        <w:spacing w:after="0" w:line="236" w:lineRule="auto"/>
        <w:rPr>
          <w:sz w:val="20"/>
          <w:szCs w:val="20"/>
          <w:color w:val="auto"/>
        </w:rPr>
      </w:pPr>
      <w:r>
        <w:rPr>
          <w:rFonts w:ascii="Arial" w:cs="Arial" w:eastAsia="Arial" w:hAnsi="Arial"/>
          <w:sz w:val="18"/>
          <w:szCs w:val="18"/>
          <w:color w:val="auto"/>
        </w:rPr>
        <w:t>In 2013, the audit committee established a subcommittee to focus the committee’s oversight of environmental, health and safety (“EHS”) matters. This subcommittee’s principal responsibilities are to:</w:t>
      </w:r>
    </w:p>
    <w:p>
      <w:pPr>
        <w:spacing w:after="0" w:line="68" w:lineRule="exact"/>
        <w:rPr>
          <w:sz w:val="20"/>
          <w:szCs w:val="20"/>
          <w:color w:val="auto"/>
        </w:rPr>
      </w:pPr>
    </w:p>
    <w:p>
      <w:pPr>
        <w:jc w:val="both"/>
        <w:ind w:left="260" w:right="220" w:hanging="181"/>
        <w:spacing w:after="0" w:line="236" w:lineRule="auto"/>
        <w:tabs>
          <w:tab w:leader="none" w:pos="24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 recommendations to the audit committee and the board for the formulation and adoption of policies, programs and practices to address EHS issues and risks including climate change;</w:t>
      </w:r>
    </w:p>
    <w:p>
      <w:pPr>
        <w:spacing w:after="0" w:line="67" w:lineRule="exact"/>
        <w:rPr>
          <w:rFonts w:ascii="Arial" w:cs="Arial" w:eastAsia="Arial" w:hAnsi="Arial"/>
          <w:sz w:val="18"/>
          <w:szCs w:val="18"/>
          <w:color w:val="auto"/>
        </w:rPr>
      </w:pPr>
    </w:p>
    <w:p>
      <w:pPr>
        <w:jc w:val="both"/>
        <w:ind w:left="260" w:right="220" w:hanging="181"/>
        <w:spacing w:after="0" w:line="236" w:lineRule="auto"/>
        <w:tabs>
          <w:tab w:leader="none" w:pos="24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periodically review and make recommendations to the board on, and monitor the company’s compliance with, the company’s policies, programs and practices concerning EHS issues;</w:t>
      </w:r>
    </w:p>
    <w:p>
      <w:pPr>
        <w:spacing w:after="0" w:line="67" w:lineRule="exact"/>
        <w:rPr>
          <w:rFonts w:ascii="Arial" w:cs="Arial" w:eastAsia="Arial" w:hAnsi="Arial"/>
          <w:sz w:val="18"/>
          <w:szCs w:val="18"/>
          <w:color w:val="auto"/>
        </w:rPr>
      </w:pPr>
    </w:p>
    <w:p>
      <w:pPr>
        <w:ind w:left="260" w:right="220" w:hanging="181"/>
        <w:spacing w:after="0" w:line="238" w:lineRule="auto"/>
        <w:tabs>
          <w:tab w:leader="none" w:pos="24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identify, evaluate and monitor EHS risks, domestic and international, which affect or could affect the company’s business activities, performance and reputation;</w:t>
      </w:r>
    </w:p>
    <w:p>
      <w:pPr>
        <w:spacing w:after="0" w:line="68" w:lineRule="exact"/>
        <w:rPr>
          <w:rFonts w:ascii="Arial" w:cs="Arial" w:eastAsia="Arial" w:hAnsi="Arial"/>
          <w:sz w:val="18"/>
          <w:szCs w:val="18"/>
          <w:color w:val="auto"/>
        </w:rPr>
      </w:pPr>
    </w:p>
    <w:p>
      <w:pPr>
        <w:ind w:left="260" w:right="220" w:hanging="181"/>
        <w:spacing w:after="0" w:line="238" w:lineRule="auto"/>
        <w:tabs>
          <w:tab w:leader="none" w:pos="24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periodically review EHS legislative and regulatory issues affecting the company’s business and operations; and</w:t>
      </w:r>
    </w:p>
    <w:p>
      <w:pPr>
        <w:spacing w:after="0" w:line="68" w:lineRule="exact"/>
        <w:rPr>
          <w:rFonts w:ascii="Arial" w:cs="Arial" w:eastAsia="Arial" w:hAnsi="Arial"/>
          <w:sz w:val="18"/>
          <w:szCs w:val="18"/>
          <w:color w:val="auto"/>
        </w:rPr>
      </w:pPr>
    </w:p>
    <w:p>
      <w:pPr>
        <w:ind w:left="240" w:hanging="161"/>
        <w:spacing w:after="0"/>
        <w:tabs>
          <w:tab w:leader="none" w:pos="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 emergency response planning procedures for EHS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-2497455</wp:posOffset>
            </wp:positionH>
            <wp:positionV relativeFrom="paragraph">
              <wp:posOffset>4445</wp:posOffset>
            </wp:positionV>
            <wp:extent cx="68935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93560" cy="8255"/>
                    </a:xfrm>
                    <a:prstGeom prst="rect">
                      <a:avLst/>
                    </a:prstGeom>
                    <a:noFill/>
                  </pic:spPr>
                </pic:pic>
              </a:graphicData>
            </a:graphic>
          </wp:anchor>
        </w:drawing>
        <w:drawing>
          <wp:anchor simplePos="0" relativeHeight="251657728" behindDoc="1" locked="0" layoutInCell="0" allowOverlap="1">
            <wp:simplePos x="0" y="0"/>
            <wp:positionH relativeFrom="column">
              <wp:posOffset>2385060</wp:posOffset>
            </wp:positionH>
            <wp:positionV relativeFrom="paragraph">
              <wp:posOffset>105410</wp:posOffset>
            </wp:positionV>
            <wp:extent cx="405765" cy="2451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80" w:space="540"/>
            <w:col w:w="6920"/>
          </w:cols>
          <w:pgMar w:left="240" w:top="454" w:right="519" w:bottom="1440" w:gutter="0" w:footer="0" w:header="0"/>
          <w:type w:val="continuous"/>
        </w:sectPr>
      </w:pPr>
    </w:p>
    <w:p>
      <w:pPr>
        <w:spacing w:after="0" w:line="60" w:lineRule="exact"/>
        <w:rPr>
          <w:sz w:val="20"/>
          <w:szCs w:val="20"/>
          <w:color w:val="auto"/>
        </w:rPr>
      </w:pPr>
    </w:p>
    <w:tbl>
      <w:tblPr>
        <w:tblLayout w:type="fixed"/>
        <w:tblInd w:w="9140" w:type="dxa"/>
        <w:tblCellMar>
          <w:top w:w="0" w:type="dxa"/>
          <w:left w:w="0" w:type="dxa"/>
          <w:bottom w:w="0" w:type="dxa"/>
          <w:right w:w="0" w:type="dxa"/>
        </w:tblCellMar>
      </w:tblPr>
      <w:tr>
        <w:trPr>
          <w:trHeight w:val="188"/>
        </w:trPr>
        <w:tc>
          <w:tcPr>
            <w:tcW w:w="1680" w:type="dxa"/>
            <w:vAlign w:val="bottom"/>
          </w:tcPr>
          <w:p>
            <w:pPr>
              <w:spacing w:after="0"/>
              <w:rPr>
                <w:sz w:val="20"/>
                <w:szCs w:val="20"/>
                <w:color w:val="auto"/>
              </w:rPr>
            </w:pPr>
            <w:r>
              <w:rPr>
                <w:rFonts w:ascii="Arial" w:cs="Arial" w:eastAsia="Arial" w:hAnsi="Arial"/>
                <w:sz w:val="12"/>
                <w:szCs w:val="12"/>
                <w:b w:val="1"/>
                <w:bCs w:val="1"/>
                <w:color w:val="666666"/>
              </w:rPr>
              <w:t>2018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007549"/>
              </w:rPr>
              <w:t>11</w:t>
            </w:r>
          </w:p>
        </w:tc>
      </w:tr>
    </w:tbl>
    <w:p>
      <w:pPr>
        <w:sectPr>
          <w:pgSz w:w="11900" w:h="16838" w:orient="portrait"/>
          <w:cols w:equalWidth="0" w:num="1">
            <w:col w:w="11140"/>
          </w:cols>
          <w:pgMar w:left="240" w:top="454" w:right="51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007549"/>
        </w:rPr>
        <w:t xml:space="preserve">Proposal 1: Election of Directors </w:t>
      </w:r>
      <w:r>
        <w:rPr>
          <w:rFonts w:ascii="Arial" w:cs="Arial" w:eastAsia="Arial" w:hAnsi="Arial"/>
          <w:sz w:val="16"/>
          <w:szCs w:val="16"/>
          <w:b w:val="1"/>
          <w:bCs w:val="1"/>
          <w:color w:val="000000"/>
        </w:rPr>
        <w:t>+ 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55245</wp:posOffset>
            </wp:positionV>
            <wp:extent cx="68935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238"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333333"/>
        </w:rPr>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63500</wp:posOffset>
            </wp:positionV>
            <wp:extent cx="68935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199" w:lineRule="exact"/>
        <w:rPr>
          <w:sz w:val="20"/>
          <w:szCs w:val="20"/>
          <w:color w:val="auto"/>
        </w:rPr>
      </w:pPr>
    </w:p>
    <w:p>
      <w:pPr>
        <w:jc w:val="both"/>
        <w:ind w:left="280"/>
        <w:spacing w:after="0" w:line="233" w:lineRule="auto"/>
        <w:rPr>
          <w:sz w:val="20"/>
          <w:szCs w:val="20"/>
          <w:color w:val="auto"/>
        </w:rPr>
      </w:pPr>
      <w:r>
        <w:rPr>
          <w:rFonts w:ascii="Arial" w:cs="Arial" w:eastAsia="Arial" w:hAnsi="Arial"/>
          <w:sz w:val="18"/>
          <w:szCs w:val="18"/>
          <w:color w:val="auto"/>
        </w:rPr>
        <w:t xml:space="preserve">The audit committee of the board of directors oversees the company’s financial reporting on behalf of the board. Management is responsible for the system of internal controls and for preparing financial statements. Ernst &amp; Young LLP, the company’s independent registered public accountants, are responsible for expressing an opinion on the effectiveness of internal controls over financial reporting and the fair presentation of the financial statements in conformity with generally accepted accounting principles. The audit committee operates in accordance with a charter approved by the board of directors, which is available at </w:t>
      </w:r>
      <w:r>
        <w:rPr>
          <w:rFonts w:ascii="Arial" w:cs="Arial" w:eastAsia="Arial" w:hAnsi="Arial"/>
          <w:sz w:val="18"/>
          <w:szCs w:val="18"/>
          <w:b w:val="1"/>
          <w:bCs w:val="1"/>
          <w:color w:val="007549"/>
        </w:rPr>
        <w:t>www.hess.com</w:t>
      </w:r>
      <w:r>
        <w:rPr>
          <w:rFonts w:ascii="Arial" w:cs="Arial" w:eastAsia="Arial" w:hAnsi="Arial"/>
          <w:sz w:val="18"/>
          <w:szCs w:val="18"/>
          <w:color w:val="auto"/>
        </w:rPr>
        <w:t>. The charter sets forth the audit committee’s responsibilities, which are summarized under “Committees of the Board” on page 11. The committee reviews its charter annually and, when appropriate, makes recommendations for changes to the board.</w:t>
      </w:r>
    </w:p>
    <w:p>
      <w:pPr>
        <w:spacing w:after="0" w:line="17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007549"/>
        </w:rPr>
        <w:t>2017 Actions of the Audit Committee</w:t>
      </w:r>
    </w:p>
    <w:p>
      <w:pPr>
        <w:spacing w:after="0" w:line="136" w:lineRule="exact"/>
        <w:rPr>
          <w:sz w:val="20"/>
          <w:szCs w:val="20"/>
          <w:color w:val="auto"/>
        </w:rPr>
      </w:pPr>
    </w:p>
    <w:p>
      <w:pPr>
        <w:jc w:val="both"/>
        <w:ind w:left="280"/>
        <w:spacing w:after="0" w:line="238" w:lineRule="auto"/>
        <w:rPr>
          <w:sz w:val="20"/>
          <w:szCs w:val="20"/>
          <w:color w:val="auto"/>
        </w:rPr>
      </w:pPr>
      <w:r>
        <w:rPr>
          <w:rFonts w:ascii="Arial" w:cs="Arial" w:eastAsia="Arial" w:hAnsi="Arial"/>
          <w:sz w:val="18"/>
          <w:szCs w:val="18"/>
          <w:color w:val="auto"/>
        </w:rPr>
        <w:t>The audit committee met 7 times during 2017 and met in executive session after each of those meetings. Additionally, the audit committee met 4 times to review quarterly financial results.</w:t>
      </w:r>
    </w:p>
    <w:p>
      <w:pPr>
        <w:spacing w:after="0" w:line="16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During 2017, the audit committee met with management, Ernst &amp; Young LLP and internal auditors and among other things:</w:t>
      </w:r>
    </w:p>
    <w:p>
      <w:pPr>
        <w:spacing w:after="0" w:line="112" w:lineRule="exact"/>
        <w:rPr>
          <w:sz w:val="20"/>
          <w:szCs w:val="20"/>
          <w:color w:val="auto"/>
        </w:rPr>
      </w:pPr>
    </w:p>
    <w:p>
      <w:pPr>
        <w:ind w:left="600" w:hanging="208"/>
        <w:spacing w:after="0" w:line="238" w:lineRule="auto"/>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reviewed and discussed with management and Ernst &amp; Young LLP our audited financial statements included in our annual report on Form 10-K and quarterly unaudited financial statements included in quarterly reports on Form 10-Q prior to filing with the SEC;</w:t>
      </w:r>
    </w:p>
    <w:p>
      <w:pPr>
        <w:spacing w:after="0" w:line="108" w:lineRule="exact"/>
        <w:rPr>
          <w:rFonts w:ascii="Arial" w:cs="Arial" w:eastAsia="Arial" w:hAnsi="Arial"/>
          <w:sz w:val="18"/>
          <w:szCs w:val="18"/>
          <w:color w:val="auto"/>
        </w:rPr>
      </w:pPr>
    </w:p>
    <w:p>
      <w:pPr>
        <w:jc w:val="both"/>
        <w:ind w:left="600" w:hanging="208"/>
        <w:spacing w:after="0" w:line="236" w:lineRule="auto"/>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discussed with management and Ernst &amp; Young LLP accounting policies and management’s application of those policies as they relate to the company’s financial results, significant judgments inherent in the financial statements, disclosures and other matters required by generally accepted auditing standards;</w:t>
      </w:r>
    </w:p>
    <w:p>
      <w:pPr>
        <w:spacing w:after="0" w:line="107" w:lineRule="exact"/>
        <w:rPr>
          <w:rFonts w:ascii="Arial" w:cs="Arial" w:eastAsia="Arial" w:hAnsi="Arial"/>
          <w:sz w:val="18"/>
          <w:szCs w:val="18"/>
          <w:color w:val="auto"/>
        </w:rPr>
      </w:pPr>
    </w:p>
    <w:p>
      <w:pPr>
        <w:jc w:val="both"/>
        <w:ind w:left="600" w:hanging="208"/>
        <w:spacing w:after="0" w:line="236" w:lineRule="auto"/>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discussed with Ernst &amp; Young LLP all matters and communications required to be discussed by applicable Public Company Accounting Oversight Board (“PCAOB”) standards, including matters related to independence, and received the written disclosures and the letter from Ernst &amp; Young LLP required by the PCAOB regarding their independence;</w:t>
      </w:r>
    </w:p>
    <w:p>
      <w:pPr>
        <w:spacing w:after="0" w:line="107" w:lineRule="exact"/>
        <w:rPr>
          <w:rFonts w:ascii="Arial" w:cs="Arial" w:eastAsia="Arial" w:hAnsi="Arial"/>
          <w:sz w:val="18"/>
          <w:szCs w:val="18"/>
          <w:color w:val="auto"/>
        </w:rPr>
      </w:pPr>
    </w:p>
    <w:p>
      <w:pPr>
        <w:jc w:val="both"/>
        <w:ind w:left="600" w:hanging="208"/>
        <w:spacing w:after="0" w:line="236" w:lineRule="auto"/>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reviewed and discussed with management the processes undertaken to evaluate the accuracy and fair presentation of our consolidated financial statements and the effectiveness of our systems of disclosure controls and procedures and internal control over financial reporting;</w:t>
      </w:r>
    </w:p>
    <w:p>
      <w:pPr>
        <w:spacing w:after="0" w:line="107" w:lineRule="exact"/>
        <w:rPr>
          <w:rFonts w:ascii="Arial" w:cs="Arial" w:eastAsia="Arial" w:hAnsi="Arial"/>
          <w:sz w:val="18"/>
          <w:szCs w:val="18"/>
          <w:color w:val="auto"/>
        </w:rPr>
      </w:pPr>
    </w:p>
    <w:p>
      <w:pPr>
        <w:jc w:val="both"/>
        <w:ind w:left="600" w:hanging="208"/>
        <w:spacing w:after="0" w:line="236" w:lineRule="auto"/>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reviewed and discussed with management, the internal auditor, and Ernst &amp; Young LLP, management’s assessment of the effectiveness of our internal control over financial reporting and Ernst &amp; Young LLP’s opinion about the effectiveness of our internal control over financial reporting;</w:t>
      </w:r>
    </w:p>
    <w:p>
      <w:pPr>
        <w:spacing w:after="0" w:line="107" w:lineRule="exact"/>
        <w:rPr>
          <w:rFonts w:ascii="Arial" w:cs="Arial" w:eastAsia="Arial" w:hAnsi="Arial"/>
          <w:sz w:val="18"/>
          <w:szCs w:val="18"/>
          <w:color w:val="auto"/>
        </w:rPr>
      </w:pPr>
    </w:p>
    <w:p>
      <w:pPr>
        <w:jc w:val="both"/>
        <w:ind w:left="600" w:hanging="208"/>
        <w:spacing w:after="0" w:line="236" w:lineRule="auto"/>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reviewed and discussed matters related to risk, risk controls and compliance and inquired about significant financial risk exposures, assessed the steps management is taking to mitigate these risks, and reviewed our policies for risk assessment and risk management, including the company’s overall insurance coverage;</w:t>
      </w:r>
    </w:p>
    <w:p>
      <w:pPr>
        <w:spacing w:after="0" w:line="107" w:lineRule="exact"/>
        <w:rPr>
          <w:rFonts w:ascii="Arial" w:cs="Arial" w:eastAsia="Arial" w:hAnsi="Arial"/>
          <w:sz w:val="18"/>
          <w:szCs w:val="18"/>
          <w:color w:val="auto"/>
        </w:rPr>
      </w:pPr>
    </w:p>
    <w:p>
      <w:pPr>
        <w:ind w:left="600" w:hanging="208"/>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met with management regarding our technology systems and cyber-security incident detection, defense and response;</w:t>
      </w:r>
    </w:p>
    <w:p>
      <w:pPr>
        <w:spacing w:after="0" w:line="112" w:lineRule="exact"/>
        <w:rPr>
          <w:rFonts w:ascii="Arial" w:cs="Arial" w:eastAsia="Arial" w:hAnsi="Arial"/>
          <w:sz w:val="18"/>
          <w:szCs w:val="18"/>
          <w:color w:val="auto"/>
        </w:rPr>
      </w:pPr>
    </w:p>
    <w:p>
      <w:pPr>
        <w:ind w:left="600" w:hanging="208"/>
        <w:spacing w:after="0" w:line="238" w:lineRule="auto"/>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reviewed and assessed the overall adequacy and effectiveness of our legal, regulatory and ethical compliance programs and discussed issues raised on the company’s whistleblower reporting system for financial reporting and other compliance concerns;</w:t>
      </w:r>
    </w:p>
    <w:p>
      <w:pPr>
        <w:spacing w:after="0" w:line="108" w:lineRule="exact"/>
        <w:rPr>
          <w:rFonts w:ascii="Arial" w:cs="Arial" w:eastAsia="Arial" w:hAnsi="Arial"/>
          <w:sz w:val="18"/>
          <w:szCs w:val="18"/>
          <w:color w:val="auto"/>
        </w:rPr>
      </w:pPr>
    </w:p>
    <w:p>
      <w:pPr>
        <w:ind w:left="600" w:hanging="208"/>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reviewed our tax strategies and the implications of tax law changes; and</w:t>
      </w:r>
    </w:p>
    <w:p>
      <w:pPr>
        <w:spacing w:after="0" w:line="112" w:lineRule="exact"/>
        <w:rPr>
          <w:rFonts w:ascii="Arial" w:cs="Arial" w:eastAsia="Arial" w:hAnsi="Arial"/>
          <w:sz w:val="18"/>
          <w:szCs w:val="18"/>
          <w:color w:val="auto"/>
        </w:rPr>
      </w:pPr>
    </w:p>
    <w:p>
      <w:pPr>
        <w:ind w:left="600" w:hanging="208"/>
        <w:spacing w:after="0" w:line="238" w:lineRule="auto"/>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reviewed with the general counsel legal and regulatory matters that may have a material impact on the consolidated financial statements or internal control over financial reporting.</w:t>
      </w:r>
    </w:p>
    <w:p>
      <w:pPr>
        <w:spacing w:after="0" w:line="17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audit committee also met separately with Ernst &amp; Young LLP and the internal auditors without management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1820545</wp:posOffset>
            </wp:positionH>
            <wp:positionV relativeFrom="paragraph">
              <wp:posOffset>88900</wp:posOffset>
            </wp:positionV>
            <wp:extent cx="405765" cy="2451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220" w:lineRule="exact"/>
        <w:rPr>
          <w:sz w:val="20"/>
          <w:szCs w:val="20"/>
          <w:color w:val="auto"/>
        </w:rPr>
      </w:pPr>
    </w:p>
    <w:p>
      <w:pPr>
        <w:ind w:left="760" w:hanging="474"/>
        <w:spacing w:after="0"/>
        <w:tabs>
          <w:tab w:leader="none" w:pos="760" w:val="left"/>
        </w:tabs>
        <w:numPr>
          <w:ilvl w:val="0"/>
          <w:numId w:val="33"/>
        </w:numPr>
        <w:rPr>
          <w:rFonts w:ascii="Arial" w:cs="Arial" w:eastAsia="Arial" w:hAnsi="Arial"/>
          <w:sz w:val="14"/>
          <w:szCs w:val="14"/>
          <w:b w:val="1"/>
          <w:bCs w:val="1"/>
          <w:color w:val="007549"/>
        </w:rPr>
      </w:pPr>
      <w:r>
        <w:rPr>
          <w:rFonts w:ascii="Arial" w:cs="Arial" w:eastAsia="Arial" w:hAnsi="Arial"/>
          <w:sz w:val="12"/>
          <w:szCs w:val="12"/>
          <w:b w:val="1"/>
          <w:bCs w:val="1"/>
          <w:color w:val="666666"/>
        </w:rPr>
        <w:t>2018 PROXY STATEMENT</w:t>
      </w:r>
    </w:p>
    <w:p>
      <w:pPr>
        <w:sectPr>
          <w:pgSz w:w="11900" w:h="16838" w:orient="portrait"/>
          <w:cols w:equalWidth="0" w:num="1">
            <w:col w:w="11140"/>
          </w:cols>
          <w:pgMar w:left="240" w:top="454" w:right="5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7549"/>
        </w:rPr>
        <w:t xml:space="preserve">Proposal 1: Election of Directors </w:t>
      </w:r>
      <w:r>
        <w:rPr>
          <w:rFonts w:ascii="Arial" w:cs="Arial" w:eastAsia="Arial" w:hAnsi="Arial"/>
          <w:sz w:val="16"/>
          <w:szCs w:val="16"/>
          <w:b w:val="1"/>
          <w:bCs w:val="1"/>
          <w:color w:val="000000"/>
        </w:rPr>
        <w:t>+ 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55245</wp:posOffset>
            </wp:positionV>
            <wp:extent cx="68935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234"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007549"/>
        </w:rPr>
        <w:t>Assessment of Independent Registered Public Accountants</w:t>
      </w:r>
    </w:p>
    <w:p>
      <w:pPr>
        <w:spacing w:after="0" w:line="136" w:lineRule="exact"/>
        <w:rPr>
          <w:sz w:val="20"/>
          <w:szCs w:val="20"/>
          <w:color w:val="auto"/>
        </w:rPr>
      </w:pPr>
    </w:p>
    <w:p>
      <w:pPr>
        <w:jc w:val="both"/>
        <w:ind w:left="280"/>
        <w:spacing w:after="0" w:line="236" w:lineRule="auto"/>
        <w:rPr>
          <w:sz w:val="20"/>
          <w:szCs w:val="20"/>
          <w:color w:val="auto"/>
        </w:rPr>
      </w:pPr>
      <w:r>
        <w:rPr>
          <w:rFonts w:ascii="Arial" w:cs="Arial" w:eastAsia="Arial" w:hAnsi="Arial"/>
          <w:sz w:val="18"/>
          <w:szCs w:val="18"/>
          <w:color w:val="auto"/>
        </w:rPr>
        <w:t>The audit committee reviews the scope of and overall plans for the annual audit and negotiates fees and approves the other terms of Ernst &amp; Young LLP’s engagement letter. The audit committee also oversees the periodic required rotation of the lead audit partner, as required by SEC rules, and is directly involved in the selection of such partner.</w:t>
      </w:r>
    </w:p>
    <w:p>
      <w:pPr>
        <w:spacing w:after="0" w:line="161" w:lineRule="exact"/>
        <w:rPr>
          <w:sz w:val="20"/>
          <w:szCs w:val="20"/>
          <w:color w:val="auto"/>
        </w:rPr>
      </w:pPr>
    </w:p>
    <w:p>
      <w:pPr>
        <w:jc w:val="both"/>
        <w:ind w:left="280"/>
        <w:spacing w:after="0" w:line="247" w:lineRule="auto"/>
        <w:rPr>
          <w:sz w:val="20"/>
          <w:szCs w:val="20"/>
          <w:color w:val="auto"/>
        </w:rPr>
      </w:pPr>
      <w:r>
        <w:rPr>
          <w:rFonts w:ascii="Arial" w:cs="Arial" w:eastAsia="Arial" w:hAnsi="Arial"/>
          <w:sz w:val="17"/>
          <w:szCs w:val="17"/>
          <w:color w:val="auto"/>
        </w:rPr>
        <w:t>The audit committee discussed with Ernst &amp; Young LLP their independence from management and the company and considered the compatibility of all non-audit services with the auditors’ independence. The audit committee also assessed the qualifications and performance of Ernst &amp; Young LLP in determining whether to retain them. In conducting this assessment, the audit committee considered, among other things: information relating to audit effectiveness, including the results of PCAOB inspection reports; the depth and expertise of the audit team, including their demonstrated understanding of the company’s businesses, significant accounting practices, and system of internal control over financial reporting; the quality and candor of Ernst &amp; Young LLP’s communications with the audit committee and management; the accessibility, responsiveness, technical competence, and professionalism of the lead audit partner and other members of the audit team assigned to our account; the impact to the company of changing auditors; the appropriateness of Ernst &amp; Young LLP’s fees; and Ernst &amp; Young LLP’s ability to employ professional skepticism, objectivity, integrity, and trustworthiness.</w:t>
      </w:r>
    </w:p>
    <w:p>
      <w:pPr>
        <w:spacing w:after="0" w:line="172" w:lineRule="exact"/>
        <w:rPr>
          <w:sz w:val="20"/>
          <w:szCs w:val="20"/>
          <w:color w:val="auto"/>
        </w:rPr>
      </w:pPr>
    </w:p>
    <w:p>
      <w:pPr>
        <w:jc w:val="both"/>
        <w:ind w:left="280"/>
        <w:spacing w:after="0" w:line="233" w:lineRule="auto"/>
        <w:rPr>
          <w:sz w:val="20"/>
          <w:szCs w:val="20"/>
          <w:color w:val="auto"/>
        </w:rPr>
      </w:pPr>
      <w:r>
        <w:rPr>
          <w:rFonts w:ascii="Arial" w:cs="Arial" w:eastAsia="Arial" w:hAnsi="Arial"/>
          <w:sz w:val="18"/>
          <w:szCs w:val="18"/>
          <w:color w:val="auto"/>
        </w:rPr>
        <w:t>The audit committee reviewed the audited December 31, 2017 financial statements of the company with management and the independent registered public accountants. Management represented to the committee that the financial statements were prepared in accordance with generally accepted accounting principles. In reliance on the reviews and discussions with management and the independent registered public accountants, the audit committee recommended to the board of directors, and the board approved, the inclusion of the audited financial statements in the annual report on Form 10-K for the year ended December 31, 2017 filed with the SEC. The audit committee has also selected Ernst &amp; Young LLP as independent registered public accountants for 2018. The board has unanimously proposed that the stockholders ratify this selection at the annual meeting.</w:t>
      </w:r>
    </w:p>
    <w:p>
      <w:pPr>
        <w:spacing w:after="0" w:line="14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Committee Members:</w:t>
      </w:r>
    </w:p>
    <w:p>
      <w:pPr>
        <w:spacing w:after="0" w:line="11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Fredric G. Reynolds, Chair</w:t>
      </w:r>
    </w:p>
    <w:p>
      <w:pPr>
        <w:ind w:left="280"/>
        <w:spacing w:after="0" w:line="231" w:lineRule="auto"/>
        <w:rPr>
          <w:sz w:val="20"/>
          <w:szCs w:val="20"/>
          <w:color w:val="auto"/>
        </w:rPr>
      </w:pPr>
      <w:r>
        <w:rPr>
          <w:rFonts w:ascii="Arial" w:cs="Arial" w:eastAsia="Arial" w:hAnsi="Arial"/>
          <w:sz w:val="18"/>
          <w:szCs w:val="18"/>
          <w:color w:val="auto"/>
        </w:rPr>
        <w:t>Rodney F. Chase</w:t>
      </w:r>
    </w:p>
    <w:p>
      <w:pPr>
        <w:ind w:left="280"/>
        <w:spacing w:after="0" w:line="231" w:lineRule="auto"/>
        <w:rPr>
          <w:sz w:val="20"/>
          <w:szCs w:val="20"/>
          <w:color w:val="auto"/>
        </w:rPr>
      </w:pPr>
      <w:r>
        <w:rPr>
          <w:rFonts w:ascii="Arial" w:cs="Arial" w:eastAsia="Arial" w:hAnsi="Arial"/>
          <w:sz w:val="18"/>
          <w:szCs w:val="18"/>
          <w:color w:val="auto"/>
        </w:rPr>
        <w:t>Kevin O. Meyers</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William G. Schrader</w:t>
      </w:r>
    </w:p>
    <w:p>
      <w:pPr>
        <w:spacing w:after="0" w:line="205" w:lineRule="exact"/>
        <w:rPr>
          <w:sz w:val="20"/>
          <w:szCs w:val="20"/>
          <w:color w:val="auto"/>
        </w:rPr>
      </w:pPr>
    </w:p>
    <w:p>
      <w:pPr>
        <w:jc w:val="both"/>
        <w:ind w:left="280"/>
        <w:spacing w:after="0" w:line="255" w:lineRule="auto"/>
        <w:rPr>
          <w:sz w:val="20"/>
          <w:szCs w:val="20"/>
          <w:color w:val="auto"/>
        </w:rPr>
      </w:pPr>
      <w:r>
        <w:rPr>
          <w:rFonts w:ascii="Arial" w:cs="Arial" w:eastAsia="Arial" w:hAnsi="Arial"/>
          <w:sz w:val="17"/>
          <w:szCs w:val="17"/>
          <w:color w:val="auto"/>
        </w:rPr>
        <w:t>The Report of the Audit Committee does not constitute soliciting material, and shall not be deemed to be filed or incorporated by reference into any other company filing under the Securities Act of 1933, as amended, or the Securities Exchange Act of 1934, as amended (the “Exchange Act”), except to the extent that the company specifically incorporates the Report of the Audit Committee by reference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78105</wp:posOffset>
            </wp:positionV>
            <wp:extent cx="405765" cy="2451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196" w:lineRule="exact"/>
        <w:rPr>
          <w:sz w:val="20"/>
          <w:szCs w:val="20"/>
          <w:color w:val="auto"/>
        </w:rPr>
      </w:pPr>
    </w:p>
    <w:tbl>
      <w:tblPr>
        <w:tblLayout w:type="fixed"/>
        <w:tblInd w:w="9140" w:type="dxa"/>
        <w:tblCellMar>
          <w:top w:w="0" w:type="dxa"/>
          <w:left w:w="0" w:type="dxa"/>
          <w:bottom w:w="0" w:type="dxa"/>
          <w:right w:w="0" w:type="dxa"/>
        </w:tblCellMar>
      </w:tblPr>
      <w:tr>
        <w:trPr>
          <w:trHeight w:val="188"/>
        </w:trPr>
        <w:tc>
          <w:tcPr>
            <w:tcW w:w="1680" w:type="dxa"/>
            <w:vAlign w:val="bottom"/>
          </w:tcPr>
          <w:p>
            <w:pPr>
              <w:spacing w:after="0"/>
              <w:rPr>
                <w:sz w:val="20"/>
                <w:szCs w:val="20"/>
                <w:color w:val="auto"/>
              </w:rPr>
            </w:pPr>
            <w:r>
              <w:rPr>
                <w:rFonts w:ascii="Arial" w:cs="Arial" w:eastAsia="Arial" w:hAnsi="Arial"/>
                <w:sz w:val="12"/>
                <w:szCs w:val="12"/>
                <w:b w:val="1"/>
                <w:bCs w:val="1"/>
                <w:color w:val="666666"/>
              </w:rPr>
              <w:t>2018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007549"/>
              </w:rPr>
              <w:t>13</w:t>
            </w:r>
          </w:p>
        </w:tc>
      </w:tr>
    </w:tbl>
    <w:p>
      <w:pPr>
        <w:sectPr>
          <w:pgSz w:w="11900" w:h="16838" w:orient="portrait"/>
          <w:cols w:equalWidth="0" w:num="1">
            <w:col w:w="11140"/>
          </w:cols>
          <w:pgMar w:left="240" w:top="454" w:right="5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007549"/>
        </w:rPr>
        <w:t xml:space="preserve">Proposal 1: Election of Directors </w:t>
      </w:r>
      <w:r>
        <w:rPr>
          <w:rFonts w:ascii="Arial" w:cs="Arial" w:eastAsia="Arial" w:hAnsi="Arial"/>
          <w:sz w:val="16"/>
          <w:szCs w:val="16"/>
          <w:b w:val="1"/>
          <w:bCs w:val="1"/>
          <w:color w:val="000000"/>
        </w:rPr>
        <w:t>+ Stockholder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55245</wp:posOffset>
            </wp:positionV>
            <wp:extent cx="68935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238"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333333"/>
        </w:rPr>
        <w:t>Stockholder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63500</wp:posOffset>
            </wp:positionV>
            <wp:extent cx="68935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159" w:lineRule="exact"/>
        <w:rPr>
          <w:sz w:val="20"/>
          <w:szCs w:val="20"/>
          <w:color w:val="auto"/>
        </w:rPr>
      </w:pPr>
    </w:p>
    <w:p>
      <w:pPr>
        <w:jc w:val="both"/>
        <w:ind w:left="280"/>
        <w:spacing w:after="0" w:line="235" w:lineRule="auto"/>
        <w:rPr>
          <w:sz w:val="20"/>
          <w:szCs w:val="20"/>
          <w:color w:val="auto"/>
        </w:rPr>
      </w:pPr>
      <w:r>
        <w:rPr>
          <w:rFonts w:ascii="Arial" w:cs="Arial" w:eastAsia="Arial" w:hAnsi="Arial"/>
          <w:sz w:val="18"/>
          <w:szCs w:val="18"/>
          <w:color w:val="auto"/>
        </w:rPr>
        <w:t>We engage with our stockholders on a regular basis to ensure we fully understand the factors they consider to be most important when evaluating our company. During 2017, our CEO and other members of senior management, at times accompanied by our independent chairman, conducted a broad outreach effort which included meetings with more than 300 institutional investors representing, in the aggregate, approximately 70% of our outstanding shares.</w:t>
      </w:r>
    </w:p>
    <w:p>
      <w:pPr>
        <w:sectPr>
          <w:pgSz w:w="11900" w:h="16838" w:orient="portrait"/>
          <w:cols w:equalWidth="0" w:num="1">
            <w:col w:w="11140"/>
          </w:cols>
          <w:pgMar w:left="240" w:top="454" w:right="519" w:bottom="1440" w:gutter="0" w:footer="0" w:header="0"/>
        </w:sectPr>
      </w:pPr>
    </w:p>
    <w:p>
      <w:pPr>
        <w:spacing w:after="0" w:line="204" w:lineRule="exact"/>
        <w:rPr>
          <w:sz w:val="20"/>
          <w:szCs w:val="20"/>
          <w:color w:val="auto"/>
        </w:rPr>
      </w:pPr>
    </w:p>
    <w:p>
      <w:pPr>
        <w:jc w:val="center"/>
        <w:ind w:left="500"/>
        <w:spacing w:after="0"/>
        <w:rPr>
          <w:sz w:val="20"/>
          <w:szCs w:val="20"/>
          <w:color w:val="auto"/>
        </w:rPr>
      </w:pPr>
      <w:r>
        <w:rPr>
          <w:rFonts w:ascii="Arial" w:cs="Arial" w:eastAsia="Arial" w:hAnsi="Arial"/>
          <w:sz w:val="23"/>
          <w:szCs w:val="23"/>
          <w:b w:val="1"/>
          <w:bCs w:val="1"/>
          <w:color w:val="007549"/>
        </w:rPr>
        <w:t>CEO and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-152400</wp:posOffset>
            </wp:positionV>
            <wp:extent cx="4333875" cy="18840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333875" cy="1884045"/>
                    </a:xfrm>
                    <a:prstGeom prst="rect">
                      <a:avLst/>
                    </a:prstGeom>
                    <a:noFill/>
                  </pic:spPr>
                </pic:pic>
              </a:graphicData>
            </a:graphic>
          </wp:anchor>
        </w:drawing>
      </w:r>
    </w:p>
    <w:p>
      <w:pPr>
        <w:spacing w:after="0" w:line="76"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color w:val="auto"/>
        </w:rPr>
        <w:t>Robust stockholder engagement</w:t>
      </w:r>
    </w:p>
    <w:p>
      <w:pPr>
        <w:spacing w:after="0" w:line="15"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color w:val="auto"/>
        </w:rPr>
        <w:t>program throughout the year</w:t>
      </w:r>
    </w:p>
    <w:p>
      <w:pPr>
        <w:spacing w:after="0" w:line="82" w:lineRule="exact"/>
        <w:rPr>
          <w:sz w:val="20"/>
          <w:szCs w:val="20"/>
          <w:color w:val="auto"/>
        </w:rPr>
      </w:pPr>
    </w:p>
    <w:p>
      <w:pPr>
        <w:jc w:val="center"/>
        <w:ind w:left="420"/>
        <w:spacing w:after="0"/>
        <w:rPr>
          <w:sz w:val="20"/>
          <w:szCs w:val="20"/>
          <w:color w:val="auto"/>
        </w:rPr>
      </w:pPr>
      <w:r>
        <w:rPr>
          <w:rFonts w:ascii="Arial" w:cs="Arial" w:eastAsia="Arial" w:hAnsi="Arial"/>
          <w:sz w:val="19"/>
          <w:szCs w:val="19"/>
          <w:b w:val="1"/>
          <w:bCs w:val="1"/>
          <w:color w:val="007549"/>
        </w:rPr>
        <w:t>2017 Highlights</w:t>
      </w:r>
    </w:p>
    <w:p>
      <w:pPr>
        <w:spacing w:after="0" w:line="131" w:lineRule="exact"/>
        <w:rPr>
          <w:sz w:val="20"/>
          <w:szCs w:val="20"/>
          <w:color w:val="auto"/>
        </w:rPr>
      </w:pPr>
    </w:p>
    <w:p>
      <w:pPr>
        <w:ind w:left="680" w:hanging="159"/>
        <w:spacing w:after="0"/>
        <w:tabs>
          <w:tab w:leader="none" w:pos="680" w:val="left"/>
        </w:tabs>
        <w:numPr>
          <w:ilvl w:val="0"/>
          <w:numId w:val="34"/>
        </w:numPr>
        <w:rPr>
          <w:rFonts w:ascii="Arial" w:cs="Arial" w:eastAsia="Arial" w:hAnsi="Arial"/>
          <w:sz w:val="18"/>
          <w:szCs w:val="18"/>
          <w:color w:val="007549"/>
        </w:rPr>
      </w:pPr>
      <w:r>
        <w:rPr>
          <w:rFonts w:ascii="Arial" w:cs="Arial" w:eastAsia="Arial" w:hAnsi="Arial"/>
          <w:sz w:val="18"/>
          <w:szCs w:val="18"/>
          <w:color w:val="007549"/>
        </w:rPr>
        <w:t>Participated in 16 major investor conferences</w:t>
      </w:r>
    </w:p>
    <w:p>
      <w:pPr>
        <w:spacing w:after="0" w:line="72" w:lineRule="exact"/>
        <w:rPr>
          <w:rFonts w:ascii="Arial" w:cs="Arial" w:eastAsia="Arial" w:hAnsi="Arial"/>
          <w:sz w:val="18"/>
          <w:szCs w:val="18"/>
          <w:color w:val="007549"/>
        </w:rPr>
      </w:pPr>
    </w:p>
    <w:p>
      <w:pPr>
        <w:ind w:left="700" w:hanging="179"/>
        <w:spacing w:after="0" w:line="238" w:lineRule="auto"/>
        <w:tabs>
          <w:tab w:leader="none" w:pos="685" w:val="left"/>
        </w:tabs>
        <w:numPr>
          <w:ilvl w:val="0"/>
          <w:numId w:val="34"/>
        </w:numPr>
        <w:rPr>
          <w:rFonts w:ascii="Arial" w:cs="Arial" w:eastAsia="Arial" w:hAnsi="Arial"/>
          <w:sz w:val="18"/>
          <w:szCs w:val="18"/>
          <w:color w:val="007549"/>
        </w:rPr>
      </w:pPr>
      <w:r>
        <w:rPr>
          <w:rFonts w:ascii="Arial" w:cs="Arial" w:eastAsia="Arial" w:hAnsi="Arial"/>
          <w:sz w:val="18"/>
          <w:szCs w:val="18"/>
          <w:color w:val="007549"/>
        </w:rPr>
        <w:t>Presented at CERAWeek, a premier energy conference attended by institutional investors and industry leaders</w:t>
      </w:r>
    </w:p>
    <w:p>
      <w:pPr>
        <w:spacing w:after="0" w:line="68" w:lineRule="exact"/>
        <w:rPr>
          <w:rFonts w:ascii="Arial" w:cs="Arial" w:eastAsia="Arial" w:hAnsi="Arial"/>
          <w:sz w:val="18"/>
          <w:szCs w:val="18"/>
          <w:color w:val="007549"/>
        </w:rPr>
      </w:pPr>
    </w:p>
    <w:p>
      <w:pPr>
        <w:ind w:left="700" w:right="20" w:hanging="179"/>
        <w:spacing w:after="0" w:line="238" w:lineRule="auto"/>
        <w:tabs>
          <w:tab w:leader="none" w:pos="685" w:val="left"/>
        </w:tabs>
        <w:numPr>
          <w:ilvl w:val="0"/>
          <w:numId w:val="34"/>
        </w:numPr>
        <w:rPr>
          <w:rFonts w:ascii="Arial" w:cs="Arial" w:eastAsia="Arial" w:hAnsi="Arial"/>
          <w:sz w:val="18"/>
          <w:szCs w:val="18"/>
          <w:color w:val="007549"/>
        </w:rPr>
      </w:pPr>
      <w:r>
        <w:rPr>
          <w:rFonts w:ascii="Arial" w:cs="Arial" w:eastAsia="Arial" w:hAnsi="Arial"/>
          <w:sz w:val="18"/>
          <w:szCs w:val="18"/>
          <w:color w:val="007549"/>
        </w:rPr>
        <w:t>Participated in conferences hosted by Council of Institutional Investors (CII), including Investor Engagement Exchange program</w:t>
      </w:r>
    </w:p>
    <w:p>
      <w:pPr>
        <w:spacing w:after="0" w:line="68" w:lineRule="exact"/>
        <w:rPr>
          <w:rFonts w:ascii="Arial" w:cs="Arial" w:eastAsia="Arial" w:hAnsi="Arial"/>
          <w:sz w:val="18"/>
          <w:szCs w:val="18"/>
          <w:color w:val="007549"/>
        </w:rPr>
      </w:pPr>
    </w:p>
    <w:p>
      <w:pPr>
        <w:ind w:left="700" w:right="20" w:hanging="179"/>
        <w:spacing w:after="0" w:line="238" w:lineRule="auto"/>
        <w:tabs>
          <w:tab w:leader="none" w:pos="685" w:val="left"/>
        </w:tabs>
        <w:numPr>
          <w:ilvl w:val="0"/>
          <w:numId w:val="34"/>
        </w:numPr>
        <w:rPr>
          <w:rFonts w:ascii="Arial" w:cs="Arial" w:eastAsia="Arial" w:hAnsi="Arial"/>
          <w:sz w:val="18"/>
          <w:szCs w:val="18"/>
          <w:color w:val="007549"/>
        </w:rPr>
      </w:pPr>
      <w:r>
        <w:rPr>
          <w:rFonts w:ascii="Arial" w:cs="Arial" w:eastAsia="Arial" w:hAnsi="Arial"/>
          <w:sz w:val="18"/>
          <w:szCs w:val="18"/>
          <w:color w:val="007549"/>
        </w:rPr>
        <w:t>Held investor meetings with more than 300 institutional investors in 19 cities in the United States and internationally</w:t>
      </w:r>
    </w:p>
    <w:p>
      <w:pPr>
        <w:spacing w:after="0" w:line="215" w:lineRule="exact"/>
        <w:rPr>
          <w:sz w:val="20"/>
          <w:szCs w:val="20"/>
          <w:color w:val="auto"/>
        </w:rPr>
      </w:pPr>
    </w:p>
    <w:p>
      <w:pPr>
        <w:ind w:left="5020"/>
        <w:spacing w:after="0"/>
        <w:rPr>
          <w:sz w:val="20"/>
          <w:szCs w:val="20"/>
          <w:color w:val="auto"/>
        </w:rPr>
      </w:pPr>
      <w:r>
        <w:rPr>
          <w:rFonts w:ascii="Arial" w:cs="Arial" w:eastAsia="Arial" w:hAnsi="Arial"/>
          <w:sz w:val="20"/>
          <w:szCs w:val="20"/>
          <w:b w:val="1"/>
          <w:bCs w:val="1"/>
          <w:color w:val="007549"/>
        </w:rPr>
        <w:t>Topics Covered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-127635</wp:posOffset>
            </wp:positionV>
            <wp:extent cx="6893560" cy="11576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93560" cy="1157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center"/>
        <w:ind w:right="100"/>
        <w:spacing w:after="0"/>
        <w:rPr>
          <w:sz w:val="20"/>
          <w:szCs w:val="20"/>
          <w:color w:val="auto"/>
        </w:rPr>
      </w:pPr>
      <w:r>
        <w:rPr>
          <w:rFonts w:ascii="Arial" w:cs="Arial" w:eastAsia="Arial" w:hAnsi="Arial"/>
          <w:sz w:val="23"/>
          <w:szCs w:val="23"/>
          <w:b w:val="1"/>
          <w:bCs w:val="1"/>
          <w:color w:val="007549"/>
        </w:rPr>
        <w:t>Board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-152400</wp:posOffset>
            </wp:positionV>
            <wp:extent cx="2424430" cy="18840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424430" cy="1884045"/>
                    </a:xfrm>
                    <a:prstGeom prst="rect">
                      <a:avLst/>
                    </a:prstGeom>
                    <a:noFill/>
                  </pic:spPr>
                </pic:pic>
              </a:graphicData>
            </a:graphic>
          </wp:anchor>
        </w:drawing>
      </w:r>
    </w:p>
    <w:p>
      <w:pPr>
        <w:spacing w:after="0" w:line="76" w:lineRule="exact"/>
        <w:rPr>
          <w:sz w:val="20"/>
          <w:szCs w:val="20"/>
          <w:color w:val="auto"/>
        </w:rPr>
      </w:pPr>
    </w:p>
    <w:p>
      <w:pPr>
        <w:jc w:val="center"/>
        <w:ind w:right="180"/>
        <w:spacing w:after="0"/>
        <w:rPr>
          <w:sz w:val="20"/>
          <w:szCs w:val="20"/>
          <w:color w:val="auto"/>
        </w:rPr>
      </w:pPr>
      <w:r>
        <w:rPr>
          <w:rFonts w:ascii="Arial" w:cs="Arial" w:eastAsia="Arial" w:hAnsi="Arial"/>
          <w:sz w:val="17"/>
          <w:szCs w:val="17"/>
          <w:b w:val="1"/>
          <w:bCs w:val="1"/>
          <w:color w:val="auto"/>
        </w:rPr>
        <w:t>Participated in meetings with several of</w:t>
      </w:r>
    </w:p>
    <w:p>
      <w:pPr>
        <w:spacing w:after="0" w:line="2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our largest stockholders</w:t>
      </w:r>
    </w:p>
    <w:p>
      <w:pPr>
        <w:spacing w:after="0" w:line="82" w:lineRule="exact"/>
        <w:rPr>
          <w:sz w:val="20"/>
          <w:szCs w:val="20"/>
          <w:color w:val="auto"/>
        </w:rPr>
      </w:pPr>
    </w:p>
    <w:p>
      <w:pPr>
        <w:ind w:left="980"/>
        <w:spacing w:after="0"/>
        <w:rPr>
          <w:sz w:val="20"/>
          <w:szCs w:val="20"/>
          <w:color w:val="auto"/>
        </w:rPr>
      </w:pPr>
      <w:r>
        <w:rPr>
          <w:rFonts w:ascii="Arial" w:cs="Arial" w:eastAsia="Arial" w:hAnsi="Arial"/>
          <w:sz w:val="19"/>
          <w:szCs w:val="19"/>
          <w:b w:val="1"/>
          <w:bCs w:val="1"/>
          <w:color w:val="007549"/>
        </w:rPr>
        <w:t>2017 Highlights</w:t>
      </w:r>
    </w:p>
    <w:p>
      <w:pPr>
        <w:spacing w:after="0" w:line="131" w:lineRule="exact"/>
        <w:rPr>
          <w:sz w:val="20"/>
          <w:szCs w:val="20"/>
          <w:color w:val="auto"/>
        </w:rPr>
      </w:pPr>
    </w:p>
    <w:p>
      <w:pPr>
        <w:jc w:val="both"/>
        <w:ind w:left="240" w:right="160" w:hanging="181"/>
        <w:spacing w:after="0" w:line="236" w:lineRule="auto"/>
        <w:tabs>
          <w:tab w:leader="none" w:pos="225" w:val="left"/>
        </w:tabs>
        <w:numPr>
          <w:ilvl w:val="0"/>
          <w:numId w:val="35"/>
        </w:numPr>
        <w:rPr>
          <w:rFonts w:ascii="Arial" w:cs="Arial" w:eastAsia="Arial" w:hAnsi="Arial"/>
          <w:sz w:val="18"/>
          <w:szCs w:val="18"/>
          <w:color w:val="007549"/>
        </w:rPr>
      </w:pPr>
      <w:r>
        <w:rPr>
          <w:rFonts w:ascii="Arial" w:cs="Arial" w:eastAsia="Arial" w:hAnsi="Arial"/>
          <w:sz w:val="18"/>
          <w:szCs w:val="18"/>
          <w:color w:val="007549"/>
        </w:rPr>
        <w:t>Met with stockholders who collectively beneficially own almost 30% of our outstanding shares</w:t>
      </w:r>
    </w:p>
    <w:p>
      <w:pPr>
        <w:spacing w:after="0" w:line="1681" w:lineRule="exact"/>
        <w:rPr>
          <w:sz w:val="20"/>
          <w:szCs w:val="20"/>
          <w:color w:val="auto"/>
        </w:rPr>
      </w:pPr>
    </w:p>
    <w:p>
      <w:pPr>
        <w:sectPr>
          <w:pgSz w:w="11900" w:h="16838" w:orient="portrait"/>
          <w:cols w:equalWidth="0" w:num="2">
            <w:col w:w="6960" w:space="660"/>
            <w:col w:w="3520"/>
          </w:cols>
          <w:pgMar w:left="240" w:top="454" w:right="519" w:bottom="1440" w:gutter="0" w:footer="0" w:header="0"/>
          <w:type w:val="continuous"/>
        </w:sectPr>
      </w:pPr>
    </w:p>
    <w:p>
      <w:pPr>
        <w:spacing w:after="0" w:line="346" w:lineRule="exact"/>
        <w:rPr>
          <w:sz w:val="20"/>
          <w:szCs w:val="20"/>
          <w:color w:val="auto"/>
        </w:rPr>
      </w:pPr>
    </w:p>
    <w:tbl>
      <w:tblPr>
        <w:tblLayout w:type="fixed"/>
        <w:tblInd w:w="1180" w:type="dxa"/>
        <w:tblCellMar>
          <w:top w:w="0" w:type="dxa"/>
          <w:left w:w="0" w:type="dxa"/>
          <w:bottom w:w="0" w:type="dxa"/>
          <w:right w:w="0" w:type="dxa"/>
        </w:tblCellMar>
      </w:tblPr>
      <w:tr>
        <w:trPr>
          <w:trHeight w:val="262"/>
        </w:trPr>
        <w:tc>
          <w:tcPr>
            <w:tcW w:w="1240" w:type="dxa"/>
            <w:vAlign w:val="bottom"/>
          </w:tcPr>
          <w:p>
            <w:pPr>
              <w:spacing w:after="0"/>
              <w:rPr>
                <w:sz w:val="20"/>
                <w:szCs w:val="20"/>
                <w:color w:val="auto"/>
              </w:rPr>
            </w:pPr>
            <w:r>
              <w:rPr>
                <w:rFonts w:ascii="Arial" w:cs="Arial" w:eastAsia="Arial" w:hAnsi="Arial"/>
                <w:sz w:val="18"/>
                <w:szCs w:val="18"/>
                <w:b w:val="1"/>
                <w:bCs w:val="1"/>
                <w:color w:val="007549"/>
              </w:rPr>
              <w:t>Strategy</w:t>
            </w:r>
          </w:p>
        </w:tc>
        <w:tc>
          <w:tcPr>
            <w:tcW w:w="3740" w:type="dxa"/>
            <w:vAlign w:val="bottom"/>
          </w:tcPr>
          <w:p>
            <w:pPr>
              <w:ind w:left="520"/>
              <w:spacing w:after="0"/>
              <w:rPr>
                <w:sz w:val="20"/>
                <w:szCs w:val="20"/>
                <w:color w:val="auto"/>
              </w:rPr>
            </w:pPr>
            <w:r>
              <w:rPr>
                <w:rFonts w:ascii="Arial" w:cs="Arial" w:eastAsia="Arial" w:hAnsi="Arial"/>
                <w:sz w:val="18"/>
                <w:szCs w:val="18"/>
                <w:b w:val="1"/>
                <w:bCs w:val="1"/>
                <w:color w:val="007549"/>
              </w:rPr>
              <w:t>Environment and Sustainability</w:t>
            </w:r>
          </w:p>
        </w:tc>
        <w:tc>
          <w:tcPr>
            <w:tcW w:w="2340" w:type="dxa"/>
            <w:vAlign w:val="bottom"/>
          </w:tcPr>
          <w:p>
            <w:pPr>
              <w:ind w:left="580"/>
              <w:spacing w:after="0"/>
              <w:rPr>
                <w:sz w:val="20"/>
                <w:szCs w:val="20"/>
                <w:color w:val="auto"/>
              </w:rPr>
            </w:pPr>
            <w:r>
              <w:rPr>
                <w:rFonts w:ascii="Arial" w:cs="Arial" w:eastAsia="Arial" w:hAnsi="Arial"/>
                <w:sz w:val="18"/>
                <w:szCs w:val="18"/>
                <w:b w:val="1"/>
                <w:bCs w:val="1"/>
                <w:color w:val="007549"/>
              </w:rPr>
              <w:t>Governance</w:t>
            </w:r>
          </w:p>
        </w:tc>
        <w:tc>
          <w:tcPr>
            <w:tcW w:w="1960" w:type="dxa"/>
            <w:vAlign w:val="bottom"/>
          </w:tcPr>
          <w:p>
            <w:pPr>
              <w:jc w:val="center"/>
              <w:ind w:left="651"/>
              <w:spacing w:after="0"/>
              <w:rPr>
                <w:sz w:val="20"/>
                <w:szCs w:val="20"/>
                <w:color w:val="auto"/>
              </w:rPr>
            </w:pPr>
            <w:r>
              <w:rPr>
                <w:rFonts w:ascii="Arial" w:cs="Arial" w:eastAsia="Arial" w:hAnsi="Arial"/>
                <w:sz w:val="18"/>
                <w:szCs w:val="18"/>
                <w:b w:val="1"/>
                <w:bCs w:val="1"/>
                <w:color w:val="007549"/>
                <w:w w:val="97"/>
              </w:rPr>
              <w:t>Executive</w:t>
            </w:r>
          </w:p>
        </w:tc>
      </w:tr>
      <w:tr>
        <w:trPr>
          <w:trHeight w:val="234"/>
        </w:trPr>
        <w:tc>
          <w:tcPr>
            <w:tcW w:w="12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960" w:type="dxa"/>
            <w:vAlign w:val="bottom"/>
          </w:tcPr>
          <w:p>
            <w:pPr>
              <w:jc w:val="center"/>
              <w:ind w:left="631"/>
              <w:spacing w:after="0"/>
              <w:rPr>
                <w:sz w:val="20"/>
                <w:szCs w:val="20"/>
                <w:color w:val="auto"/>
              </w:rPr>
            </w:pPr>
            <w:r>
              <w:rPr>
                <w:rFonts w:ascii="Arial" w:cs="Arial" w:eastAsia="Arial" w:hAnsi="Arial"/>
                <w:sz w:val="18"/>
                <w:szCs w:val="18"/>
                <w:b w:val="1"/>
                <w:bCs w:val="1"/>
                <w:color w:val="007549"/>
                <w:w w:val="99"/>
              </w:rPr>
              <w:t>Compensation</w:t>
            </w:r>
          </w:p>
        </w:tc>
      </w:tr>
    </w:tbl>
    <w:p>
      <w:pPr>
        <w:spacing w:after="0" w:line="22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007549"/>
        </w:rPr>
        <w:t>Management and the chairman provide feedback from these meetings to the full board on a regular basis.</w:t>
      </w:r>
    </w:p>
    <w:p>
      <w:pPr>
        <w:spacing w:after="0" w:line="333"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333333"/>
        </w:rPr>
        <w:t>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63500</wp:posOffset>
            </wp:positionV>
            <wp:extent cx="68935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173" w:lineRule="exact"/>
        <w:rPr>
          <w:sz w:val="20"/>
          <w:szCs w:val="20"/>
          <w:color w:val="auto"/>
        </w:rPr>
      </w:pPr>
    </w:p>
    <w:p>
      <w:pPr>
        <w:jc w:val="both"/>
        <w:ind w:left="280"/>
        <w:spacing w:after="0" w:line="248" w:lineRule="auto"/>
        <w:rPr>
          <w:sz w:val="20"/>
          <w:szCs w:val="20"/>
          <w:color w:val="auto"/>
        </w:rPr>
      </w:pPr>
      <w:r>
        <w:rPr>
          <w:rFonts w:ascii="Arial" w:cs="Arial" w:eastAsia="Arial" w:hAnsi="Arial"/>
          <w:sz w:val="17"/>
          <w:szCs w:val="17"/>
          <w:color w:val="auto"/>
        </w:rPr>
        <w:t>The board of directors has oversight of the company’s risk management policies with an emphasis on understanding the key enterprise risks affecting the company’s business and the ways in which the company attempts to prudently mitigate such risks, to the extent reasonably practicable and consistent with the company’s long-term strategies. Additionally, each of the board’s committees is assigned with overseeing risk management specific to their scope of responsibilities, as illustrated below. Management applies a comprehensive, standardized approach to identifying and managing risks of all types across our operations. Our enterprise risk management (ERM) process is used to develop a holistic risk profile for each asset and major project, drawing input from subject matter experts, performance data, incident investigations, lessons learned and recent internal audits. In these risk assessments, we identify each risk and assess its likelihood and potential impact to people, the environment, our reputation and our business, as well as other risks as appropriate.</w:t>
      </w:r>
    </w:p>
    <w:p>
      <w:pPr>
        <w:spacing w:after="0" w:line="154" w:lineRule="exact"/>
        <w:rPr>
          <w:sz w:val="20"/>
          <w:szCs w:val="20"/>
          <w:color w:val="auto"/>
        </w:rPr>
      </w:pPr>
    </w:p>
    <w:p>
      <w:pPr>
        <w:jc w:val="both"/>
        <w:ind w:left="280"/>
        <w:spacing w:after="0" w:line="233" w:lineRule="auto"/>
        <w:rPr>
          <w:sz w:val="20"/>
          <w:szCs w:val="20"/>
          <w:color w:val="auto"/>
        </w:rPr>
      </w:pPr>
      <w:r>
        <w:rPr>
          <w:rFonts w:ascii="Arial" w:cs="Arial" w:eastAsia="Arial" w:hAnsi="Arial"/>
          <w:sz w:val="18"/>
          <w:szCs w:val="18"/>
          <w:color w:val="auto"/>
        </w:rPr>
        <w:t>Periodically, the chief risk officer presents a comprehensive review of the company’s enterprise levels risks, the status of the enterprise risk program and risk management strategies utilized by the company under its corporate risk policy to the audit committee, which has been delegated primary responsibility for oversight of the company’s risk management practices. The audit committee and the board will also receive updates at meetings during the year on any particular matters relating to specific risks that management believes needs to be brought to the attention of the committee or the board. In addition, the company conducts an annual risk assessment to determine the extent, if any, to which the company’s compensation programs and practices may create incentives for excessive risk-taking. For a discussion of this assessment, see “Compensation and Risk” on 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1820545</wp:posOffset>
            </wp:positionH>
            <wp:positionV relativeFrom="paragraph">
              <wp:posOffset>87630</wp:posOffset>
            </wp:positionV>
            <wp:extent cx="405765" cy="2451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217" w:lineRule="exact"/>
        <w:rPr>
          <w:sz w:val="20"/>
          <w:szCs w:val="20"/>
          <w:color w:val="auto"/>
        </w:rPr>
      </w:pPr>
    </w:p>
    <w:p>
      <w:pPr>
        <w:ind w:left="760" w:hanging="474"/>
        <w:spacing w:after="0"/>
        <w:tabs>
          <w:tab w:leader="none" w:pos="760" w:val="left"/>
        </w:tabs>
        <w:numPr>
          <w:ilvl w:val="0"/>
          <w:numId w:val="36"/>
        </w:numPr>
        <w:rPr>
          <w:rFonts w:ascii="Arial" w:cs="Arial" w:eastAsia="Arial" w:hAnsi="Arial"/>
          <w:sz w:val="14"/>
          <w:szCs w:val="14"/>
          <w:b w:val="1"/>
          <w:bCs w:val="1"/>
          <w:color w:val="007549"/>
        </w:rPr>
      </w:pPr>
      <w:r>
        <w:rPr>
          <w:rFonts w:ascii="Arial" w:cs="Arial" w:eastAsia="Arial" w:hAnsi="Arial"/>
          <w:sz w:val="12"/>
          <w:szCs w:val="12"/>
          <w:b w:val="1"/>
          <w:bCs w:val="1"/>
          <w:color w:val="666666"/>
        </w:rPr>
        <w:t>2018 PROXY STATEMENT</w:t>
      </w:r>
    </w:p>
    <w:p>
      <w:pPr>
        <w:sectPr>
          <w:pgSz w:w="11900" w:h="16838" w:orient="portrait"/>
          <w:cols w:equalWidth="0" w:num="1">
            <w:col w:w="11140"/>
          </w:cols>
          <w:pgMar w:left="240" w:top="454" w:right="51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7549"/>
        </w:rPr>
        <w:t xml:space="preserve">Proposal 1: Election of Directors </w:t>
      </w:r>
      <w:r>
        <w:rPr>
          <w:rFonts w:ascii="Arial" w:cs="Arial" w:eastAsia="Arial" w:hAnsi="Arial"/>
          <w:sz w:val="16"/>
          <w:szCs w:val="16"/>
          <w:b w:val="1"/>
          <w:bCs w:val="1"/>
          <w:color w:val="000000"/>
        </w:rPr>
        <w:t>+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55245</wp:posOffset>
            </wp:positionV>
            <wp:extent cx="68935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266" w:lineRule="exact"/>
        <w:rPr>
          <w:sz w:val="20"/>
          <w:szCs w:val="20"/>
          <w:color w:val="auto"/>
        </w:rPr>
      </w:pPr>
    </w:p>
    <w:p>
      <w:pPr>
        <w:jc w:val="both"/>
        <w:ind w:left="280"/>
        <w:spacing w:after="0" w:line="235" w:lineRule="auto"/>
        <w:rPr>
          <w:sz w:val="20"/>
          <w:szCs w:val="20"/>
          <w:color w:val="auto"/>
        </w:rPr>
      </w:pPr>
      <w:r>
        <w:rPr>
          <w:rFonts w:ascii="Arial" w:cs="Arial" w:eastAsia="Arial" w:hAnsi="Arial"/>
          <w:sz w:val="18"/>
          <w:szCs w:val="18"/>
          <w:color w:val="auto"/>
        </w:rPr>
        <w:t>Finally, cyber-security is an integral part of risk management at Hess. The board appreciates the rapidly evolving nature of threats presented by cyber-security incidents and is committed to the prevention, timely detection, and mitigation of the effects of any such incidents on the company. The audit committee receives regular updates from management regarding cyber-security, including the nature of threats, defense and detection capabilities, incident response plans and training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144780</wp:posOffset>
            </wp:positionV>
            <wp:extent cx="6893560" cy="20358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93560" cy="2035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FFFFFF"/>
        </w:rPr>
        <w:t>Full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26670</wp:posOffset>
            </wp:positionV>
            <wp:extent cx="6893560" cy="295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93560" cy="295910"/>
                    </a:xfrm>
                    <a:prstGeom prst="rect">
                      <a:avLst/>
                    </a:prstGeom>
                    <a:noFill/>
                  </pic:spPr>
                </pic:pic>
              </a:graphicData>
            </a:graphic>
          </wp:anchor>
        </w:drawing>
      </w:r>
    </w:p>
    <w:p>
      <w:pPr>
        <w:spacing w:after="0" w:line="61" w:lineRule="exact"/>
        <w:rPr>
          <w:sz w:val="20"/>
          <w:szCs w:val="20"/>
          <w:color w:val="auto"/>
        </w:rPr>
      </w:pPr>
    </w:p>
    <w:p>
      <w:pPr>
        <w:ind w:left="380" w:right="20"/>
        <w:spacing w:after="0" w:line="238" w:lineRule="auto"/>
        <w:rPr>
          <w:sz w:val="20"/>
          <w:szCs w:val="20"/>
          <w:color w:val="auto"/>
        </w:rPr>
      </w:pPr>
      <w:r>
        <w:rPr>
          <w:rFonts w:ascii="Arial" w:cs="Arial" w:eastAsia="Arial" w:hAnsi="Arial"/>
          <w:sz w:val="18"/>
          <w:szCs w:val="18"/>
          <w:color w:val="auto"/>
        </w:rPr>
        <w:t>Enterprise-level strategic, financial and execution risks and exposures associated with Hess’ business strategy including commodity price exposure, project risk, reserve estimation, political risk and catastrophic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10160</wp:posOffset>
            </wp:positionV>
            <wp:extent cx="68935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93560" cy="8255"/>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170815</wp:posOffset>
            </wp:positionV>
            <wp:extent cx="3573780" cy="5492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573780" cy="549275"/>
                    </a:xfrm>
                    <a:prstGeom prst="rect">
                      <a:avLst/>
                    </a:prstGeom>
                    <a:noFill/>
                  </pic:spPr>
                </pic:pic>
              </a:graphicData>
            </a:graphic>
          </wp:anchor>
        </w:drawing>
      </w:r>
    </w:p>
    <w:p>
      <w:pPr>
        <w:sectPr>
          <w:pgSz w:w="11900" w:h="16838" w:orient="portrait"/>
          <w:cols w:equalWidth="0" w:num="1">
            <w:col w:w="11140"/>
          </w:cols>
          <w:pgMar w:left="240" w:top="454"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FFFFFF"/>
        </w:rPr>
        <w:t>Audit Committee</w:t>
      </w:r>
    </w:p>
    <w:p>
      <w:pPr>
        <w:spacing w:after="0" w:line="41" w:lineRule="exact"/>
        <w:rPr>
          <w:sz w:val="20"/>
          <w:szCs w:val="20"/>
          <w:color w:val="auto"/>
        </w:rPr>
      </w:pPr>
    </w:p>
    <w:p>
      <w:pPr>
        <w:ind w:left="380"/>
        <w:spacing w:after="0" w:line="234" w:lineRule="auto"/>
        <w:rPr>
          <w:sz w:val="20"/>
          <w:szCs w:val="20"/>
          <w:color w:val="auto"/>
        </w:rPr>
      </w:pPr>
      <w:r>
        <w:rPr>
          <w:rFonts w:ascii="Arial" w:cs="Arial" w:eastAsia="Arial" w:hAnsi="Arial"/>
          <w:sz w:val="18"/>
          <w:szCs w:val="18"/>
          <w:color w:val="auto"/>
        </w:rPr>
        <w:t>Policy and process related to Hess’ ERM program as well as risks related to financial statements, cyber-security and compliance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-639445</wp:posOffset>
            </wp:positionV>
            <wp:extent cx="1858645" cy="1022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858645" cy="1022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FFFFFF"/>
        </w:rPr>
        <w:t>EHS Subcommittee</w:t>
      </w:r>
    </w:p>
    <w:p>
      <w:pPr>
        <w:spacing w:after="0" w:line="41"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Risks related to environmental, safety and social matters including catastrophic, process safety events, regulatory risks and environmental impacts.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-645160</wp:posOffset>
            </wp:positionV>
            <wp:extent cx="1613535" cy="1022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613535" cy="1022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2440" w:type="dxa"/>
            <w:vAlign w:val="bottom"/>
            <w:shd w:val="clear" w:color="auto" w:fill="007549"/>
          </w:tcPr>
          <w:p>
            <w:pPr>
              <w:jc w:val="center"/>
              <w:spacing w:after="0"/>
              <w:rPr>
                <w:sz w:val="20"/>
                <w:szCs w:val="20"/>
                <w:color w:val="auto"/>
              </w:rPr>
            </w:pPr>
            <w:r>
              <w:rPr>
                <w:rFonts w:ascii="Arial" w:cs="Arial" w:eastAsia="Arial" w:hAnsi="Arial"/>
                <w:sz w:val="18"/>
                <w:szCs w:val="18"/>
                <w:b w:val="1"/>
                <w:bCs w:val="1"/>
                <w:color w:val="FFFFFF"/>
                <w:w w:val="97"/>
              </w:rPr>
              <w:t>Compensation and</w:t>
            </w:r>
          </w:p>
        </w:tc>
        <w:tc>
          <w:tcPr>
            <w:tcW w:w="180" w:type="dxa"/>
            <w:vAlign w:val="bottom"/>
          </w:tcPr>
          <w:p>
            <w:pPr>
              <w:spacing w:after="0"/>
              <w:rPr>
                <w:sz w:val="18"/>
                <w:szCs w:val="18"/>
                <w:color w:val="auto"/>
              </w:rPr>
            </w:pPr>
          </w:p>
        </w:tc>
        <w:tc>
          <w:tcPr>
            <w:tcW w:w="2440" w:type="dxa"/>
            <w:vAlign w:val="bottom"/>
            <w:shd w:val="clear" w:color="auto" w:fill="007549"/>
          </w:tcPr>
          <w:p>
            <w:pPr>
              <w:spacing w:after="0"/>
              <w:rPr>
                <w:sz w:val="18"/>
                <w:szCs w:val="18"/>
                <w:color w:val="auto"/>
              </w:rPr>
            </w:pPr>
          </w:p>
        </w:tc>
      </w:tr>
      <w:tr>
        <w:trPr>
          <w:trHeight w:val="200"/>
        </w:trPr>
        <w:tc>
          <w:tcPr>
            <w:tcW w:w="2440" w:type="dxa"/>
            <w:vAlign w:val="bottom"/>
            <w:shd w:val="clear" w:color="auto" w:fill="007549"/>
          </w:tcPr>
          <w:p>
            <w:pPr>
              <w:jc w:val="center"/>
              <w:spacing w:after="0" w:line="200" w:lineRule="exact"/>
              <w:rPr>
                <w:sz w:val="20"/>
                <w:szCs w:val="20"/>
                <w:color w:val="auto"/>
              </w:rPr>
            </w:pPr>
            <w:r>
              <w:rPr>
                <w:rFonts w:ascii="Arial" w:cs="Arial" w:eastAsia="Arial" w:hAnsi="Arial"/>
                <w:sz w:val="18"/>
                <w:szCs w:val="18"/>
                <w:b w:val="1"/>
                <w:bCs w:val="1"/>
                <w:color w:val="FFFFFF"/>
                <w:w w:val="99"/>
              </w:rPr>
              <w:t>Management</w:t>
            </w:r>
          </w:p>
        </w:tc>
        <w:tc>
          <w:tcPr>
            <w:tcW w:w="180" w:type="dxa"/>
            <w:vAlign w:val="bottom"/>
          </w:tcPr>
          <w:p>
            <w:pPr>
              <w:spacing w:after="0"/>
              <w:rPr>
                <w:sz w:val="17"/>
                <w:szCs w:val="17"/>
                <w:color w:val="auto"/>
              </w:rPr>
            </w:pPr>
          </w:p>
        </w:tc>
        <w:tc>
          <w:tcPr>
            <w:tcW w:w="2440" w:type="dxa"/>
            <w:vAlign w:val="bottom"/>
            <w:shd w:val="clear" w:color="auto" w:fill="007549"/>
          </w:tcPr>
          <w:p>
            <w:pPr>
              <w:jc w:val="center"/>
              <w:spacing w:after="0" w:line="200" w:lineRule="exact"/>
              <w:rPr>
                <w:sz w:val="20"/>
                <w:szCs w:val="20"/>
                <w:color w:val="auto"/>
              </w:rPr>
            </w:pPr>
            <w:r>
              <w:rPr>
                <w:rFonts w:ascii="Arial" w:cs="Arial" w:eastAsia="Arial" w:hAnsi="Arial"/>
                <w:sz w:val="18"/>
                <w:szCs w:val="18"/>
                <w:b w:val="1"/>
                <w:bCs w:val="1"/>
                <w:color w:val="FFFFFF"/>
                <w:w w:val="98"/>
              </w:rPr>
              <w:t>Corporate Governance</w:t>
            </w:r>
          </w:p>
        </w:tc>
      </w:tr>
      <w:tr>
        <w:trPr>
          <w:trHeight w:val="200"/>
        </w:trPr>
        <w:tc>
          <w:tcPr>
            <w:tcW w:w="2440" w:type="dxa"/>
            <w:vAlign w:val="bottom"/>
            <w:shd w:val="clear" w:color="auto" w:fill="007549"/>
          </w:tcPr>
          <w:p>
            <w:pPr>
              <w:jc w:val="center"/>
              <w:spacing w:after="0" w:line="200" w:lineRule="exact"/>
              <w:rPr>
                <w:sz w:val="20"/>
                <w:szCs w:val="20"/>
                <w:color w:val="auto"/>
              </w:rPr>
            </w:pPr>
            <w:r>
              <w:rPr>
                <w:rFonts w:ascii="Arial" w:cs="Arial" w:eastAsia="Arial" w:hAnsi="Arial"/>
                <w:sz w:val="18"/>
                <w:szCs w:val="18"/>
                <w:b w:val="1"/>
                <w:bCs w:val="1"/>
                <w:color w:val="FFFFFF"/>
                <w:w w:val="97"/>
              </w:rPr>
              <w:t>Development</w:t>
            </w:r>
          </w:p>
        </w:tc>
        <w:tc>
          <w:tcPr>
            <w:tcW w:w="180" w:type="dxa"/>
            <w:vAlign w:val="bottom"/>
          </w:tcPr>
          <w:p>
            <w:pPr>
              <w:spacing w:after="0"/>
              <w:rPr>
                <w:sz w:val="17"/>
                <w:szCs w:val="17"/>
                <w:color w:val="auto"/>
              </w:rPr>
            </w:pPr>
          </w:p>
        </w:tc>
        <w:tc>
          <w:tcPr>
            <w:tcW w:w="2440" w:type="dxa"/>
            <w:vAlign w:val="bottom"/>
            <w:shd w:val="clear" w:color="auto" w:fill="007549"/>
          </w:tcPr>
          <w:p>
            <w:pPr>
              <w:jc w:val="center"/>
              <w:spacing w:after="0" w:line="200" w:lineRule="exact"/>
              <w:rPr>
                <w:sz w:val="20"/>
                <w:szCs w:val="20"/>
                <w:color w:val="auto"/>
              </w:rPr>
            </w:pPr>
            <w:r>
              <w:rPr>
                <w:rFonts w:ascii="Arial" w:cs="Arial" w:eastAsia="Arial" w:hAnsi="Arial"/>
                <w:sz w:val="18"/>
                <w:szCs w:val="18"/>
                <w:b w:val="1"/>
                <w:bCs w:val="1"/>
                <w:color w:val="FFFFFF"/>
                <w:w w:val="98"/>
              </w:rPr>
              <w:t>and Nominating</w:t>
            </w:r>
          </w:p>
        </w:tc>
      </w:tr>
      <w:tr>
        <w:trPr>
          <w:trHeight w:val="249"/>
        </w:trPr>
        <w:tc>
          <w:tcPr>
            <w:tcW w:w="2440" w:type="dxa"/>
            <w:vAlign w:val="bottom"/>
            <w:shd w:val="clear" w:color="auto" w:fill="007549"/>
          </w:tcPr>
          <w:p>
            <w:pPr>
              <w:jc w:val="center"/>
              <w:spacing w:after="0"/>
              <w:rPr>
                <w:sz w:val="20"/>
                <w:szCs w:val="20"/>
                <w:color w:val="auto"/>
              </w:rPr>
            </w:pPr>
            <w:r>
              <w:rPr>
                <w:rFonts w:ascii="Arial" w:cs="Arial" w:eastAsia="Arial" w:hAnsi="Arial"/>
                <w:sz w:val="18"/>
                <w:szCs w:val="18"/>
                <w:b w:val="1"/>
                <w:bCs w:val="1"/>
                <w:color w:val="FFFFFF"/>
                <w:w w:val="96"/>
              </w:rPr>
              <w:t>Committee</w:t>
            </w:r>
          </w:p>
        </w:tc>
        <w:tc>
          <w:tcPr>
            <w:tcW w:w="180" w:type="dxa"/>
            <w:vAlign w:val="bottom"/>
          </w:tcPr>
          <w:p>
            <w:pPr>
              <w:spacing w:after="0"/>
              <w:rPr>
                <w:sz w:val="21"/>
                <w:szCs w:val="21"/>
                <w:color w:val="auto"/>
              </w:rPr>
            </w:pPr>
          </w:p>
        </w:tc>
        <w:tc>
          <w:tcPr>
            <w:tcW w:w="2440" w:type="dxa"/>
            <w:vAlign w:val="bottom"/>
            <w:shd w:val="clear" w:color="auto" w:fill="007549"/>
          </w:tcPr>
          <w:p>
            <w:pPr>
              <w:jc w:val="center"/>
              <w:spacing w:after="0"/>
              <w:rPr>
                <w:sz w:val="20"/>
                <w:szCs w:val="20"/>
                <w:color w:val="auto"/>
              </w:rPr>
            </w:pPr>
            <w:r>
              <w:rPr>
                <w:rFonts w:ascii="Arial" w:cs="Arial" w:eastAsia="Arial" w:hAnsi="Arial"/>
                <w:sz w:val="18"/>
                <w:szCs w:val="18"/>
                <w:b w:val="1"/>
                <w:bCs w:val="1"/>
                <w:color w:val="FFFFFF"/>
                <w:w w:val="96"/>
              </w:rPr>
              <w:t>Committee</w:t>
            </w:r>
          </w:p>
        </w:tc>
      </w:tr>
      <w:tr>
        <w:trPr>
          <w:trHeight w:val="199"/>
        </w:trPr>
        <w:tc>
          <w:tcPr>
            <w:tcW w:w="2440" w:type="dxa"/>
            <w:vAlign w:val="bottom"/>
            <w:shd w:val="clear" w:color="auto" w:fill="E5E5E5"/>
          </w:tcPr>
          <w:p>
            <w:pPr>
              <w:ind w:left="60"/>
              <w:spacing w:after="0" w:line="199" w:lineRule="exact"/>
              <w:rPr>
                <w:sz w:val="20"/>
                <w:szCs w:val="20"/>
                <w:color w:val="auto"/>
              </w:rPr>
            </w:pPr>
            <w:r>
              <w:rPr>
                <w:rFonts w:ascii="Arial" w:cs="Arial" w:eastAsia="Arial" w:hAnsi="Arial"/>
                <w:sz w:val="18"/>
                <w:szCs w:val="18"/>
                <w:color w:val="auto"/>
              </w:rPr>
              <w:t>Risks related to employee</w:t>
            </w:r>
          </w:p>
        </w:tc>
        <w:tc>
          <w:tcPr>
            <w:tcW w:w="180" w:type="dxa"/>
            <w:vAlign w:val="bottom"/>
          </w:tcPr>
          <w:p>
            <w:pPr>
              <w:spacing w:after="0"/>
              <w:rPr>
                <w:sz w:val="17"/>
                <w:szCs w:val="17"/>
                <w:color w:val="auto"/>
              </w:rPr>
            </w:pPr>
          </w:p>
        </w:tc>
        <w:tc>
          <w:tcPr>
            <w:tcW w:w="2440" w:type="dxa"/>
            <w:vAlign w:val="bottom"/>
            <w:shd w:val="clear" w:color="auto" w:fill="E5E5E5"/>
          </w:tcPr>
          <w:p>
            <w:pPr>
              <w:ind w:left="60"/>
              <w:spacing w:after="0" w:line="199" w:lineRule="exact"/>
              <w:rPr>
                <w:sz w:val="20"/>
                <w:szCs w:val="20"/>
                <w:color w:val="auto"/>
              </w:rPr>
            </w:pPr>
            <w:r>
              <w:rPr>
                <w:rFonts w:ascii="Arial" w:cs="Arial" w:eastAsia="Arial" w:hAnsi="Arial"/>
                <w:sz w:val="18"/>
                <w:szCs w:val="18"/>
                <w:color w:val="auto"/>
              </w:rPr>
              <w:t>Risks related to our</w:t>
            </w:r>
          </w:p>
        </w:tc>
      </w:tr>
      <w:tr>
        <w:trPr>
          <w:trHeight w:val="200"/>
        </w:trPr>
        <w:tc>
          <w:tcPr>
            <w:tcW w:w="2440" w:type="dxa"/>
            <w:vAlign w:val="bottom"/>
            <w:shd w:val="clear" w:color="auto" w:fill="E5E5E5"/>
          </w:tcPr>
          <w:p>
            <w:pPr>
              <w:ind w:left="60"/>
              <w:spacing w:after="0" w:line="200" w:lineRule="exact"/>
              <w:rPr>
                <w:sz w:val="20"/>
                <w:szCs w:val="20"/>
                <w:color w:val="auto"/>
              </w:rPr>
            </w:pPr>
            <w:r>
              <w:rPr>
                <w:rFonts w:ascii="Arial" w:cs="Arial" w:eastAsia="Arial" w:hAnsi="Arial"/>
                <w:sz w:val="18"/>
                <w:szCs w:val="18"/>
                <w:color w:val="auto"/>
              </w:rPr>
              <w:t>compensation policies and</w:t>
            </w:r>
          </w:p>
        </w:tc>
        <w:tc>
          <w:tcPr>
            <w:tcW w:w="180" w:type="dxa"/>
            <w:vAlign w:val="bottom"/>
          </w:tcPr>
          <w:p>
            <w:pPr>
              <w:spacing w:after="0"/>
              <w:rPr>
                <w:sz w:val="17"/>
                <w:szCs w:val="17"/>
                <w:color w:val="auto"/>
              </w:rPr>
            </w:pPr>
          </w:p>
        </w:tc>
        <w:tc>
          <w:tcPr>
            <w:tcW w:w="2440" w:type="dxa"/>
            <w:vAlign w:val="bottom"/>
            <w:shd w:val="clear" w:color="auto" w:fill="E5E5E5"/>
          </w:tcPr>
          <w:p>
            <w:pPr>
              <w:ind w:left="60"/>
              <w:spacing w:after="0" w:line="200" w:lineRule="exact"/>
              <w:rPr>
                <w:sz w:val="20"/>
                <w:szCs w:val="20"/>
                <w:color w:val="auto"/>
              </w:rPr>
            </w:pPr>
            <w:r>
              <w:rPr>
                <w:rFonts w:ascii="Arial" w:cs="Arial" w:eastAsia="Arial" w:hAnsi="Arial"/>
                <w:sz w:val="18"/>
                <w:szCs w:val="18"/>
                <w:color w:val="auto"/>
              </w:rPr>
              <w:t>governance structures,</w:t>
            </w:r>
          </w:p>
        </w:tc>
      </w:tr>
      <w:tr>
        <w:trPr>
          <w:trHeight w:val="200"/>
        </w:trPr>
        <w:tc>
          <w:tcPr>
            <w:tcW w:w="2440" w:type="dxa"/>
            <w:vAlign w:val="bottom"/>
            <w:shd w:val="clear" w:color="auto" w:fill="E5E5E5"/>
          </w:tcPr>
          <w:p>
            <w:pPr>
              <w:ind w:left="60"/>
              <w:spacing w:after="0" w:line="200" w:lineRule="exact"/>
              <w:rPr>
                <w:sz w:val="20"/>
                <w:szCs w:val="20"/>
                <w:color w:val="auto"/>
              </w:rPr>
            </w:pPr>
            <w:r>
              <w:rPr>
                <w:rFonts w:ascii="Arial" w:cs="Arial" w:eastAsia="Arial" w:hAnsi="Arial"/>
                <w:sz w:val="18"/>
                <w:szCs w:val="18"/>
                <w:color w:val="auto"/>
              </w:rPr>
              <w:t>practices including the risk</w:t>
            </w:r>
          </w:p>
        </w:tc>
        <w:tc>
          <w:tcPr>
            <w:tcW w:w="180" w:type="dxa"/>
            <w:vAlign w:val="bottom"/>
          </w:tcPr>
          <w:p>
            <w:pPr>
              <w:spacing w:after="0"/>
              <w:rPr>
                <w:sz w:val="17"/>
                <w:szCs w:val="17"/>
                <w:color w:val="auto"/>
              </w:rPr>
            </w:pPr>
          </w:p>
        </w:tc>
        <w:tc>
          <w:tcPr>
            <w:tcW w:w="2440" w:type="dxa"/>
            <w:vAlign w:val="bottom"/>
            <w:shd w:val="clear" w:color="auto" w:fill="E5E5E5"/>
          </w:tcPr>
          <w:p>
            <w:pPr>
              <w:ind w:left="60"/>
              <w:spacing w:after="0" w:line="200" w:lineRule="exact"/>
              <w:rPr>
                <w:sz w:val="20"/>
                <w:szCs w:val="20"/>
                <w:color w:val="auto"/>
              </w:rPr>
            </w:pPr>
            <w:r>
              <w:rPr>
                <w:rFonts w:ascii="Arial" w:cs="Arial" w:eastAsia="Arial" w:hAnsi="Arial"/>
                <w:sz w:val="18"/>
                <w:szCs w:val="18"/>
                <w:color w:val="auto"/>
              </w:rPr>
              <w:t>including board succession</w:t>
            </w:r>
          </w:p>
        </w:tc>
      </w:tr>
      <w:tr>
        <w:trPr>
          <w:trHeight w:val="200"/>
        </w:trPr>
        <w:tc>
          <w:tcPr>
            <w:tcW w:w="2440" w:type="dxa"/>
            <w:vAlign w:val="bottom"/>
            <w:shd w:val="clear" w:color="auto" w:fill="E5E5E5"/>
          </w:tcPr>
          <w:p>
            <w:pPr>
              <w:ind w:left="60"/>
              <w:spacing w:after="0" w:line="200" w:lineRule="exact"/>
              <w:rPr>
                <w:sz w:val="20"/>
                <w:szCs w:val="20"/>
                <w:color w:val="auto"/>
              </w:rPr>
            </w:pPr>
            <w:r>
              <w:rPr>
                <w:rFonts w:ascii="Arial" w:cs="Arial" w:eastAsia="Arial" w:hAnsi="Arial"/>
                <w:sz w:val="18"/>
                <w:szCs w:val="18"/>
                <w:color w:val="auto"/>
              </w:rPr>
              <w:t>that our compensation</w:t>
            </w:r>
          </w:p>
        </w:tc>
        <w:tc>
          <w:tcPr>
            <w:tcW w:w="180" w:type="dxa"/>
            <w:vAlign w:val="bottom"/>
          </w:tcPr>
          <w:p>
            <w:pPr>
              <w:spacing w:after="0"/>
              <w:rPr>
                <w:sz w:val="17"/>
                <w:szCs w:val="17"/>
                <w:color w:val="auto"/>
              </w:rPr>
            </w:pPr>
          </w:p>
        </w:tc>
        <w:tc>
          <w:tcPr>
            <w:tcW w:w="2440" w:type="dxa"/>
            <w:vAlign w:val="bottom"/>
            <w:shd w:val="clear" w:color="auto" w:fill="E5E5E5"/>
          </w:tcPr>
          <w:p>
            <w:pPr>
              <w:ind w:left="60"/>
              <w:spacing w:after="0" w:line="200" w:lineRule="exact"/>
              <w:rPr>
                <w:sz w:val="20"/>
                <w:szCs w:val="20"/>
                <w:color w:val="auto"/>
              </w:rPr>
            </w:pPr>
            <w:r>
              <w:rPr>
                <w:rFonts w:ascii="Arial" w:cs="Arial" w:eastAsia="Arial" w:hAnsi="Arial"/>
                <w:sz w:val="18"/>
                <w:szCs w:val="18"/>
                <w:color w:val="auto"/>
              </w:rPr>
              <w:t>planning, director</w:t>
            </w:r>
          </w:p>
        </w:tc>
      </w:tr>
      <w:tr>
        <w:trPr>
          <w:trHeight w:val="200"/>
        </w:trPr>
        <w:tc>
          <w:tcPr>
            <w:tcW w:w="2440" w:type="dxa"/>
            <w:vAlign w:val="bottom"/>
            <w:shd w:val="clear" w:color="auto" w:fill="E5E5E5"/>
          </w:tcPr>
          <w:p>
            <w:pPr>
              <w:ind w:left="60"/>
              <w:spacing w:after="0" w:line="200" w:lineRule="exact"/>
              <w:rPr>
                <w:sz w:val="20"/>
                <w:szCs w:val="20"/>
                <w:color w:val="auto"/>
              </w:rPr>
            </w:pPr>
            <w:r>
              <w:rPr>
                <w:rFonts w:ascii="Arial" w:cs="Arial" w:eastAsia="Arial" w:hAnsi="Arial"/>
                <w:sz w:val="18"/>
                <w:szCs w:val="18"/>
                <w:color w:val="auto"/>
              </w:rPr>
              <w:t>program encourages</w:t>
            </w:r>
          </w:p>
        </w:tc>
        <w:tc>
          <w:tcPr>
            <w:tcW w:w="180" w:type="dxa"/>
            <w:vAlign w:val="bottom"/>
          </w:tcPr>
          <w:p>
            <w:pPr>
              <w:spacing w:after="0"/>
              <w:rPr>
                <w:sz w:val="17"/>
                <w:szCs w:val="17"/>
                <w:color w:val="auto"/>
              </w:rPr>
            </w:pPr>
          </w:p>
        </w:tc>
        <w:tc>
          <w:tcPr>
            <w:tcW w:w="2440" w:type="dxa"/>
            <w:vAlign w:val="bottom"/>
            <w:shd w:val="clear" w:color="auto" w:fill="E5E5E5"/>
          </w:tcPr>
          <w:p>
            <w:pPr>
              <w:ind w:left="60"/>
              <w:spacing w:after="0" w:line="200" w:lineRule="exact"/>
              <w:rPr>
                <w:sz w:val="20"/>
                <w:szCs w:val="20"/>
                <w:color w:val="auto"/>
              </w:rPr>
            </w:pPr>
            <w:r>
              <w:rPr>
                <w:rFonts w:ascii="Arial" w:cs="Arial" w:eastAsia="Arial" w:hAnsi="Arial"/>
                <w:sz w:val="18"/>
                <w:szCs w:val="18"/>
                <w:color w:val="auto"/>
              </w:rPr>
              <w:t>qualifications and skills,</w:t>
            </w:r>
          </w:p>
        </w:tc>
      </w:tr>
      <w:tr>
        <w:trPr>
          <w:trHeight w:val="200"/>
        </w:trPr>
        <w:tc>
          <w:tcPr>
            <w:tcW w:w="2440" w:type="dxa"/>
            <w:vAlign w:val="bottom"/>
            <w:shd w:val="clear" w:color="auto" w:fill="E5E5E5"/>
          </w:tcPr>
          <w:p>
            <w:pPr>
              <w:ind w:left="60"/>
              <w:spacing w:after="0" w:line="200" w:lineRule="exact"/>
              <w:rPr>
                <w:sz w:val="20"/>
                <w:szCs w:val="20"/>
                <w:color w:val="auto"/>
              </w:rPr>
            </w:pPr>
            <w:r>
              <w:rPr>
                <w:rFonts w:ascii="Arial" w:cs="Arial" w:eastAsia="Arial" w:hAnsi="Arial"/>
                <w:sz w:val="18"/>
                <w:szCs w:val="18"/>
                <w:color w:val="auto"/>
              </w:rPr>
              <w:t>excessive risk taking.</w:t>
            </w:r>
          </w:p>
        </w:tc>
        <w:tc>
          <w:tcPr>
            <w:tcW w:w="180" w:type="dxa"/>
            <w:vAlign w:val="bottom"/>
          </w:tcPr>
          <w:p>
            <w:pPr>
              <w:spacing w:after="0"/>
              <w:rPr>
                <w:sz w:val="17"/>
                <w:szCs w:val="17"/>
                <w:color w:val="auto"/>
              </w:rPr>
            </w:pPr>
          </w:p>
        </w:tc>
        <w:tc>
          <w:tcPr>
            <w:tcW w:w="2440" w:type="dxa"/>
            <w:vAlign w:val="bottom"/>
            <w:shd w:val="clear" w:color="auto" w:fill="E5E5E5"/>
          </w:tcPr>
          <w:p>
            <w:pPr>
              <w:ind w:left="60"/>
              <w:spacing w:after="0" w:line="200" w:lineRule="exact"/>
              <w:rPr>
                <w:sz w:val="20"/>
                <w:szCs w:val="20"/>
                <w:color w:val="auto"/>
              </w:rPr>
            </w:pPr>
            <w:r>
              <w:rPr>
                <w:rFonts w:ascii="Arial" w:cs="Arial" w:eastAsia="Arial" w:hAnsi="Arial"/>
                <w:sz w:val="18"/>
                <w:szCs w:val="18"/>
                <w:color w:val="auto"/>
              </w:rPr>
              <w:t>stockholder proposals and</w:t>
            </w:r>
          </w:p>
        </w:tc>
      </w:tr>
      <w:tr>
        <w:trPr>
          <w:trHeight w:val="200"/>
        </w:trPr>
        <w:tc>
          <w:tcPr>
            <w:tcW w:w="2440" w:type="dxa"/>
            <w:vAlign w:val="bottom"/>
            <w:shd w:val="clear" w:color="auto" w:fill="E5E5E5"/>
          </w:tcPr>
          <w:p>
            <w:pPr>
              <w:spacing w:after="0"/>
              <w:rPr>
                <w:sz w:val="17"/>
                <w:szCs w:val="17"/>
                <w:color w:val="auto"/>
              </w:rPr>
            </w:pPr>
          </w:p>
        </w:tc>
        <w:tc>
          <w:tcPr>
            <w:tcW w:w="180" w:type="dxa"/>
            <w:vAlign w:val="bottom"/>
          </w:tcPr>
          <w:p>
            <w:pPr>
              <w:spacing w:after="0"/>
              <w:rPr>
                <w:sz w:val="17"/>
                <w:szCs w:val="17"/>
                <w:color w:val="auto"/>
              </w:rPr>
            </w:pPr>
          </w:p>
        </w:tc>
        <w:tc>
          <w:tcPr>
            <w:tcW w:w="2440" w:type="dxa"/>
            <w:vAlign w:val="bottom"/>
            <w:shd w:val="clear" w:color="auto" w:fill="E5E5E5"/>
          </w:tcPr>
          <w:p>
            <w:pPr>
              <w:ind w:left="60"/>
              <w:spacing w:after="0" w:line="200" w:lineRule="exact"/>
              <w:rPr>
                <w:sz w:val="20"/>
                <w:szCs w:val="20"/>
                <w:color w:val="auto"/>
              </w:rPr>
            </w:pPr>
            <w:r>
              <w:rPr>
                <w:rFonts w:ascii="Arial" w:cs="Arial" w:eastAsia="Arial" w:hAnsi="Arial"/>
                <w:sz w:val="18"/>
                <w:szCs w:val="18"/>
                <w:color w:val="auto"/>
                <w:w w:val="98"/>
              </w:rPr>
              <w:t>activism and overall corporate</w:t>
            </w:r>
          </w:p>
        </w:tc>
      </w:tr>
      <w:tr>
        <w:trPr>
          <w:trHeight w:val="200"/>
        </w:trPr>
        <w:tc>
          <w:tcPr>
            <w:tcW w:w="2440" w:type="dxa"/>
            <w:vAlign w:val="bottom"/>
            <w:tcBorders>
              <w:bottom w:val="single" w:sz="8" w:color="007549"/>
            </w:tcBorders>
            <w:shd w:val="clear" w:color="auto" w:fill="E5E5E5"/>
          </w:tcPr>
          <w:p>
            <w:pPr>
              <w:spacing w:after="0"/>
              <w:rPr>
                <w:sz w:val="17"/>
                <w:szCs w:val="17"/>
                <w:color w:val="auto"/>
              </w:rPr>
            </w:pPr>
          </w:p>
        </w:tc>
        <w:tc>
          <w:tcPr>
            <w:tcW w:w="180" w:type="dxa"/>
            <w:vAlign w:val="bottom"/>
          </w:tcPr>
          <w:p>
            <w:pPr>
              <w:spacing w:after="0"/>
              <w:rPr>
                <w:sz w:val="17"/>
                <w:szCs w:val="17"/>
                <w:color w:val="auto"/>
              </w:rPr>
            </w:pPr>
          </w:p>
        </w:tc>
        <w:tc>
          <w:tcPr>
            <w:tcW w:w="2440" w:type="dxa"/>
            <w:vAlign w:val="bottom"/>
            <w:tcBorders>
              <w:bottom w:val="single" w:sz="8" w:color="007549"/>
            </w:tcBorders>
            <w:shd w:val="clear" w:color="auto" w:fill="E5E5E5"/>
          </w:tcPr>
          <w:p>
            <w:pPr>
              <w:ind w:left="60"/>
              <w:spacing w:after="0" w:line="201" w:lineRule="exact"/>
              <w:rPr>
                <w:sz w:val="20"/>
                <w:szCs w:val="20"/>
                <w:color w:val="auto"/>
              </w:rPr>
            </w:pPr>
            <w:r>
              <w:rPr>
                <w:rFonts w:ascii="Arial" w:cs="Arial" w:eastAsia="Arial" w:hAnsi="Arial"/>
                <w:sz w:val="18"/>
                <w:szCs w:val="18"/>
                <w:color w:val="auto"/>
              </w:rPr>
              <w:t>governance.</w:t>
            </w:r>
          </w:p>
        </w:tc>
      </w:tr>
    </w:tbl>
    <w:p>
      <w:pPr>
        <w:spacing w:after="0" w:line="184" w:lineRule="exact"/>
        <w:rPr>
          <w:sz w:val="20"/>
          <w:szCs w:val="20"/>
          <w:color w:val="auto"/>
        </w:rPr>
      </w:pPr>
    </w:p>
    <w:p>
      <w:pPr>
        <w:sectPr>
          <w:pgSz w:w="11900" w:h="16838" w:orient="portrait"/>
          <w:cols w:equalWidth="0" w:num="3">
            <w:col w:w="3140" w:space="280"/>
            <w:col w:w="2440" w:space="220"/>
            <w:col w:w="5060"/>
          </w:cols>
          <w:pgMar w:left="240" w:top="454" w:right="519" w:bottom="1440" w:gutter="0" w:footer="0" w:header="0"/>
          <w:type w:val="continuous"/>
        </w:sectPr>
      </w:pPr>
    </w:p>
    <w:p>
      <w:pPr>
        <w:ind w:left="280"/>
        <w:spacing w:after="0"/>
        <w:rPr>
          <w:sz w:val="20"/>
          <w:szCs w:val="20"/>
          <w:color w:val="auto"/>
        </w:rPr>
      </w:pPr>
      <w:r>
        <w:rPr>
          <w:rFonts w:ascii="Arial" w:cs="Arial" w:eastAsia="Arial" w:hAnsi="Arial"/>
          <w:sz w:val="25"/>
          <w:szCs w:val="25"/>
          <w:b w:val="1"/>
          <w:bCs w:val="1"/>
          <w:color w:val="333333"/>
        </w:rPr>
        <w:t>Section 16(a) Beneficial Ownership Reporting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63500</wp:posOffset>
            </wp:positionV>
            <wp:extent cx="68935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159" w:lineRule="exact"/>
        <w:rPr>
          <w:sz w:val="20"/>
          <w:szCs w:val="20"/>
          <w:color w:val="auto"/>
        </w:rPr>
      </w:pPr>
    </w:p>
    <w:p>
      <w:pPr>
        <w:jc w:val="both"/>
        <w:ind w:left="280"/>
        <w:spacing w:after="0" w:line="235" w:lineRule="auto"/>
        <w:rPr>
          <w:sz w:val="20"/>
          <w:szCs w:val="20"/>
          <w:color w:val="auto"/>
        </w:rPr>
      </w:pPr>
      <w:r>
        <w:rPr>
          <w:rFonts w:ascii="Arial" w:cs="Arial" w:eastAsia="Arial" w:hAnsi="Arial"/>
          <w:sz w:val="18"/>
          <w:szCs w:val="18"/>
          <w:color w:val="auto"/>
        </w:rPr>
        <w:t>Section 16(a) of the Exchange Act requires the company’s directors, certain of its officers and persons who beneficially own more than 10% of the company’s common stock to file initial reports of ownership and reports of changes in ownership with the SEC. Based solely on the company’s review of copies of such reports, and on written representations from such reporting persons, the company believes that in 2017 all such reporting persons filed the required reports on a timely basis in accordance with Section 16(a).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85725</wp:posOffset>
            </wp:positionV>
            <wp:extent cx="405765" cy="2451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208" w:lineRule="exact"/>
        <w:rPr>
          <w:sz w:val="20"/>
          <w:szCs w:val="20"/>
          <w:color w:val="auto"/>
        </w:rPr>
      </w:pPr>
    </w:p>
    <w:tbl>
      <w:tblPr>
        <w:tblLayout w:type="fixed"/>
        <w:tblInd w:w="9140" w:type="dxa"/>
        <w:tblCellMar>
          <w:top w:w="0" w:type="dxa"/>
          <w:left w:w="0" w:type="dxa"/>
          <w:bottom w:w="0" w:type="dxa"/>
          <w:right w:w="0" w:type="dxa"/>
        </w:tblCellMar>
      </w:tblPr>
      <w:tr>
        <w:trPr>
          <w:trHeight w:val="188"/>
        </w:trPr>
        <w:tc>
          <w:tcPr>
            <w:tcW w:w="1680" w:type="dxa"/>
            <w:vAlign w:val="bottom"/>
          </w:tcPr>
          <w:p>
            <w:pPr>
              <w:spacing w:after="0"/>
              <w:rPr>
                <w:sz w:val="20"/>
                <w:szCs w:val="20"/>
                <w:color w:val="auto"/>
              </w:rPr>
            </w:pPr>
            <w:r>
              <w:rPr>
                <w:rFonts w:ascii="Arial" w:cs="Arial" w:eastAsia="Arial" w:hAnsi="Arial"/>
                <w:sz w:val="12"/>
                <w:szCs w:val="12"/>
                <w:b w:val="1"/>
                <w:bCs w:val="1"/>
                <w:color w:val="666666"/>
              </w:rPr>
              <w:t>2018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007549"/>
              </w:rPr>
              <w:t>15</w:t>
            </w:r>
          </w:p>
        </w:tc>
      </w:tr>
    </w:tbl>
    <w:p>
      <w:pPr>
        <w:sectPr>
          <w:pgSz w:w="11900" w:h="16838" w:orient="portrait"/>
          <w:cols w:equalWidth="0" w:num="1">
            <w:col w:w="11140"/>
          </w:cols>
          <w:pgMar w:left="240" w:top="454" w:right="51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007549"/>
        </w:rPr>
        <w:t xml:space="preserve">Proposal 1: Election of Directors </w:t>
      </w:r>
      <w:r>
        <w:rPr>
          <w:rFonts w:ascii="Arial" w:cs="Arial" w:eastAsia="Arial" w:hAnsi="Arial"/>
          <w:sz w:val="16"/>
          <w:szCs w:val="16"/>
          <w:b w:val="1"/>
          <w:bCs w:val="1"/>
          <w:color w:val="000000"/>
        </w:rPr>
        <w:t>+ Ownership of Voting Securities by Certain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55245</wp:posOffset>
            </wp:positionV>
            <wp:extent cx="68935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238"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333333"/>
        </w:rPr>
        <w:t>Ownership of Voting Securities by Certain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63500</wp:posOffset>
            </wp:positionV>
            <wp:extent cx="68935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159" w:lineRule="exact"/>
        <w:rPr>
          <w:sz w:val="20"/>
          <w:szCs w:val="20"/>
          <w:color w:val="auto"/>
        </w:rPr>
      </w:pPr>
    </w:p>
    <w:p>
      <w:pPr>
        <w:jc w:val="both"/>
        <w:ind w:left="280"/>
        <w:spacing w:after="0" w:line="236" w:lineRule="auto"/>
        <w:rPr>
          <w:sz w:val="20"/>
          <w:szCs w:val="20"/>
          <w:color w:val="auto"/>
        </w:rPr>
      </w:pPr>
      <w:r>
        <w:rPr>
          <w:rFonts w:ascii="Arial" w:cs="Arial" w:eastAsia="Arial" w:hAnsi="Arial"/>
          <w:sz w:val="18"/>
          <w:szCs w:val="18"/>
          <w:color w:val="auto"/>
        </w:rPr>
        <w:t>The following table sets forth, as of March 8, 2018, for Messrs. Hess, Brady, Kean and Goodwillie, and as of December 31, 2017 for the other beneficial owners identified in the table, information as to the ownership of more than 5% of any class of the company’s voting securities by beneficial owners known by the company to hold more than 5% of any such class:</w:t>
      </w:r>
    </w:p>
    <w:p>
      <w:pPr>
        <w:spacing w:after="0" w:line="228" w:lineRule="exact"/>
        <w:rPr>
          <w:sz w:val="20"/>
          <w:szCs w:val="20"/>
          <w:color w:val="auto"/>
        </w:rPr>
      </w:pPr>
    </w:p>
    <w:tbl>
      <w:tblPr>
        <w:tblLayout w:type="fixed"/>
        <w:tblInd w:w="280" w:type="dxa"/>
        <w:tblCellMar>
          <w:top w:w="0" w:type="dxa"/>
          <w:left w:w="0" w:type="dxa"/>
          <w:bottom w:w="0" w:type="dxa"/>
          <w:right w:w="0" w:type="dxa"/>
        </w:tblCellMar>
      </w:tblPr>
      <w:tr>
        <w:trPr>
          <w:trHeight w:val="186"/>
        </w:trPr>
        <w:tc>
          <w:tcPr>
            <w:tcW w:w="5300" w:type="dxa"/>
            <w:vAlign w:val="bottom"/>
            <w:shd w:val="clear" w:color="auto" w:fill="007549"/>
          </w:tcPr>
          <w:p>
            <w:pPr>
              <w:ind w:left="80"/>
              <w:spacing w:after="0"/>
              <w:rPr>
                <w:sz w:val="20"/>
                <w:szCs w:val="20"/>
                <w:color w:val="auto"/>
              </w:rPr>
            </w:pPr>
            <w:r>
              <w:rPr>
                <w:rFonts w:ascii="Arial" w:cs="Arial" w:eastAsia="Arial" w:hAnsi="Arial"/>
                <w:sz w:val="14"/>
                <w:szCs w:val="14"/>
                <w:b w:val="1"/>
                <w:bCs w:val="1"/>
                <w:color w:val="FFFFFF"/>
              </w:rPr>
              <w:t>Name and address</w:t>
            </w:r>
          </w:p>
        </w:tc>
        <w:tc>
          <w:tcPr>
            <w:tcW w:w="4520" w:type="dxa"/>
            <w:vAlign w:val="bottom"/>
            <w:shd w:val="clear" w:color="auto" w:fill="007549"/>
          </w:tcPr>
          <w:p>
            <w:pPr>
              <w:ind w:left="2620"/>
              <w:spacing w:after="0"/>
              <w:rPr>
                <w:sz w:val="20"/>
                <w:szCs w:val="20"/>
                <w:color w:val="auto"/>
              </w:rPr>
            </w:pPr>
            <w:r>
              <w:rPr>
                <w:rFonts w:ascii="Arial" w:cs="Arial" w:eastAsia="Arial" w:hAnsi="Arial"/>
                <w:sz w:val="14"/>
                <w:szCs w:val="14"/>
                <w:b w:val="1"/>
                <w:bCs w:val="1"/>
                <w:color w:val="FFFFFF"/>
              </w:rPr>
              <w:t>Amount and nature</w:t>
            </w:r>
          </w:p>
        </w:tc>
        <w:tc>
          <w:tcPr>
            <w:tcW w:w="1040" w:type="dxa"/>
            <w:vAlign w:val="bottom"/>
            <w:shd w:val="clear" w:color="auto" w:fill="007549"/>
          </w:tcPr>
          <w:p>
            <w:pPr>
              <w:jc w:val="right"/>
              <w:ind w:right="295"/>
              <w:spacing w:after="0"/>
              <w:rPr>
                <w:sz w:val="20"/>
                <w:szCs w:val="20"/>
                <w:color w:val="auto"/>
              </w:rPr>
            </w:pPr>
            <w:r>
              <w:rPr>
                <w:rFonts w:ascii="Arial" w:cs="Arial" w:eastAsia="Arial" w:hAnsi="Arial"/>
                <w:sz w:val="14"/>
                <w:szCs w:val="14"/>
                <w:b w:val="1"/>
                <w:bCs w:val="1"/>
                <w:color w:val="FFFFFF"/>
              </w:rPr>
              <w:t>Percent</w:t>
            </w:r>
          </w:p>
        </w:tc>
      </w:tr>
      <w:tr>
        <w:trPr>
          <w:trHeight w:val="200"/>
        </w:trPr>
        <w:tc>
          <w:tcPr>
            <w:tcW w:w="5300" w:type="dxa"/>
            <w:vAlign w:val="bottom"/>
            <w:shd w:val="clear" w:color="auto" w:fill="007549"/>
          </w:tcPr>
          <w:p>
            <w:pPr>
              <w:ind w:left="80"/>
              <w:spacing w:after="0"/>
              <w:rPr>
                <w:sz w:val="20"/>
                <w:szCs w:val="20"/>
                <w:color w:val="auto"/>
              </w:rPr>
            </w:pPr>
            <w:r>
              <w:rPr>
                <w:rFonts w:ascii="Arial" w:cs="Arial" w:eastAsia="Arial" w:hAnsi="Arial"/>
                <w:sz w:val="14"/>
                <w:szCs w:val="14"/>
                <w:b w:val="1"/>
                <w:bCs w:val="1"/>
                <w:color w:val="FFFFFF"/>
              </w:rPr>
              <w:t>of beneficial owner</w:t>
            </w:r>
          </w:p>
        </w:tc>
        <w:tc>
          <w:tcPr>
            <w:tcW w:w="4520" w:type="dxa"/>
            <w:vAlign w:val="bottom"/>
            <w:shd w:val="clear" w:color="auto" w:fill="007549"/>
          </w:tcPr>
          <w:p>
            <w:pPr>
              <w:ind w:left="2400"/>
              <w:spacing w:after="0"/>
              <w:rPr>
                <w:sz w:val="20"/>
                <w:szCs w:val="20"/>
                <w:color w:val="auto"/>
              </w:rPr>
            </w:pPr>
            <w:r>
              <w:rPr>
                <w:rFonts w:ascii="Arial" w:cs="Arial" w:eastAsia="Arial" w:hAnsi="Arial"/>
                <w:sz w:val="14"/>
                <w:szCs w:val="14"/>
                <w:b w:val="1"/>
                <w:bCs w:val="1"/>
                <w:color w:val="FFFFFF"/>
              </w:rPr>
              <w:t>of beneficial ownership(a)</w:t>
            </w:r>
          </w:p>
        </w:tc>
        <w:tc>
          <w:tcPr>
            <w:tcW w:w="1040" w:type="dxa"/>
            <w:vAlign w:val="bottom"/>
            <w:shd w:val="clear" w:color="auto" w:fill="007549"/>
          </w:tcPr>
          <w:p>
            <w:pPr>
              <w:jc w:val="right"/>
              <w:ind w:right="295"/>
              <w:spacing w:after="0"/>
              <w:rPr>
                <w:sz w:val="20"/>
                <w:szCs w:val="20"/>
                <w:color w:val="auto"/>
              </w:rPr>
            </w:pPr>
            <w:r>
              <w:rPr>
                <w:rFonts w:ascii="Arial" w:cs="Arial" w:eastAsia="Arial" w:hAnsi="Arial"/>
                <w:sz w:val="14"/>
                <w:szCs w:val="14"/>
                <w:b w:val="1"/>
                <w:bCs w:val="1"/>
                <w:color w:val="FFFFFF"/>
              </w:rPr>
              <w:t>of class</w:t>
            </w:r>
          </w:p>
        </w:tc>
      </w:tr>
      <w:tr>
        <w:trPr>
          <w:trHeight w:val="259"/>
        </w:trPr>
        <w:tc>
          <w:tcPr>
            <w:tcW w:w="5300" w:type="dxa"/>
            <w:vAlign w:val="bottom"/>
          </w:tcPr>
          <w:p>
            <w:pPr>
              <w:ind w:left="80"/>
              <w:spacing w:after="0"/>
              <w:rPr>
                <w:sz w:val="20"/>
                <w:szCs w:val="20"/>
                <w:color w:val="auto"/>
              </w:rPr>
            </w:pPr>
            <w:r>
              <w:rPr>
                <w:rFonts w:ascii="Arial" w:cs="Arial" w:eastAsia="Arial" w:hAnsi="Arial"/>
                <w:sz w:val="18"/>
                <w:szCs w:val="18"/>
                <w:b w:val="1"/>
                <w:bCs w:val="1"/>
                <w:color w:val="007549"/>
              </w:rPr>
              <w:t>Common Stock</w:t>
            </w:r>
          </w:p>
        </w:tc>
        <w:tc>
          <w:tcPr>
            <w:tcW w:w="45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3"/>
        </w:trPr>
        <w:tc>
          <w:tcPr>
            <w:tcW w:w="5300" w:type="dxa"/>
            <w:vAlign w:val="bottom"/>
            <w:shd w:val="clear" w:color="auto" w:fill="E5E5E5"/>
          </w:tcPr>
          <w:p>
            <w:pPr>
              <w:ind w:left="80"/>
              <w:spacing w:after="0"/>
              <w:rPr>
                <w:sz w:val="20"/>
                <w:szCs w:val="20"/>
                <w:color w:val="auto"/>
              </w:rPr>
            </w:pPr>
            <w:r>
              <w:rPr>
                <w:rFonts w:ascii="Arial" w:cs="Arial" w:eastAsia="Arial" w:hAnsi="Arial"/>
                <w:sz w:val="18"/>
                <w:szCs w:val="18"/>
                <w:color w:val="auto"/>
              </w:rPr>
              <w:t>John B. Hess</w:t>
            </w:r>
          </w:p>
        </w:tc>
        <w:tc>
          <w:tcPr>
            <w:tcW w:w="4520" w:type="dxa"/>
            <w:vAlign w:val="bottom"/>
            <w:shd w:val="clear" w:color="auto" w:fill="E5E5E5"/>
          </w:tcPr>
          <w:p>
            <w:pPr>
              <w:ind w:left="2640"/>
              <w:spacing w:after="0"/>
              <w:rPr>
                <w:sz w:val="20"/>
                <w:szCs w:val="20"/>
                <w:color w:val="auto"/>
              </w:rPr>
            </w:pPr>
            <w:r>
              <w:rPr>
                <w:rFonts w:ascii="Arial" w:cs="Arial" w:eastAsia="Arial" w:hAnsi="Arial"/>
                <w:sz w:val="18"/>
                <w:szCs w:val="18"/>
                <w:color w:val="auto"/>
              </w:rPr>
              <w:t>35,909,537(b)(c)(d)(e)</w:t>
            </w:r>
          </w:p>
        </w:tc>
        <w:tc>
          <w:tcPr>
            <w:tcW w:w="1040" w:type="dxa"/>
            <w:vAlign w:val="bottom"/>
            <w:shd w:val="clear" w:color="auto" w:fill="E5E5E5"/>
          </w:tcPr>
          <w:p>
            <w:pPr>
              <w:jc w:val="right"/>
              <w:ind w:right="295"/>
              <w:spacing w:after="0"/>
              <w:rPr>
                <w:sz w:val="20"/>
                <w:szCs w:val="20"/>
                <w:color w:val="auto"/>
              </w:rPr>
            </w:pPr>
            <w:r>
              <w:rPr>
                <w:rFonts w:ascii="Arial" w:cs="Arial" w:eastAsia="Arial" w:hAnsi="Arial"/>
                <w:sz w:val="18"/>
                <w:szCs w:val="18"/>
                <w:color w:val="auto"/>
              </w:rPr>
              <w:t>11.50</w:t>
            </w:r>
          </w:p>
        </w:tc>
      </w:tr>
      <w:tr>
        <w:trPr>
          <w:trHeight w:val="259"/>
        </w:trPr>
        <w:tc>
          <w:tcPr>
            <w:tcW w:w="5300" w:type="dxa"/>
            <w:vAlign w:val="bottom"/>
          </w:tcPr>
          <w:p>
            <w:pPr>
              <w:ind w:left="80"/>
              <w:spacing w:after="0"/>
              <w:rPr>
                <w:sz w:val="20"/>
                <w:szCs w:val="20"/>
                <w:color w:val="auto"/>
              </w:rPr>
            </w:pPr>
            <w:r>
              <w:rPr>
                <w:rFonts w:ascii="Arial" w:cs="Arial" w:eastAsia="Arial" w:hAnsi="Arial"/>
                <w:sz w:val="18"/>
                <w:szCs w:val="18"/>
                <w:color w:val="auto"/>
              </w:rPr>
              <w:t>Nicholas F. Brady</w:t>
            </w:r>
          </w:p>
        </w:tc>
        <w:tc>
          <w:tcPr>
            <w:tcW w:w="4520" w:type="dxa"/>
            <w:vAlign w:val="bottom"/>
          </w:tcPr>
          <w:p>
            <w:pPr>
              <w:ind w:left="2640"/>
              <w:spacing w:after="0"/>
              <w:rPr>
                <w:sz w:val="20"/>
                <w:szCs w:val="20"/>
                <w:color w:val="auto"/>
              </w:rPr>
            </w:pPr>
            <w:r>
              <w:rPr>
                <w:rFonts w:ascii="Arial" w:cs="Arial" w:eastAsia="Arial" w:hAnsi="Arial"/>
                <w:sz w:val="18"/>
                <w:szCs w:val="18"/>
                <w:color w:val="auto"/>
              </w:rPr>
              <w:t>19,014,070(b)(c)(f)</w:t>
            </w:r>
          </w:p>
        </w:tc>
        <w:tc>
          <w:tcPr>
            <w:tcW w:w="1040" w:type="dxa"/>
            <w:vAlign w:val="bottom"/>
          </w:tcPr>
          <w:p>
            <w:pPr>
              <w:jc w:val="right"/>
              <w:ind w:right="295"/>
              <w:spacing w:after="0"/>
              <w:rPr>
                <w:sz w:val="20"/>
                <w:szCs w:val="20"/>
                <w:color w:val="auto"/>
              </w:rPr>
            </w:pPr>
            <w:r>
              <w:rPr>
                <w:rFonts w:ascii="Arial" w:cs="Arial" w:eastAsia="Arial" w:hAnsi="Arial"/>
                <w:sz w:val="18"/>
                <w:szCs w:val="18"/>
                <w:color w:val="auto"/>
              </w:rPr>
              <w:t>6.11</w:t>
            </w:r>
          </w:p>
        </w:tc>
      </w:tr>
      <w:tr>
        <w:trPr>
          <w:trHeight w:val="273"/>
        </w:trPr>
        <w:tc>
          <w:tcPr>
            <w:tcW w:w="5300" w:type="dxa"/>
            <w:vAlign w:val="bottom"/>
            <w:shd w:val="clear" w:color="auto" w:fill="E5E5E5"/>
          </w:tcPr>
          <w:p>
            <w:pPr>
              <w:ind w:left="80"/>
              <w:spacing w:after="0"/>
              <w:rPr>
                <w:sz w:val="20"/>
                <w:szCs w:val="20"/>
                <w:color w:val="auto"/>
              </w:rPr>
            </w:pPr>
            <w:r>
              <w:rPr>
                <w:rFonts w:ascii="Arial" w:cs="Arial" w:eastAsia="Arial" w:hAnsi="Arial"/>
                <w:sz w:val="18"/>
                <w:szCs w:val="18"/>
                <w:color w:val="auto"/>
              </w:rPr>
              <w:t>Thomas H. Kean</w:t>
            </w:r>
          </w:p>
        </w:tc>
        <w:tc>
          <w:tcPr>
            <w:tcW w:w="4520" w:type="dxa"/>
            <w:vAlign w:val="bottom"/>
            <w:shd w:val="clear" w:color="auto" w:fill="E5E5E5"/>
          </w:tcPr>
          <w:p>
            <w:pPr>
              <w:ind w:left="2640"/>
              <w:spacing w:after="0"/>
              <w:rPr>
                <w:sz w:val="20"/>
                <w:szCs w:val="20"/>
                <w:color w:val="auto"/>
              </w:rPr>
            </w:pPr>
            <w:r>
              <w:rPr>
                <w:rFonts w:ascii="Arial" w:cs="Arial" w:eastAsia="Arial" w:hAnsi="Arial"/>
                <w:sz w:val="18"/>
                <w:szCs w:val="18"/>
                <w:color w:val="auto"/>
              </w:rPr>
              <w:t>25,373,178(b)(c)(d)(g)</w:t>
            </w:r>
          </w:p>
        </w:tc>
        <w:tc>
          <w:tcPr>
            <w:tcW w:w="1040" w:type="dxa"/>
            <w:vAlign w:val="bottom"/>
            <w:shd w:val="clear" w:color="auto" w:fill="E5E5E5"/>
          </w:tcPr>
          <w:p>
            <w:pPr>
              <w:jc w:val="right"/>
              <w:ind w:right="295"/>
              <w:spacing w:after="0"/>
              <w:rPr>
                <w:sz w:val="20"/>
                <w:szCs w:val="20"/>
                <w:color w:val="auto"/>
              </w:rPr>
            </w:pPr>
            <w:r>
              <w:rPr>
                <w:rFonts w:ascii="Arial" w:cs="Arial" w:eastAsia="Arial" w:hAnsi="Arial"/>
                <w:sz w:val="18"/>
                <w:szCs w:val="18"/>
                <w:color w:val="auto"/>
              </w:rPr>
              <w:t>8.16</w:t>
            </w:r>
          </w:p>
        </w:tc>
      </w:tr>
      <w:tr>
        <w:trPr>
          <w:trHeight w:val="239"/>
        </w:trPr>
        <w:tc>
          <w:tcPr>
            <w:tcW w:w="5300" w:type="dxa"/>
            <w:vAlign w:val="bottom"/>
          </w:tcPr>
          <w:p>
            <w:pPr>
              <w:ind w:left="80"/>
              <w:spacing w:after="0"/>
              <w:rPr>
                <w:sz w:val="20"/>
                <w:szCs w:val="20"/>
                <w:color w:val="auto"/>
              </w:rPr>
            </w:pPr>
            <w:r>
              <w:rPr>
                <w:rFonts w:ascii="Arial" w:cs="Arial" w:eastAsia="Arial" w:hAnsi="Arial"/>
                <w:sz w:val="18"/>
                <w:szCs w:val="18"/>
                <w:color w:val="auto"/>
              </w:rPr>
              <w:t>Eugene W. Goodwillie, Jr.</w:t>
            </w:r>
          </w:p>
        </w:tc>
        <w:tc>
          <w:tcPr>
            <w:tcW w:w="4520" w:type="dxa"/>
            <w:vAlign w:val="bottom"/>
          </w:tcPr>
          <w:p>
            <w:pPr>
              <w:ind w:left="2640"/>
              <w:spacing w:after="0"/>
              <w:rPr>
                <w:sz w:val="20"/>
                <w:szCs w:val="20"/>
                <w:color w:val="auto"/>
              </w:rPr>
            </w:pPr>
            <w:r>
              <w:rPr>
                <w:rFonts w:ascii="Arial" w:cs="Arial" w:eastAsia="Arial" w:hAnsi="Arial"/>
                <w:sz w:val="18"/>
                <w:szCs w:val="18"/>
                <w:color w:val="auto"/>
              </w:rPr>
              <w:t>29,419,797(b)(c)(d)(e)</w:t>
            </w:r>
          </w:p>
        </w:tc>
        <w:tc>
          <w:tcPr>
            <w:tcW w:w="1040" w:type="dxa"/>
            <w:vAlign w:val="bottom"/>
          </w:tcPr>
          <w:p>
            <w:pPr>
              <w:jc w:val="right"/>
              <w:ind w:right="295"/>
              <w:spacing w:after="0"/>
              <w:rPr>
                <w:sz w:val="20"/>
                <w:szCs w:val="20"/>
                <w:color w:val="auto"/>
              </w:rPr>
            </w:pPr>
            <w:r>
              <w:rPr>
                <w:rFonts w:ascii="Arial" w:cs="Arial" w:eastAsia="Arial" w:hAnsi="Arial"/>
                <w:sz w:val="18"/>
                <w:szCs w:val="18"/>
                <w:color w:val="auto"/>
              </w:rPr>
              <w:t>9.46</w:t>
            </w:r>
          </w:p>
        </w:tc>
      </w:tr>
      <w:tr>
        <w:trPr>
          <w:trHeight w:val="200"/>
        </w:trPr>
        <w:tc>
          <w:tcPr>
            <w:tcW w:w="5300" w:type="dxa"/>
            <w:vAlign w:val="bottom"/>
          </w:tcPr>
          <w:p>
            <w:pPr>
              <w:ind w:left="400"/>
              <w:spacing w:after="0" w:line="200" w:lineRule="exact"/>
              <w:rPr>
                <w:sz w:val="20"/>
                <w:szCs w:val="20"/>
                <w:color w:val="auto"/>
              </w:rPr>
            </w:pPr>
            <w:r>
              <w:rPr>
                <w:rFonts w:ascii="Arial" w:cs="Arial" w:eastAsia="Arial" w:hAnsi="Arial"/>
                <w:sz w:val="18"/>
                <w:szCs w:val="18"/>
                <w:color w:val="auto"/>
              </w:rPr>
              <w:t>c/o Hess Corporation</w:t>
            </w:r>
          </w:p>
        </w:tc>
        <w:tc>
          <w:tcPr>
            <w:tcW w:w="45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5300" w:type="dxa"/>
            <w:vAlign w:val="bottom"/>
          </w:tcPr>
          <w:p>
            <w:pPr>
              <w:ind w:left="400"/>
              <w:spacing w:after="0" w:line="200" w:lineRule="exact"/>
              <w:rPr>
                <w:sz w:val="20"/>
                <w:szCs w:val="20"/>
                <w:color w:val="auto"/>
              </w:rPr>
            </w:pPr>
            <w:r>
              <w:rPr>
                <w:rFonts w:ascii="Arial" w:cs="Arial" w:eastAsia="Arial" w:hAnsi="Arial"/>
                <w:sz w:val="18"/>
                <w:szCs w:val="18"/>
                <w:color w:val="auto"/>
              </w:rPr>
              <w:t>1185 Avenue of the Americas</w:t>
            </w:r>
          </w:p>
        </w:tc>
        <w:tc>
          <w:tcPr>
            <w:tcW w:w="45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0"/>
        </w:trPr>
        <w:tc>
          <w:tcPr>
            <w:tcW w:w="5300" w:type="dxa"/>
            <w:vAlign w:val="bottom"/>
          </w:tcPr>
          <w:p>
            <w:pPr>
              <w:ind w:left="400"/>
              <w:spacing w:after="0"/>
              <w:rPr>
                <w:sz w:val="20"/>
                <w:szCs w:val="20"/>
                <w:color w:val="auto"/>
              </w:rPr>
            </w:pPr>
            <w:r>
              <w:rPr>
                <w:rFonts w:ascii="Arial" w:cs="Arial" w:eastAsia="Arial" w:hAnsi="Arial"/>
                <w:sz w:val="18"/>
                <w:szCs w:val="18"/>
                <w:color w:val="auto"/>
              </w:rPr>
              <w:t>New York, NY 10036</w:t>
            </w:r>
          </w:p>
        </w:tc>
        <w:tc>
          <w:tcPr>
            <w:tcW w:w="45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46"/>
        </w:trPr>
        <w:tc>
          <w:tcPr>
            <w:tcW w:w="5300" w:type="dxa"/>
            <w:vAlign w:val="bottom"/>
            <w:shd w:val="clear" w:color="auto" w:fill="E5E5E5"/>
          </w:tcPr>
          <w:p>
            <w:pPr>
              <w:ind w:left="80"/>
              <w:spacing w:after="0"/>
              <w:rPr>
                <w:sz w:val="20"/>
                <w:szCs w:val="20"/>
                <w:color w:val="auto"/>
              </w:rPr>
            </w:pPr>
            <w:r>
              <w:rPr>
                <w:rFonts w:ascii="Arial" w:cs="Arial" w:eastAsia="Arial" w:hAnsi="Arial"/>
                <w:sz w:val="18"/>
                <w:szCs w:val="18"/>
                <w:color w:val="auto"/>
              </w:rPr>
              <w:t>The Vanguard Group</w:t>
            </w:r>
          </w:p>
        </w:tc>
        <w:tc>
          <w:tcPr>
            <w:tcW w:w="4520" w:type="dxa"/>
            <w:vAlign w:val="bottom"/>
            <w:shd w:val="clear" w:color="auto" w:fill="E5E5E5"/>
          </w:tcPr>
          <w:p>
            <w:pPr>
              <w:ind w:left="2640"/>
              <w:spacing w:after="0"/>
              <w:rPr>
                <w:sz w:val="20"/>
                <w:szCs w:val="20"/>
                <w:color w:val="auto"/>
              </w:rPr>
            </w:pPr>
            <w:r>
              <w:rPr>
                <w:rFonts w:ascii="Arial" w:cs="Arial" w:eastAsia="Arial" w:hAnsi="Arial"/>
                <w:sz w:val="18"/>
                <w:szCs w:val="18"/>
                <w:color w:val="auto"/>
              </w:rPr>
              <w:t>30,235,574(h)</w:t>
            </w:r>
          </w:p>
        </w:tc>
        <w:tc>
          <w:tcPr>
            <w:tcW w:w="1040" w:type="dxa"/>
            <w:vAlign w:val="bottom"/>
            <w:shd w:val="clear" w:color="auto" w:fill="E5E5E5"/>
          </w:tcPr>
          <w:p>
            <w:pPr>
              <w:jc w:val="right"/>
              <w:ind w:right="295"/>
              <w:spacing w:after="0"/>
              <w:rPr>
                <w:sz w:val="20"/>
                <w:szCs w:val="20"/>
                <w:color w:val="auto"/>
              </w:rPr>
            </w:pPr>
            <w:r>
              <w:rPr>
                <w:rFonts w:ascii="Arial" w:cs="Arial" w:eastAsia="Arial" w:hAnsi="Arial"/>
                <w:sz w:val="18"/>
                <w:szCs w:val="18"/>
                <w:color w:val="auto"/>
              </w:rPr>
              <w:t>9.51</w:t>
            </w:r>
          </w:p>
        </w:tc>
      </w:tr>
      <w:tr>
        <w:trPr>
          <w:trHeight w:val="200"/>
        </w:trPr>
        <w:tc>
          <w:tcPr>
            <w:tcW w:w="5300" w:type="dxa"/>
            <w:vAlign w:val="bottom"/>
            <w:shd w:val="clear" w:color="auto" w:fill="E5E5E5"/>
          </w:tcPr>
          <w:p>
            <w:pPr>
              <w:ind w:left="400"/>
              <w:spacing w:after="0" w:line="200" w:lineRule="exact"/>
              <w:rPr>
                <w:sz w:val="20"/>
                <w:szCs w:val="20"/>
                <w:color w:val="auto"/>
              </w:rPr>
            </w:pPr>
            <w:r>
              <w:rPr>
                <w:rFonts w:ascii="Arial" w:cs="Arial" w:eastAsia="Arial" w:hAnsi="Arial"/>
                <w:sz w:val="18"/>
                <w:szCs w:val="18"/>
                <w:color w:val="auto"/>
              </w:rPr>
              <w:t>100 Vanguard Blvd.</w:t>
            </w:r>
          </w:p>
        </w:tc>
        <w:tc>
          <w:tcPr>
            <w:tcW w:w="4520" w:type="dxa"/>
            <w:vAlign w:val="bottom"/>
            <w:shd w:val="clear" w:color="auto" w:fill="E5E5E5"/>
          </w:tcPr>
          <w:p>
            <w:pPr>
              <w:spacing w:after="0"/>
              <w:rPr>
                <w:sz w:val="17"/>
                <w:szCs w:val="17"/>
                <w:color w:val="auto"/>
              </w:rPr>
            </w:pPr>
          </w:p>
        </w:tc>
        <w:tc>
          <w:tcPr>
            <w:tcW w:w="1040" w:type="dxa"/>
            <w:vAlign w:val="bottom"/>
            <w:shd w:val="clear" w:color="auto" w:fill="E5E5E5"/>
          </w:tcPr>
          <w:p>
            <w:pPr>
              <w:spacing w:after="0"/>
              <w:rPr>
                <w:sz w:val="17"/>
                <w:szCs w:val="17"/>
                <w:color w:val="auto"/>
              </w:rPr>
            </w:pPr>
          </w:p>
        </w:tc>
      </w:tr>
      <w:tr>
        <w:trPr>
          <w:trHeight w:val="227"/>
        </w:trPr>
        <w:tc>
          <w:tcPr>
            <w:tcW w:w="5300" w:type="dxa"/>
            <w:vAlign w:val="bottom"/>
            <w:shd w:val="clear" w:color="auto" w:fill="E5E5E5"/>
          </w:tcPr>
          <w:p>
            <w:pPr>
              <w:ind w:left="400"/>
              <w:spacing w:after="0"/>
              <w:rPr>
                <w:sz w:val="20"/>
                <w:szCs w:val="20"/>
                <w:color w:val="auto"/>
              </w:rPr>
            </w:pPr>
            <w:r>
              <w:rPr>
                <w:rFonts w:ascii="Arial" w:cs="Arial" w:eastAsia="Arial" w:hAnsi="Arial"/>
                <w:sz w:val="18"/>
                <w:szCs w:val="18"/>
                <w:color w:val="auto"/>
              </w:rPr>
              <w:t>Malvern, PA 19355</w:t>
            </w:r>
          </w:p>
        </w:tc>
        <w:tc>
          <w:tcPr>
            <w:tcW w:w="4520" w:type="dxa"/>
            <w:vAlign w:val="bottom"/>
            <w:shd w:val="clear" w:color="auto" w:fill="E5E5E5"/>
          </w:tcPr>
          <w:p>
            <w:pPr>
              <w:spacing w:after="0"/>
              <w:rPr>
                <w:sz w:val="19"/>
                <w:szCs w:val="19"/>
                <w:color w:val="auto"/>
              </w:rPr>
            </w:pPr>
          </w:p>
        </w:tc>
        <w:tc>
          <w:tcPr>
            <w:tcW w:w="1040" w:type="dxa"/>
            <w:vAlign w:val="bottom"/>
            <w:shd w:val="clear" w:color="auto" w:fill="E5E5E5"/>
          </w:tcPr>
          <w:p>
            <w:pPr>
              <w:spacing w:after="0"/>
              <w:rPr>
                <w:sz w:val="19"/>
                <w:szCs w:val="19"/>
                <w:color w:val="auto"/>
              </w:rPr>
            </w:pPr>
          </w:p>
        </w:tc>
      </w:tr>
      <w:tr>
        <w:trPr>
          <w:trHeight w:val="236"/>
        </w:trPr>
        <w:tc>
          <w:tcPr>
            <w:tcW w:w="5300" w:type="dxa"/>
            <w:vAlign w:val="bottom"/>
          </w:tcPr>
          <w:p>
            <w:pPr>
              <w:ind w:left="80"/>
              <w:spacing w:after="0"/>
              <w:rPr>
                <w:sz w:val="20"/>
                <w:szCs w:val="20"/>
                <w:color w:val="auto"/>
              </w:rPr>
            </w:pPr>
            <w:r>
              <w:rPr>
                <w:rFonts w:ascii="Arial" w:cs="Arial" w:eastAsia="Arial" w:hAnsi="Arial"/>
                <w:sz w:val="18"/>
                <w:szCs w:val="18"/>
                <w:color w:val="auto"/>
              </w:rPr>
              <w:t>BlackRock, Inc.</w:t>
            </w:r>
          </w:p>
        </w:tc>
        <w:tc>
          <w:tcPr>
            <w:tcW w:w="4520" w:type="dxa"/>
            <w:vAlign w:val="bottom"/>
          </w:tcPr>
          <w:p>
            <w:pPr>
              <w:ind w:left="2640"/>
              <w:spacing w:after="0"/>
              <w:rPr>
                <w:sz w:val="20"/>
                <w:szCs w:val="20"/>
                <w:color w:val="auto"/>
              </w:rPr>
            </w:pPr>
            <w:r>
              <w:rPr>
                <w:rFonts w:ascii="Arial" w:cs="Arial" w:eastAsia="Arial" w:hAnsi="Arial"/>
                <w:sz w:val="18"/>
                <w:szCs w:val="18"/>
                <w:color w:val="auto"/>
              </w:rPr>
              <w:t>27,149,855(i)</w:t>
            </w:r>
          </w:p>
        </w:tc>
        <w:tc>
          <w:tcPr>
            <w:tcW w:w="1040" w:type="dxa"/>
            <w:vAlign w:val="bottom"/>
          </w:tcPr>
          <w:p>
            <w:pPr>
              <w:jc w:val="right"/>
              <w:ind w:right="295"/>
              <w:spacing w:after="0"/>
              <w:rPr>
                <w:sz w:val="20"/>
                <w:szCs w:val="20"/>
                <w:color w:val="auto"/>
              </w:rPr>
            </w:pPr>
            <w:r>
              <w:rPr>
                <w:rFonts w:ascii="Arial" w:cs="Arial" w:eastAsia="Arial" w:hAnsi="Arial"/>
                <w:sz w:val="18"/>
                <w:szCs w:val="18"/>
                <w:color w:val="auto"/>
              </w:rPr>
              <w:t>8.50</w:t>
            </w:r>
          </w:p>
        </w:tc>
      </w:tr>
      <w:tr>
        <w:trPr>
          <w:trHeight w:val="202"/>
        </w:trPr>
        <w:tc>
          <w:tcPr>
            <w:tcW w:w="5300" w:type="dxa"/>
            <w:vAlign w:val="bottom"/>
          </w:tcPr>
          <w:p>
            <w:pPr>
              <w:ind w:left="400"/>
              <w:spacing w:after="0" w:line="202" w:lineRule="exact"/>
              <w:rPr>
                <w:sz w:val="20"/>
                <w:szCs w:val="20"/>
                <w:color w:val="auto"/>
              </w:rPr>
            </w:pPr>
            <w:r>
              <w:rPr>
                <w:rFonts w:ascii="Arial" w:cs="Arial" w:eastAsia="Arial" w:hAnsi="Arial"/>
                <w:sz w:val="18"/>
                <w:szCs w:val="18"/>
                <w:color w:val="auto"/>
              </w:rPr>
              <w:t>55 East 52</w:t>
            </w:r>
            <w:r>
              <w:rPr>
                <w:rFonts w:ascii="Arial" w:cs="Arial" w:eastAsia="Arial" w:hAnsi="Arial"/>
                <w:sz w:val="15"/>
                <w:szCs w:val="15"/>
                <w:color w:val="auto"/>
              </w:rPr>
              <w:t>nd</w:t>
            </w:r>
            <w:r>
              <w:rPr>
                <w:rFonts w:ascii="Arial" w:cs="Arial" w:eastAsia="Arial" w:hAnsi="Arial"/>
                <w:sz w:val="18"/>
                <w:szCs w:val="18"/>
                <w:color w:val="auto"/>
              </w:rPr>
              <w:t xml:space="preserve"> Street</w:t>
            </w:r>
          </w:p>
        </w:tc>
        <w:tc>
          <w:tcPr>
            <w:tcW w:w="45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0"/>
        </w:trPr>
        <w:tc>
          <w:tcPr>
            <w:tcW w:w="5300" w:type="dxa"/>
            <w:vAlign w:val="bottom"/>
          </w:tcPr>
          <w:p>
            <w:pPr>
              <w:ind w:left="400"/>
              <w:spacing w:after="0"/>
              <w:rPr>
                <w:sz w:val="20"/>
                <w:szCs w:val="20"/>
                <w:color w:val="auto"/>
              </w:rPr>
            </w:pPr>
            <w:r>
              <w:rPr>
                <w:rFonts w:ascii="Arial" w:cs="Arial" w:eastAsia="Arial" w:hAnsi="Arial"/>
                <w:sz w:val="18"/>
                <w:szCs w:val="18"/>
                <w:color w:val="auto"/>
              </w:rPr>
              <w:t>New York, NY 10055</w:t>
            </w:r>
          </w:p>
        </w:tc>
        <w:tc>
          <w:tcPr>
            <w:tcW w:w="45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46"/>
        </w:trPr>
        <w:tc>
          <w:tcPr>
            <w:tcW w:w="5300" w:type="dxa"/>
            <w:vAlign w:val="bottom"/>
            <w:shd w:val="clear" w:color="auto" w:fill="E5E5E5"/>
          </w:tcPr>
          <w:p>
            <w:pPr>
              <w:ind w:left="80"/>
              <w:spacing w:after="0"/>
              <w:rPr>
                <w:sz w:val="20"/>
                <w:szCs w:val="20"/>
                <w:color w:val="auto"/>
              </w:rPr>
            </w:pPr>
            <w:r>
              <w:rPr>
                <w:rFonts w:ascii="Arial" w:cs="Arial" w:eastAsia="Arial" w:hAnsi="Arial"/>
                <w:sz w:val="18"/>
                <w:szCs w:val="18"/>
                <w:color w:val="auto"/>
              </w:rPr>
              <w:t>T. Rowe Price Associates, Inc.</w:t>
            </w:r>
          </w:p>
        </w:tc>
        <w:tc>
          <w:tcPr>
            <w:tcW w:w="4520" w:type="dxa"/>
            <w:vAlign w:val="bottom"/>
            <w:shd w:val="clear" w:color="auto" w:fill="E5E5E5"/>
          </w:tcPr>
          <w:p>
            <w:pPr>
              <w:ind w:left="2640"/>
              <w:spacing w:after="0"/>
              <w:rPr>
                <w:sz w:val="20"/>
                <w:szCs w:val="20"/>
                <w:color w:val="auto"/>
              </w:rPr>
            </w:pPr>
            <w:r>
              <w:rPr>
                <w:rFonts w:ascii="Arial" w:cs="Arial" w:eastAsia="Arial" w:hAnsi="Arial"/>
                <w:sz w:val="18"/>
                <w:szCs w:val="18"/>
                <w:color w:val="auto"/>
              </w:rPr>
              <w:t>22,895,223(j)</w:t>
            </w:r>
          </w:p>
        </w:tc>
        <w:tc>
          <w:tcPr>
            <w:tcW w:w="1040" w:type="dxa"/>
            <w:vAlign w:val="bottom"/>
            <w:shd w:val="clear" w:color="auto" w:fill="E5E5E5"/>
          </w:tcPr>
          <w:p>
            <w:pPr>
              <w:jc w:val="right"/>
              <w:ind w:right="295"/>
              <w:spacing w:after="0"/>
              <w:rPr>
                <w:sz w:val="20"/>
                <w:szCs w:val="20"/>
                <w:color w:val="auto"/>
              </w:rPr>
            </w:pPr>
            <w:r>
              <w:rPr>
                <w:rFonts w:ascii="Arial" w:cs="Arial" w:eastAsia="Arial" w:hAnsi="Arial"/>
                <w:sz w:val="18"/>
                <w:szCs w:val="18"/>
                <w:color w:val="auto"/>
              </w:rPr>
              <w:t>7.10</w:t>
            </w:r>
          </w:p>
        </w:tc>
      </w:tr>
      <w:tr>
        <w:trPr>
          <w:trHeight w:val="200"/>
        </w:trPr>
        <w:tc>
          <w:tcPr>
            <w:tcW w:w="5300" w:type="dxa"/>
            <w:vAlign w:val="bottom"/>
            <w:shd w:val="clear" w:color="auto" w:fill="E5E5E5"/>
          </w:tcPr>
          <w:p>
            <w:pPr>
              <w:ind w:left="400"/>
              <w:spacing w:after="0" w:line="200" w:lineRule="exact"/>
              <w:rPr>
                <w:sz w:val="20"/>
                <w:szCs w:val="20"/>
                <w:color w:val="auto"/>
              </w:rPr>
            </w:pPr>
            <w:r>
              <w:rPr>
                <w:rFonts w:ascii="Arial" w:cs="Arial" w:eastAsia="Arial" w:hAnsi="Arial"/>
                <w:sz w:val="18"/>
                <w:szCs w:val="18"/>
                <w:color w:val="auto"/>
              </w:rPr>
              <w:t>100 E. Pratt Street</w:t>
            </w:r>
          </w:p>
        </w:tc>
        <w:tc>
          <w:tcPr>
            <w:tcW w:w="4520" w:type="dxa"/>
            <w:vAlign w:val="bottom"/>
            <w:shd w:val="clear" w:color="auto" w:fill="E5E5E5"/>
          </w:tcPr>
          <w:p>
            <w:pPr>
              <w:spacing w:after="0"/>
              <w:rPr>
                <w:sz w:val="17"/>
                <w:szCs w:val="17"/>
                <w:color w:val="auto"/>
              </w:rPr>
            </w:pPr>
          </w:p>
        </w:tc>
        <w:tc>
          <w:tcPr>
            <w:tcW w:w="1040" w:type="dxa"/>
            <w:vAlign w:val="bottom"/>
            <w:shd w:val="clear" w:color="auto" w:fill="E5E5E5"/>
          </w:tcPr>
          <w:p>
            <w:pPr>
              <w:spacing w:after="0"/>
              <w:rPr>
                <w:sz w:val="17"/>
                <w:szCs w:val="17"/>
                <w:color w:val="auto"/>
              </w:rPr>
            </w:pPr>
          </w:p>
        </w:tc>
      </w:tr>
      <w:tr>
        <w:trPr>
          <w:trHeight w:val="227"/>
        </w:trPr>
        <w:tc>
          <w:tcPr>
            <w:tcW w:w="5300" w:type="dxa"/>
            <w:vAlign w:val="bottom"/>
            <w:shd w:val="clear" w:color="auto" w:fill="E5E5E5"/>
          </w:tcPr>
          <w:p>
            <w:pPr>
              <w:ind w:left="400"/>
              <w:spacing w:after="0"/>
              <w:rPr>
                <w:sz w:val="20"/>
                <w:szCs w:val="20"/>
                <w:color w:val="auto"/>
              </w:rPr>
            </w:pPr>
            <w:r>
              <w:rPr>
                <w:rFonts w:ascii="Arial" w:cs="Arial" w:eastAsia="Arial" w:hAnsi="Arial"/>
                <w:sz w:val="18"/>
                <w:szCs w:val="18"/>
                <w:color w:val="auto"/>
              </w:rPr>
              <w:t>Baltimore, MD 21202</w:t>
            </w:r>
          </w:p>
        </w:tc>
        <w:tc>
          <w:tcPr>
            <w:tcW w:w="4520" w:type="dxa"/>
            <w:vAlign w:val="bottom"/>
            <w:shd w:val="clear" w:color="auto" w:fill="E5E5E5"/>
          </w:tcPr>
          <w:p>
            <w:pPr>
              <w:spacing w:after="0"/>
              <w:rPr>
                <w:sz w:val="19"/>
                <w:szCs w:val="19"/>
                <w:color w:val="auto"/>
              </w:rPr>
            </w:pPr>
          </w:p>
        </w:tc>
        <w:tc>
          <w:tcPr>
            <w:tcW w:w="1040" w:type="dxa"/>
            <w:vAlign w:val="bottom"/>
            <w:shd w:val="clear" w:color="auto" w:fill="E5E5E5"/>
          </w:tcPr>
          <w:p>
            <w:pPr>
              <w:spacing w:after="0"/>
              <w:rPr>
                <w:sz w:val="19"/>
                <w:szCs w:val="19"/>
                <w:color w:val="auto"/>
              </w:rPr>
            </w:pPr>
          </w:p>
        </w:tc>
      </w:tr>
      <w:tr>
        <w:trPr>
          <w:trHeight w:val="236"/>
        </w:trPr>
        <w:tc>
          <w:tcPr>
            <w:tcW w:w="5300" w:type="dxa"/>
            <w:vAlign w:val="bottom"/>
          </w:tcPr>
          <w:p>
            <w:pPr>
              <w:ind w:left="80"/>
              <w:spacing w:after="0"/>
              <w:rPr>
                <w:sz w:val="20"/>
                <w:szCs w:val="20"/>
                <w:color w:val="auto"/>
              </w:rPr>
            </w:pPr>
            <w:r>
              <w:rPr>
                <w:rFonts w:ascii="Arial" w:cs="Arial" w:eastAsia="Arial" w:hAnsi="Arial"/>
                <w:sz w:val="18"/>
                <w:szCs w:val="18"/>
                <w:color w:val="auto"/>
              </w:rPr>
              <w:t>Elliott Associates, L.P.</w:t>
            </w:r>
          </w:p>
        </w:tc>
        <w:tc>
          <w:tcPr>
            <w:tcW w:w="4520" w:type="dxa"/>
            <w:vAlign w:val="bottom"/>
          </w:tcPr>
          <w:p>
            <w:pPr>
              <w:ind w:left="2640"/>
              <w:spacing w:after="0"/>
              <w:rPr>
                <w:sz w:val="20"/>
                <w:szCs w:val="20"/>
                <w:color w:val="auto"/>
              </w:rPr>
            </w:pPr>
            <w:r>
              <w:rPr>
                <w:rFonts w:ascii="Arial" w:cs="Arial" w:eastAsia="Arial" w:hAnsi="Arial"/>
                <w:sz w:val="18"/>
                <w:szCs w:val="18"/>
                <w:color w:val="auto"/>
              </w:rPr>
              <w:t>21,420,000(k)</w:t>
            </w:r>
          </w:p>
        </w:tc>
        <w:tc>
          <w:tcPr>
            <w:tcW w:w="1040" w:type="dxa"/>
            <w:vAlign w:val="bottom"/>
          </w:tcPr>
          <w:p>
            <w:pPr>
              <w:jc w:val="right"/>
              <w:ind w:right="295"/>
              <w:spacing w:after="0"/>
              <w:rPr>
                <w:sz w:val="20"/>
                <w:szCs w:val="20"/>
                <w:color w:val="auto"/>
              </w:rPr>
            </w:pPr>
            <w:r>
              <w:rPr>
                <w:rFonts w:ascii="Arial" w:cs="Arial" w:eastAsia="Arial" w:hAnsi="Arial"/>
                <w:sz w:val="18"/>
                <w:szCs w:val="18"/>
                <w:color w:val="auto"/>
              </w:rPr>
              <w:t>6.70</w:t>
            </w:r>
          </w:p>
        </w:tc>
      </w:tr>
      <w:tr>
        <w:trPr>
          <w:trHeight w:val="202"/>
        </w:trPr>
        <w:tc>
          <w:tcPr>
            <w:tcW w:w="5300" w:type="dxa"/>
            <w:vAlign w:val="bottom"/>
          </w:tcPr>
          <w:p>
            <w:pPr>
              <w:ind w:left="400"/>
              <w:spacing w:after="0" w:line="202" w:lineRule="exact"/>
              <w:rPr>
                <w:sz w:val="20"/>
                <w:szCs w:val="20"/>
                <w:color w:val="auto"/>
              </w:rPr>
            </w:pPr>
            <w:r>
              <w:rPr>
                <w:rFonts w:ascii="Arial" w:cs="Arial" w:eastAsia="Arial" w:hAnsi="Arial"/>
                <w:sz w:val="18"/>
                <w:szCs w:val="18"/>
                <w:color w:val="auto"/>
              </w:rPr>
              <w:t>40 West 57</w:t>
            </w:r>
            <w:r>
              <w:rPr>
                <w:rFonts w:ascii="Arial" w:cs="Arial" w:eastAsia="Arial" w:hAnsi="Arial"/>
                <w:sz w:val="15"/>
                <w:szCs w:val="15"/>
                <w:color w:val="auto"/>
              </w:rPr>
              <w:t>th</w:t>
            </w:r>
            <w:r>
              <w:rPr>
                <w:rFonts w:ascii="Arial" w:cs="Arial" w:eastAsia="Arial" w:hAnsi="Arial"/>
                <w:sz w:val="18"/>
                <w:szCs w:val="18"/>
                <w:color w:val="auto"/>
              </w:rPr>
              <w:t xml:space="preserve"> Street, 30</w:t>
            </w:r>
            <w:r>
              <w:rPr>
                <w:rFonts w:ascii="Arial" w:cs="Arial" w:eastAsia="Arial" w:hAnsi="Arial"/>
                <w:sz w:val="15"/>
                <w:szCs w:val="15"/>
                <w:color w:val="auto"/>
              </w:rPr>
              <w:t>th</w:t>
            </w:r>
            <w:r>
              <w:rPr>
                <w:rFonts w:ascii="Arial" w:cs="Arial" w:eastAsia="Arial" w:hAnsi="Arial"/>
                <w:sz w:val="18"/>
                <w:szCs w:val="18"/>
                <w:color w:val="auto"/>
              </w:rPr>
              <w:t xml:space="preserve"> Floor</w:t>
            </w:r>
          </w:p>
        </w:tc>
        <w:tc>
          <w:tcPr>
            <w:tcW w:w="45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0"/>
        </w:trPr>
        <w:tc>
          <w:tcPr>
            <w:tcW w:w="5300" w:type="dxa"/>
            <w:vAlign w:val="bottom"/>
          </w:tcPr>
          <w:p>
            <w:pPr>
              <w:ind w:left="400"/>
              <w:spacing w:after="0"/>
              <w:rPr>
                <w:sz w:val="20"/>
                <w:szCs w:val="20"/>
                <w:color w:val="auto"/>
              </w:rPr>
            </w:pPr>
            <w:r>
              <w:rPr>
                <w:rFonts w:ascii="Arial" w:cs="Arial" w:eastAsia="Arial" w:hAnsi="Arial"/>
                <w:sz w:val="18"/>
                <w:szCs w:val="18"/>
                <w:color w:val="auto"/>
              </w:rPr>
              <w:t>New York, NY 10019</w:t>
            </w:r>
          </w:p>
        </w:tc>
        <w:tc>
          <w:tcPr>
            <w:tcW w:w="45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46"/>
        </w:trPr>
        <w:tc>
          <w:tcPr>
            <w:tcW w:w="5300" w:type="dxa"/>
            <w:vAlign w:val="bottom"/>
            <w:shd w:val="clear" w:color="auto" w:fill="E5E5E5"/>
          </w:tcPr>
          <w:p>
            <w:pPr>
              <w:ind w:left="80"/>
              <w:spacing w:after="0"/>
              <w:rPr>
                <w:sz w:val="20"/>
                <w:szCs w:val="20"/>
                <w:color w:val="auto"/>
              </w:rPr>
            </w:pPr>
            <w:r>
              <w:rPr>
                <w:rFonts w:ascii="Arial" w:cs="Arial" w:eastAsia="Arial" w:hAnsi="Arial"/>
                <w:sz w:val="18"/>
                <w:szCs w:val="18"/>
                <w:color w:val="auto"/>
              </w:rPr>
              <w:t>Wellington Management Group LLP</w:t>
            </w:r>
          </w:p>
        </w:tc>
        <w:tc>
          <w:tcPr>
            <w:tcW w:w="4520" w:type="dxa"/>
            <w:vAlign w:val="bottom"/>
            <w:shd w:val="clear" w:color="auto" w:fill="E5E5E5"/>
          </w:tcPr>
          <w:p>
            <w:pPr>
              <w:ind w:left="2640"/>
              <w:spacing w:after="0"/>
              <w:rPr>
                <w:sz w:val="20"/>
                <w:szCs w:val="20"/>
                <w:color w:val="auto"/>
              </w:rPr>
            </w:pPr>
            <w:r>
              <w:rPr>
                <w:rFonts w:ascii="Arial" w:cs="Arial" w:eastAsia="Arial" w:hAnsi="Arial"/>
                <w:sz w:val="18"/>
                <w:szCs w:val="18"/>
                <w:color w:val="auto"/>
              </w:rPr>
              <w:t>17,577,770(l)</w:t>
            </w:r>
          </w:p>
        </w:tc>
        <w:tc>
          <w:tcPr>
            <w:tcW w:w="1040" w:type="dxa"/>
            <w:vAlign w:val="bottom"/>
            <w:shd w:val="clear" w:color="auto" w:fill="E5E5E5"/>
          </w:tcPr>
          <w:p>
            <w:pPr>
              <w:jc w:val="right"/>
              <w:ind w:right="295"/>
              <w:spacing w:after="0"/>
              <w:rPr>
                <w:sz w:val="20"/>
                <w:szCs w:val="20"/>
                <w:color w:val="auto"/>
              </w:rPr>
            </w:pPr>
            <w:r>
              <w:rPr>
                <w:rFonts w:ascii="Arial" w:cs="Arial" w:eastAsia="Arial" w:hAnsi="Arial"/>
                <w:sz w:val="18"/>
                <w:szCs w:val="18"/>
                <w:color w:val="auto"/>
              </w:rPr>
              <w:t>5.53</w:t>
            </w:r>
          </w:p>
        </w:tc>
      </w:tr>
      <w:tr>
        <w:trPr>
          <w:trHeight w:val="200"/>
        </w:trPr>
        <w:tc>
          <w:tcPr>
            <w:tcW w:w="5300" w:type="dxa"/>
            <w:vAlign w:val="bottom"/>
            <w:shd w:val="clear" w:color="auto" w:fill="E5E5E5"/>
          </w:tcPr>
          <w:p>
            <w:pPr>
              <w:ind w:left="400"/>
              <w:spacing w:after="0" w:line="200" w:lineRule="exact"/>
              <w:rPr>
                <w:sz w:val="20"/>
                <w:szCs w:val="20"/>
                <w:color w:val="auto"/>
              </w:rPr>
            </w:pPr>
            <w:r>
              <w:rPr>
                <w:rFonts w:ascii="Arial" w:cs="Arial" w:eastAsia="Arial" w:hAnsi="Arial"/>
                <w:sz w:val="18"/>
                <w:szCs w:val="18"/>
                <w:color w:val="auto"/>
              </w:rPr>
              <w:t>280 Congress Street</w:t>
            </w:r>
          </w:p>
        </w:tc>
        <w:tc>
          <w:tcPr>
            <w:tcW w:w="4520" w:type="dxa"/>
            <w:vAlign w:val="bottom"/>
            <w:shd w:val="clear" w:color="auto" w:fill="E5E5E5"/>
          </w:tcPr>
          <w:p>
            <w:pPr>
              <w:spacing w:after="0"/>
              <w:rPr>
                <w:sz w:val="17"/>
                <w:szCs w:val="17"/>
                <w:color w:val="auto"/>
              </w:rPr>
            </w:pPr>
          </w:p>
        </w:tc>
        <w:tc>
          <w:tcPr>
            <w:tcW w:w="1040" w:type="dxa"/>
            <w:vAlign w:val="bottom"/>
            <w:shd w:val="clear" w:color="auto" w:fill="E5E5E5"/>
          </w:tcPr>
          <w:p>
            <w:pPr>
              <w:spacing w:after="0"/>
              <w:rPr>
                <w:sz w:val="17"/>
                <w:szCs w:val="17"/>
                <w:color w:val="auto"/>
              </w:rPr>
            </w:pPr>
          </w:p>
        </w:tc>
      </w:tr>
      <w:tr>
        <w:trPr>
          <w:trHeight w:val="220"/>
        </w:trPr>
        <w:tc>
          <w:tcPr>
            <w:tcW w:w="5300" w:type="dxa"/>
            <w:vAlign w:val="bottom"/>
            <w:tcBorders>
              <w:bottom w:val="single" w:sz="8" w:color="007549"/>
            </w:tcBorders>
            <w:shd w:val="clear" w:color="auto" w:fill="E5E5E5"/>
          </w:tcPr>
          <w:p>
            <w:pPr>
              <w:ind w:left="400"/>
              <w:spacing w:after="0"/>
              <w:rPr>
                <w:sz w:val="20"/>
                <w:szCs w:val="20"/>
                <w:color w:val="auto"/>
              </w:rPr>
            </w:pPr>
            <w:r>
              <w:rPr>
                <w:rFonts w:ascii="Arial" w:cs="Arial" w:eastAsia="Arial" w:hAnsi="Arial"/>
                <w:sz w:val="18"/>
                <w:szCs w:val="18"/>
                <w:color w:val="auto"/>
              </w:rPr>
              <w:t>Boston, MA 02210</w:t>
            </w:r>
          </w:p>
        </w:tc>
        <w:tc>
          <w:tcPr>
            <w:tcW w:w="4520" w:type="dxa"/>
            <w:vAlign w:val="bottom"/>
            <w:tcBorders>
              <w:bottom w:val="single" w:sz="8" w:color="007549"/>
            </w:tcBorders>
            <w:shd w:val="clear" w:color="auto" w:fill="E5E5E5"/>
          </w:tcPr>
          <w:p>
            <w:pPr>
              <w:spacing w:after="0"/>
              <w:rPr>
                <w:sz w:val="19"/>
                <w:szCs w:val="19"/>
                <w:color w:val="auto"/>
              </w:rPr>
            </w:pPr>
          </w:p>
        </w:tc>
        <w:tc>
          <w:tcPr>
            <w:tcW w:w="1040" w:type="dxa"/>
            <w:vAlign w:val="bottom"/>
            <w:tcBorders>
              <w:bottom w:val="single" w:sz="8" w:color="007549"/>
            </w:tcBorders>
            <w:shd w:val="clear" w:color="auto" w:fill="E5E5E5"/>
          </w:tcPr>
          <w:p>
            <w:pPr>
              <w:spacing w:after="0"/>
              <w:rPr>
                <w:sz w:val="19"/>
                <w:szCs w:val="19"/>
                <w:color w:val="auto"/>
              </w:rPr>
            </w:pPr>
          </w:p>
        </w:tc>
      </w:tr>
    </w:tbl>
    <w:p>
      <w:pPr>
        <w:spacing w:after="0" w:line="2" w:lineRule="exact"/>
        <w:rPr>
          <w:sz w:val="20"/>
          <w:szCs w:val="20"/>
          <w:color w:val="auto"/>
        </w:rPr>
      </w:pPr>
    </w:p>
    <w:p>
      <w:pPr>
        <w:jc w:val="both"/>
        <w:ind w:left="600" w:hanging="314"/>
        <w:spacing w:after="0" w:line="245" w:lineRule="auto"/>
        <w:tabs>
          <w:tab w:leader="none" w:pos="6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individual amounts and percentages shown for Messrs. Hess, Brady, Kean and Goodwillie should not be added because they reflect shared beneficial ownership. Information with respect to T. Rowe Price Associates, Inc. and Elliott Associates, L.P. was obtained from Schedule 13G/As filed by such persons with the SEC on February 14, 2018. Information with respect to The Vanguard Group was obtained from a Schedule 13G/A filed by such person with the SEC on February 9, 2018. Information with respect to BlackRock, Inc. and Wellington Management Group LLP was obtained from a Schedule 13G/A and a Schedule 13G, respectively, filed by such persons with the SEC on February 8, 2018. Mr. Hess may be deemed to be a control person of the company by virtue of his beneficial ownership of common stock as described below.</w:t>
      </w:r>
    </w:p>
    <w:p>
      <w:pPr>
        <w:spacing w:after="0" w:line="110" w:lineRule="exact"/>
        <w:rPr>
          <w:rFonts w:ascii="Arial" w:cs="Arial" w:eastAsia="Arial" w:hAnsi="Arial"/>
          <w:sz w:val="16"/>
          <w:szCs w:val="16"/>
          <w:color w:val="auto"/>
        </w:rPr>
      </w:pPr>
    </w:p>
    <w:p>
      <w:pPr>
        <w:ind w:left="600" w:hanging="314"/>
        <w:spacing w:after="0" w:line="254" w:lineRule="auto"/>
        <w:tabs>
          <w:tab w:leader="none" w:pos="6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This amount includes 10,079,037 shares held by a charitable lead annuity trust established under the will of Leon Hess. Mr. John B. Hess has sole voting power over the stock held by this trust and shares dispositive power over such stock with Messrs. Brady, Kean and Goodwillie.</w:t>
      </w:r>
    </w:p>
    <w:p>
      <w:pPr>
        <w:spacing w:after="0" w:line="102" w:lineRule="exact"/>
        <w:rPr>
          <w:rFonts w:ascii="Arial" w:cs="Arial" w:eastAsia="Arial" w:hAnsi="Arial"/>
          <w:sz w:val="16"/>
          <w:szCs w:val="16"/>
          <w:color w:val="auto"/>
        </w:rPr>
      </w:pPr>
    </w:p>
    <w:p>
      <w:pPr>
        <w:jc w:val="both"/>
        <w:ind w:left="600" w:hanging="314"/>
        <w:spacing w:after="0" w:line="248" w:lineRule="auto"/>
        <w:tabs>
          <w:tab w:leader="none" w:pos="6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This amount includes 8,817,802 shares held by a limited partnership. Messrs. Hess, Brady, Kean and Goodwillie serve on the management committee of the general partner of this limited partnership and share, inter alia, voting and dispositive power with respect to shares held by the limited partnership.</w:t>
      </w:r>
    </w:p>
    <w:p>
      <w:pPr>
        <w:spacing w:after="0" w:line="108" w:lineRule="exact"/>
        <w:rPr>
          <w:rFonts w:ascii="Arial" w:cs="Arial" w:eastAsia="Arial" w:hAnsi="Arial"/>
          <w:sz w:val="16"/>
          <w:szCs w:val="16"/>
          <w:color w:val="auto"/>
        </w:rPr>
      </w:pPr>
    </w:p>
    <w:p>
      <w:pPr>
        <w:ind w:left="600" w:hanging="314"/>
        <w:spacing w:after="0" w:line="254" w:lineRule="auto"/>
        <w:tabs>
          <w:tab w:leader="none" w:pos="6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This amount includes 6,436,881 shares held by the Hess Foundation, Inc. of which Messrs. Hess, Kean and Goodwillie are directors and as to which Mr. Hess has sole voting power and shares dispositive power with Messrs. Kean and Goodwillie.</w:t>
      </w:r>
    </w:p>
    <w:p>
      <w:pPr>
        <w:spacing w:after="0" w:line="102" w:lineRule="exact"/>
        <w:rPr>
          <w:rFonts w:ascii="Arial" w:cs="Arial" w:eastAsia="Arial" w:hAnsi="Arial"/>
          <w:sz w:val="16"/>
          <w:szCs w:val="16"/>
          <w:color w:val="auto"/>
        </w:rPr>
      </w:pPr>
    </w:p>
    <w:p>
      <w:pPr>
        <w:ind w:left="600" w:hanging="314"/>
        <w:spacing w:after="0"/>
        <w:tabs>
          <w:tab w:leader="none" w:pos="6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This amount includes:</w:t>
      </w:r>
    </w:p>
    <w:p>
      <w:pPr>
        <w:spacing w:after="0" w:line="122" w:lineRule="exact"/>
        <w:rPr>
          <w:rFonts w:ascii="Arial" w:cs="Arial" w:eastAsia="Arial" w:hAnsi="Arial"/>
          <w:sz w:val="16"/>
          <w:szCs w:val="16"/>
          <w:color w:val="auto"/>
        </w:rPr>
      </w:pPr>
    </w:p>
    <w:p>
      <w:pPr>
        <w:ind w:left="1140" w:hanging="322"/>
        <w:spacing w:after="0"/>
        <w:tabs>
          <w:tab w:leader="none" w:pos="1140" w:val="left"/>
        </w:tabs>
        <w:numPr>
          <w:ilvl w:val="1"/>
          <w:numId w:val="37"/>
        </w:numPr>
        <w:rPr>
          <w:rFonts w:ascii="Arial" w:cs="Arial" w:eastAsia="Arial" w:hAnsi="Arial"/>
          <w:sz w:val="16"/>
          <w:szCs w:val="16"/>
          <w:color w:val="auto"/>
        </w:rPr>
      </w:pPr>
      <w:r>
        <w:rPr>
          <w:rFonts w:ascii="Arial" w:cs="Arial" w:eastAsia="Arial" w:hAnsi="Arial"/>
          <w:sz w:val="16"/>
          <w:szCs w:val="16"/>
          <w:color w:val="auto"/>
        </w:rPr>
        <w:t>1,788,041 shares owned directly by Mr. Hess, as to which he has sole voting and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1820545</wp:posOffset>
            </wp:positionH>
            <wp:positionV relativeFrom="paragraph">
              <wp:posOffset>93345</wp:posOffset>
            </wp:positionV>
            <wp:extent cx="405765" cy="2451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227" w:lineRule="exact"/>
        <w:rPr>
          <w:sz w:val="20"/>
          <w:szCs w:val="20"/>
          <w:color w:val="auto"/>
        </w:rPr>
      </w:pPr>
    </w:p>
    <w:p>
      <w:pPr>
        <w:ind w:left="760" w:hanging="474"/>
        <w:spacing w:after="0"/>
        <w:tabs>
          <w:tab w:leader="none" w:pos="760" w:val="left"/>
        </w:tabs>
        <w:numPr>
          <w:ilvl w:val="0"/>
          <w:numId w:val="38"/>
        </w:numPr>
        <w:rPr>
          <w:rFonts w:ascii="Arial" w:cs="Arial" w:eastAsia="Arial" w:hAnsi="Arial"/>
          <w:sz w:val="14"/>
          <w:szCs w:val="14"/>
          <w:b w:val="1"/>
          <w:bCs w:val="1"/>
          <w:color w:val="007549"/>
        </w:rPr>
      </w:pPr>
      <w:r>
        <w:rPr>
          <w:rFonts w:ascii="Arial" w:cs="Arial" w:eastAsia="Arial" w:hAnsi="Arial"/>
          <w:sz w:val="12"/>
          <w:szCs w:val="12"/>
          <w:b w:val="1"/>
          <w:bCs w:val="1"/>
          <w:color w:val="666666"/>
        </w:rPr>
        <w:t>2018 PROXY STATEMENT</w:t>
      </w:r>
    </w:p>
    <w:p>
      <w:pPr>
        <w:sectPr>
          <w:pgSz w:w="11900" w:h="16838" w:orient="portrait"/>
          <w:cols w:equalWidth="0" w:num="1">
            <w:col w:w="11140"/>
          </w:cols>
          <w:pgMar w:left="240" w:top="454" w:right="5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7549"/>
        </w:rPr>
        <w:t xml:space="preserve">Proposal 1: Election of Directors </w:t>
      </w:r>
      <w:r>
        <w:rPr>
          <w:rFonts w:ascii="Arial" w:cs="Arial" w:eastAsia="Arial" w:hAnsi="Arial"/>
          <w:sz w:val="16"/>
          <w:szCs w:val="16"/>
          <w:b w:val="1"/>
          <w:bCs w:val="1"/>
          <w:color w:val="000000"/>
        </w:rPr>
        <w:t>+ Ownership of Voting Securities by Certain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55245</wp:posOffset>
            </wp:positionV>
            <wp:extent cx="68935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388" w:lineRule="exact"/>
        <w:rPr>
          <w:sz w:val="20"/>
          <w:szCs w:val="20"/>
          <w:color w:val="auto"/>
        </w:rPr>
      </w:pPr>
    </w:p>
    <w:p>
      <w:pPr>
        <w:ind w:left="1140" w:hanging="322"/>
        <w:spacing w:after="0"/>
        <w:tabs>
          <w:tab w:leader="none" w:pos="11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28,753 shares held by a family liability company controlled by Mr. Hess, as to which Mr. Hess has sole voting power and dispositive power;</w:t>
      </w:r>
    </w:p>
    <w:p>
      <w:pPr>
        <w:spacing w:after="0" w:line="122" w:lineRule="exact"/>
        <w:rPr>
          <w:rFonts w:ascii="Arial" w:cs="Arial" w:eastAsia="Arial" w:hAnsi="Arial"/>
          <w:sz w:val="16"/>
          <w:szCs w:val="16"/>
          <w:color w:val="auto"/>
        </w:rPr>
      </w:pPr>
    </w:p>
    <w:p>
      <w:pPr>
        <w:ind w:left="1140" w:hanging="322"/>
        <w:spacing w:after="0" w:line="254" w:lineRule="auto"/>
        <w:tabs>
          <w:tab w:leader="none" w:pos="11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951,186 shares underlying options to purchase common stock, as to which Mr. Hess has no voting or dispositive power until they are acquired upon exercise of the options;</w:t>
      </w:r>
    </w:p>
    <w:p>
      <w:pPr>
        <w:spacing w:after="0" w:line="102" w:lineRule="exact"/>
        <w:rPr>
          <w:rFonts w:ascii="Arial" w:cs="Arial" w:eastAsia="Arial" w:hAnsi="Arial"/>
          <w:sz w:val="16"/>
          <w:szCs w:val="16"/>
          <w:color w:val="auto"/>
        </w:rPr>
      </w:pPr>
    </w:p>
    <w:p>
      <w:pPr>
        <w:ind w:left="1140" w:hanging="322"/>
        <w:spacing w:after="0"/>
        <w:tabs>
          <w:tab w:leader="none" w:pos="11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62,479 shares vested in the name of Mr. Hess under the employees’ savings plan as to which he has sole voting and dispositive power;</w:t>
      </w:r>
    </w:p>
    <w:p>
      <w:pPr>
        <w:spacing w:after="0" w:line="122" w:lineRule="exact"/>
        <w:rPr>
          <w:rFonts w:ascii="Arial" w:cs="Arial" w:eastAsia="Arial" w:hAnsi="Arial"/>
          <w:sz w:val="16"/>
          <w:szCs w:val="16"/>
          <w:color w:val="auto"/>
        </w:rPr>
      </w:pPr>
    </w:p>
    <w:p>
      <w:pPr>
        <w:ind w:left="1140" w:hanging="322"/>
        <w:spacing w:after="0" w:line="254" w:lineRule="auto"/>
        <w:tabs>
          <w:tab w:leader="none" w:pos="11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1,008,401 shares held by a trust for the benefit of Mr. Hess, of which he and Mr. Goodwillie are co-trustees, as to which Mr. Hess has sole voting power and shares dispositive power with Mr. Goodwillie;</w:t>
      </w:r>
    </w:p>
    <w:p>
      <w:pPr>
        <w:spacing w:after="0" w:line="102" w:lineRule="exact"/>
        <w:rPr>
          <w:rFonts w:ascii="Arial" w:cs="Arial" w:eastAsia="Arial" w:hAnsi="Arial"/>
          <w:sz w:val="16"/>
          <w:szCs w:val="16"/>
          <w:color w:val="auto"/>
        </w:rPr>
      </w:pPr>
    </w:p>
    <w:p>
      <w:pPr>
        <w:jc w:val="both"/>
        <w:ind w:left="1140" w:hanging="322"/>
        <w:spacing w:after="0" w:line="246" w:lineRule="auto"/>
        <w:tabs>
          <w:tab w:leader="none" w:pos="11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252,509 shares held by six trusts of which Mr. Hess is co-trustee. 121,383 shares of these shares as to which Mr. Hess has sole voting and shares dispositive power with Mr. Goodwillie; 65,466 shares representing shares of common stock issuable upon conversion of the company’s mandatory convertible preferred stock, as to which upon conversion of the preferred stock, Mr. Hess will have sole voting power and share dispositive power with Mr. Goodwillie; and the remaining 65,660 shares as to which he shares voting and dispositive power;</w:t>
      </w:r>
    </w:p>
    <w:p>
      <w:pPr>
        <w:spacing w:after="0" w:line="110" w:lineRule="exact"/>
        <w:rPr>
          <w:rFonts w:ascii="Arial" w:cs="Arial" w:eastAsia="Arial" w:hAnsi="Arial"/>
          <w:sz w:val="16"/>
          <w:szCs w:val="16"/>
          <w:color w:val="auto"/>
        </w:rPr>
      </w:pPr>
    </w:p>
    <w:p>
      <w:pPr>
        <w:jc w:val="both"/>
        <w:ind w:left="1140" w:hanging="322"/>
        <w:spacing w:after="0" w:line="245" w:lineRule="auto"/>
        <w:tabs>
          <w:tab w:leader="none" w:pos="11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2,371,878 shares held by Mr. Hess’ siblings or their children, or by trusts for the benefit of Mr. Hess’ siblings or their children, as to which Mr. Hess has sole voting power pursuant to shareholders agreements among Mr. Hess and his siblings or their children and as to 973,319 shares of which he shares dispositive power pursuant to a shareholder’s agreement among Mr. Hess and a sibling and others. 100,000 of these shares (representing less than 0.1% of Hess common stock outstanding) have been pledged by certain of the trusts. Mr. Hess is not a trustee of these trusts and has no financial or economic interest in the shares pledged by the trusts;</w:t>
      </w:r>
    </w:p>
    <w:p>
      <w:pPr>
        <w:spacing w:after="0" w:line="111" w:lineRule="exact"/>
        <w:rPr>
          <w:rFonts w:ascii="Arial" w:cs="Arial" w:eastAsia="Arial" w:hAnsi="Arial"/>
          <w:sz w:val="16"/>
          <w:szCs w:val="16"/>
          <w:color w:val="auto"/>
        </w:rPr>
      </w:pPr>
    </w:p>
    <w:p>
      <w:pPr>
        <w:ind w:left="1140" w:hanging="322"/>
        <w:spacing w:after="0"/>
        <w:tabs>
          <w:tab w:leader="none" w:pos="11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1,008,402 shares held by a trust for the benefit of Mr. Hess’ sibling, of which Mr. Hess has sole voting and shared dispositive power;</w:t>
      </w:r>
    </w:p>
    <w:p>
      <w:pPr>
        <w:spacing w:after="0" w:line="122" w:lineRule="exact"/>
        <w:rPr>
          <w:rFonts w:ascii="Arial" w:cs="Arial" w:eastAsia="Arial" w:hAnsi="Arial"/>
          <w:sz w:val="16"/>
          <w:szCs w:val="16"/>
          <w:color w:val="auto"/>
        </w:rPr>
      </w:pPr>
    </w:p>
    <w:p>
      <w:pPr>
        <w:jc w:val="both"/>
        <w:ind w:left="1140" w:hanging="322"/>
        <w:spacing w:after="0" w:line="248" w:lineRule="auto"/>
        <w:tabs>
          <w:tab w:leader="none" w:pos="11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2,885,946 shares held by trusts as to which Mr. Hess has sole voting power. 1,674,237 of these shares (representing 0.5% of Hess common stock outstanding) have been pledged by certain of the trusts. Mr. Hess is not a trustee of these trusts and has no financial or economic interest in the shares pledged by the trusts; and</w:t>
      </w:r>
    </w:p>
    <w:p>
      <w:pPr>
        <w:spacing w:after="0" w:line="108" w:lineRule="exact"/>
        <w:rPr>
          <w:rFonts w:ascii="Arial" w:cs="Arial" w:eastAsia="Arial" w:hAnsi="Arial"/>
          <w:sz w:val="16"/>
          <w:szCs w:val="16"/>
          <w:color w:val="auto"/>
        </w:rPr>
      </w:pPr>
    </w:p>
    <w:p>
      <w:pPr>
        <w:ind w:left="1140" w:hanging="322"/>
        <w:spacing w:after="0" w:line="254" w:lineRule="auto"/>
        <w:tabs>
          <w:tab w:leader="none" w:pos="11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218,222 shares beneficially owned by Mr. Hess, which represent shares of common stock issuable upon conversion of the company’s mandatory convertible preferred stock; as to which Mr. Hess will have sole voting and dispositive power upon conversion.</w:t>
      </w:r>
    </w:p>
    <w:p>
      <w:pPr>
        <w:spacing w:after="0" w:line="102" w:lineRule="exact"/>
        <w:rPr>
          <w:rFonts w:ascii="Arial" w:cs="Arial" w:eastAsia="Arial" w:hAnsi="Arial"/>
          <w:sz w:val="16"/>
          <w:szCs w:val="16"/>
          <w:color w:val="auto"/>
        </w:rPr>
      </w:pPr>
    </w:p>
    <w:p>
      <w:pPr>
        <w:ind w:left="600" w:hanging="314"/>
        <w:spacing w:after="0" w:line="254" w:lineRule="auto"/>
        <w:tabs>
          <w:tab w:leader="none" w:pos="6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This amount includes 112,248 shares held directly by Mr. Brady, as to which he has sole voting and dispositive power. This amount also includes 4,983 shares held by a trust of which Mr. Brady is a co-trustee as to which Mr. Brady shares voting and dispositive power.</w:t>
      </w:r>
    </w:p>
    <w:p>
      <w:pPr>
        <w:spacing w:after="0" w:line="102" w:lineRule="exact"/>
        <w:rPr>
          <w:rFonts w:ascii="Arial" w:cs="Arial" w:eastAsia="Arial" w:hAnsi="Arial"/>
          <w:sz w:val="16"/>
          <w:szCs w:val="16"/>
          <w:color w:val="auto"/>
        </w:rPr>
      </w:pPr>
    </w:p>
    <w:p>
      <w:pPr>
        <w:ind w:left="600" w:hanging="314"/>
        <w:spacing w:after="0"/>
        <w:tabs>
          <w:tab w:leader="none" w:pos="6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This amount includes 39,458 shares held directly by Mr. Kean, as to which he has sole voting and dispositive power.</w:t>
      </w:r>
    </w:p>
    <w:p>
      <w:pPr>
        <w:spacing w:after="0" w:line="122" w:lineRule="exact"/>
        <w:rPr>
          <w:rFonts w:ascii="Arial" w:cs="Arial" w:eastAsia="Arial" w:hAnsi="Arial"/>
          <w:sz w:val="16"/>
          <w:szCs w:val="16"/>
          <w:color w:val="auto"/>
        </w:rPr>
      </w:pPr>
    </w:p>
    <w:p>
      <w:pPr>
        <w:jc w:val="both"/>
        <w:ind w:left="600" w:hanging="314"/>
        <w:spacing w:after="0" w:line="248" w:lineRule="auto"/>
        <w:tabs>
          <w:tab w:leader="none" w:pos="6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This amount includes (w) 392,220 shares over which The Vanguard Group has sole voting power, (x) 29,803,153 shares over which The Vanguard Group. has sole dispositive power, (y) 57,903 shares over which The Vanguard Group has shared voting power and (z) 432,421 shares over which The Vanguard Group has shared dispositive power.</w:t>
      </w:r>
    </w:p>
    <w:p>
      <w:pPr>
        <w:spacing w:after="0" w:line="108" w:lineRule="exact"/>
        <w:rPr>
          <w:rFonts w:ascii="Arial" w:cs="Arial" w:eastAsia="Arial" w:hAnsi="Arial"/>
          <w:sz w:val="16"/>
          <w:szCs w:val="16"/>
          <w:color w:val="auto"/>
        </w:rPr>
      </w:pPr>
    </w:p>
    <w:p>
      <w:pPr>
        <w:ind w:left="600" w:right="20" w:hanging="314"/>
        <w:spacing w:after="0" w:line="254" w:lineRule="auto"/>
        <w:tabs>
          <w:tab w:leader="none" w:pos="6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This amount includes (y) 24,513,681 shares over which Blackrock, Inc. has sole voting power and (z) 27,149,855 shares over which BlackRock, Inc. has sole dispositive power. The shares are held by subsidiaries of Blackrock, Inc.</w:t>
      </w:r>
    </w:p>
    <w:p>
      <w:pPr>
        <w:spacing w:after="0" w:line="102" w:lineRule="exact"/>
        <w:rPr>
          <w:rFonts w:ascii="Arial" w:cs="Arial" w:eastAsia="Arial" w:hAnsi="Arial"/>
          <w:sz w:val="16"/>
          <w:szCs w:val="16"/>
          <w:color w:val="auto"/>
        </w:rPr>
      </w:pPr>
    </w:p>
    <w:p>
      <w:pPr>
        <w:ind w:left="600" w:hanging="314"/>
        <w:spacing w:after="0" w:line="254" w:lineRule="auto"/>
        <w:tabs>
          <w:tab w:leader="none" w:pos="6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This amount includes (y) 8,382,502 shares over which T. Rowe Price Associates, Inc. has sole voting power and (z) 22,865,123 shares over which T. Rowe Price Associates, Inc. has sole dispositive power.</w:t>
      </w:r>
    </w:p>
    <w:p>
      <w:pPr>
        <w:spacing w:after="0" w:line="102" w:lineRule="exact"/>
        <w:rPr>
          <w:rFonts w:ascii="Arial" w:cs="Arial" w:eastAsia="Arial" w:hAnsi="Arial"/>
          <w:sz w:val="16"/>
          <w:szCs w:val="16"/>
          <w:color w:val="auto"/>
        </w:rPr>
      </w:pPr>
    </w:p>
    <w:p>
      <w:pPr>
        <w:jc w:val="both"/>
        <w:ind w:left="600" w:hanging="314"/>
        <w:spacing w:after="0" w:line="246" w:lineRule="auto"/>
        <w:tabs>
          <w:tab w:leader="none" w:pos="6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This amount includes (y) 8,862,279 shares, including 96,000 shares issuable upon exercise of options, held by Elliott Associates, L.P., which has sole voting and dispositive power with respect to such shares and (z) 12,557,021 shares, including 204,000 shares issuable upon exercise of options, collectively held by Elliott International, L.P. and Elliott International Capital Advisors, Inc., both of which share voting and dispositive power of such shares.</w:t>
      </w:r>
    </w:p>
    <w:p>
      <w:pPr>
        <w:spacing w:after="0" w:line="110" w:lineRule="exact"/>
        <w:rPr>
          <w:rFonts w:ascii="Arial" w:cs="Arial" w:eastAsia="Arial" w:hAnsi="Arial"/>
          <w:sz w:val="16"/>
          <w:szCs w:val="16"/>
          <w:color w:val="auto"/>
        </w:rPr>
      </w:pPr>
    </w:p>
    <w:p>
      <w:pPr>
        <w:jc w:val="both"/>
        <w:ind w:left="600" w:hanging="314"/>
        <w:spacing w:after="0" w:line="248" w:lineRule="auto"/>
        <w:tabs>
          <w:tab w:leader="none" w:pos="6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This amount includes (y) 7,858,839 shares, collectively held by Wellington Management Group LLP, Wellington Group Holdings LLP, Wellington Investments Advisors Holdings LLP, all of which have shared voting power and (z) 17,577,770 shares, collectively held by Wellington Management Group LLP, Wellington Group Holdings LLP and Wellington Investment Advisors Holdings LLP, all of which have shared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84455</wp:posOffset>
            </wp:positionV>
            <wp:extent cx="405765" cy="2451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206" w:lineRule="exact"/>
        <w:rPr>
          <w:sz w:val="20"/>
          <w:szCs w:val="20"/>
          <w:color w:val="auto"/>
        </w:rPr>
      </w:pPr>
    </w:p>
    <w:tbl>
      <w:tblPr>
        <w:tblLayout w:type="fixed"/>
        <w:tblInd w:w="9140" w:type="dxa"/>
        <w:tblCellMar>
          <w:top w:w="0" w:type="dxa"/>
          <w:left w:w="0" w:type="dxa"/>
          <w:bottom w:w="0" w:type="dxa"/>
          <w:right w:w="0" w:type="dxa"/>
        </w:tblCellMar>
      </w:tblPr>
      <w:tr>
        <w:trPr>
          <w:trHeight w:val="188"/>
        </w:trPr>
        <w:tc>
          <w:tcPr>
            <w:tcW w:w="1680" w:type="dxa"/>
            <w:vAlign w:val="bottom"/>
          </w:tcPr>
          <w:p>
            <w:pPr>
              <w:spacing w:after="0"/>
              <w:rPr>
                <w:sz w:val="20"/>
                <w:szCs w:val="20"/>
                <w:color w:val="auto"/>
              </w:rPr>
            </w:pPr>
            <w:r>
              <w:rPr>
                <w:rFonts w:ascii="Arial" w:cs="Arial" w:eastAsia="Arial" w:hAnsi="Arial"/>
                <w:sz w:val="12"/>
                <w:szCs w:val="12"/>
                <w:b w:val="1"/>
                <w:bCs w:val="1"/>
                <w:color w:val="666666"/>
              </w:rPr>
              <w:t>2018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007549"/>
              </w:rPr>
              <w:t>17</w:t>
            </w:r>
          </w:p>
        </w:tc>
      </w:tr>
    </w:tbl>
    <w:p>
      <w:pPr>
        <w:sectPr>
          <w:pgSz w:w="11900" w:h="16838" w:orient="portrait"/>
          <w:cols w:equalWidth="0" w:num="1">
            <w:col w:w="11140"/>
          </w:cols>
          <w:pgMar w:left="240" w:top="454" w:right="5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007549"/>
        </w:rPr>
        <w:t xml:space="preserve">Proposal 1: Election of Directors </w:t>
      </w:r>
      <w:r>
        <w:rPr>
          <w:rFonts w:ascii="Arial" w:cs="Arial" w:eastAsia="Arial" w:hAnsi="Arial"/>
          <w:sz w:val="16"/>
          <w:szCs w:val="16"/>
          <w:b w:val="1"/>
          <w:bCs w:val="1"/>
          <w:color w:val="000000"/>
        </w:rPr>
        <w:t>+ Ownership of Equity Securities by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55245</wp:posOffset>
            </wp:positionV>
            <wp:extent cx="68935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238"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333333"/>
        </w:rPr>
        <w:t>Ownership of Equity Securities by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63500</wp:posOffset>
            </wp:positionV>
            <wp:extent cx="68935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159" w:lineRule="exact"/>
        <w:rPr>
          <w:sz w:val="20"/>
          <w:szCs w:val="20"/>
          <w:color w:val="auto"/>
        </w:rPr>
      </w:pPr>
    </w:p>
    <w:p>
      <w:pPr>
        <w:jc w:val="both"/>
        <w:ind w:left="280"/>
        <w:spacing w:after="0" w:line="234" w:lineRule="auto"/>
        <w:rPr>
          <w:sz w:val="20"/>
          <w:szCs w:val="20"/>
          <w:color w:val="auto"/>
        </w:rPr>
      </w:pPr>
      <w:r>
        <w:rPr>
          <w:rFonts w:ascii="Arial" w:cs="Arial" w:eastAsia="Arial" w:hAnsi="Arial"/>
          <w:sz w:val="18"/>
          <w:szCs w:val="18"/>
          <w:color w:val="auto"/>
        </w:rPr>
        <w:t>The table below sets forth as to each director, nominee and named executive officer, and all directors, nominees and executive officers as a group, information regarding their ownership of equity securities of the company on March 8, 2018. The persons listed below have sole voting and investment power as to all shares indicated except as set forth in the footnotes to the table. Where no information appears in the column “Percent of outstanding shares of common stock owned,” the securities held represent less than 1% of the common stock outstanding.</w:t>
      </w:r>
    </w:p>
    <w:p>
      <w:pPr>
        <w:spacing w:after="0" w:line="188"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3540" w:type="dxa"/>
            <w:vAlign w:val="bottom"/>
            <w:shd w:val="clear" w:color="auto" w:fill="007549"/>
          </w:tcPr>
          <w:p>
            <w:pPr>
              <w:spacing w:after="0"/>
              <w:rPr>
                <w:sz w:val="14"/>
                <w:szCs w:val="14"/>
                <w:color w:val="auto"/>
              </w:rPr>
            </w:pPr>
          </w:p>
        </w:tc>
        <w:tc>
          <w:tcPr>
            <w:tcW w:w="2740" w:type="dxa"/>
            <w:vAlign w:val="bottom"/>
            <w:shd w:val="clear" w:color="auto" w:fill="007549"/>
          </w:tcPr>
          <w:p>
            <w:pPr>
              <w:spacing w:after="0"/>
              <w:rPr>
                <w:sz w:val="14"/>
                <w:szCs w:val="14"/>
                <w:color w:val="auto"/>
              </w:rPr>
            </w:pPr>
          </w:p>
        </w:tc>
        <w:tc>
          <w:tcPr>
            <w:tcW w:w="2240" w:type="dxa"/>
            <w:vAlign w:val="bottom"/>
            <w:shd w:val="clear" w:color="auto" w:fill="007549"/>
          </w:tcPr>
          <w:p>
            <w:pPr>
              <w:jc w:val="center"/>
              <w:spacing w:after="0"/>
              <w:rPr>
                <w:sz w:val="20"/>
                <w:szCs w:val="20"/>
                <w:color w:val="auto"/>
              </w:rPr>
            </w:pPr>
            <w:r>
              <w:rPr>
                <w:rFonts w:ascii="Arial" w:cs="Arial" w:eastAsia="Arial" w:hAnsi="Arial"/>
                <w:sz w:val="14"/>
                <w:szCs w:val="14"/>
                <w:b w:val="1"/>
                <w:bCs w:val="1"/>
                <w:color w:val="FFFFFF"/>
              </w:rPr>
              <w:t>Percent of</w:t>
            </w:r>
          </w:p>
        </w:tc>
        <w:tc>
          <w:tcPr>
            <w:tcW w:w="2340" w:type="dxa"/>
            <w:vAlign w:val="bottom"/>
            <w:vMerge w:val="restart"/>
            <w:shd w:val="clear" w:color="auto" w:fill="007549"/>
          </w:tcPr>
          <w:p>
            <w:pPr>
              <w:jc w:val="center"/>
              <w:ind w:left="115"/>
              <w:spacing w:after="0"/>
              <w:rPr>
                <w:sz w:val="20"/>
                <w:szCs w:val="20"/>
                <w:color w:val="auto"/>
              </w:rPr>
            </w:pPr>
            <w:r>
              <w:rPr>
                <w:rFonts w:ascii="Arial" w:cs="Arial" w:eastAsia="Arial" w:hAnsi="Arial"/>
                <w:sz w:val="14"/>
                <w:szCs w:val="14"/>
                <w:b w:val="1"/>
                <w:bCs w:val="1"/>
                <w:color w:val="FFFFFF"/>
              </w:rPr>
              <w:t>Of total number of</w:t>
            </w:r>
          </w:p>
        </w:tc>
        <w:tc>
          <w:tcPr>
            <w:tcW w:w="0" w:type="dxa"/>
            <w:vAlign w:val="bottom"/>
          </w:tcPr>
          <w:p>
            <w:pPr>
              <w:spacing w:after="0"/>
              <w:rPr>
                <w:sz w:val="1"/>
                <w:szCs w:val="1"/>
                <w:color w:val="auto"/>
              </w:rPr>
            </w:pPr>
          </w:p>
        </w:tc>
      </w:tr>
      <w:tr>
        <w:trPr>
          <w:trHeight w:val="146"/>
        </w:trPr>
        <w:tc>
          <w:tcPr>
            <w:tcW w:w="3540" w:type="dxa"/>
            <w:vAlign w:val="bottom"/>
            <w:shd w:val="clear" w:color="auto" w:fill="007549"/>
          </w:tcPr>
          <w:p>
            <w:pPr>
              <w:spacing w:after="0"/>
              <w:rPr>
                <w:sz w:val="12"/>
                <w:szCs w:val="12"/>
                <w:color w:val="auto"/>
              </w:rPr>
            </w:pPr>
          </w:p>
        </w:tc>
        <w:tc>
          <w:tcPr>
            <w:tcW w:w="2740" w:type="dxa"/>
            <w:vAlign w:val="bottom"/>
            <w:shd w:val="clear" w:color="auto" w:fill="007549"/>
          </w:tcPr>
          <w:p>
            <w:pPr>
              <w:jc w:val="center"/>
              <w:spacing w:after="0" w:line="147" w:lineRule="exact"/>
              <w:rPr>
                <w:sz w:val="20"/>
                <w:szCs w:val="20"/>
                <w:color w:val="auto"/>
              </w:rPr>
            </w:pPr>
            <w:r>
              <w:rPr>
                <w:rFonts w:ascii="Arial" w:cs="Arial" w:eastAsia="Arial" w:hAnsi="Arial"/>
                <w:sz w:val="14"/>
                <w:szCs w:val="14"/>
                <w:b w:val="1"/>
                <w:bCs w:val="1"/>
                <w:color w:val="FFFFFF"/>
              </w:rPr>
              <w:t>Total number of shares</w:t>
            </w:r>
          </w:p>
        </w:tc>
        <w:tc>
          <w:tcPr>
            <w:tcW w:w="2240" w:type="dxa"/>
            <w:vAlign w:val="bottom"/>
            <w:shd w:val="clear" w:color="auto" w:fill="007549"/>
          </w:tcPr>
          <w:p>
            <w:pPr>
              <w:jc w:val="center"/>
              <w:spacing w:after="0" w:line="147" w:lineRule="exact"/>
              <w:rPr>
                <w:sz w:val="20"/>
                <w:szCs w:val="20"/>
                <w:color w:val="auto"/>
              </w:rPr>
            </w:pPr>
            <w:r>
              <w:rPr>
                <w:rFonts w:ascii="Arial" w:cs="Arial" w:eastAsia="Arial" w:hAnsi="Arial"/>
                <w:sz w:val="14"/>
                <w:szCs w:val="14"/>
                <w:b w:val="1"/>
                <w:bCs w:val="1"/>
                <w:color w:val="FFFFFF"/>
              </w:rPr>
              <w:t>outstanding</w:t>
            </w:r>
          </w:p>
        </w:tc>
        <w:tc>
          <w:tcPr>
            <w:tcW w:w="2340" w:type="dxa"/>
            <w:vAlign w:val="bottom"/>
            <w:vMerge w:val="continue"/>
            <w:shd w:val="clear" w:color="auto" w:fill="007549"/>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540" w:type="dxa"/>
            <w:vAlign w:val="bottom"/>
            <w:shd w:val="clear" w:color="auto" w:fill="007549"/>
          </w:tcPr>
          <w:p>
            <w:pPr>
              <w:spacing w:after="0"/>
              <w:rPr>
                <w:sz w:val="13"/>
                <w:szCs w:val="13"/>
                <w:color w:val="auto"/>
              </w:rPr>
            </w:pPr>
          </w:p>
        </w:tc>
        <w:tc>
          <w:tcPr>
            <w:tcW w:w="2740" w:type="dxa"/>
            <w:vAlign w:val="bottom"/>
            <w:shd w:val="clear" w:color="auto" w:fill="007549"/>
          </w:tcPr>
          <w:p>
            <w:pPr>
              <w:jc w:val="center"/>
              <w:spacing w:after="0" w:line="160" w:lineRule="exact"/>
              <w:rPr>
                <w:sz w:val="20"/>
                <w:szCs w:val="20"/>
                <w:color w:val="auto"/>
              </w:rPr>
            </w:pPr>
            <w:r>
              <w:rPr>
                <w:rFonts w:ascii="Arial" w:cs="Arial" w:eastAsia="Arial" w:hAnsi="Arial"/>
                <w:sz w:val="14"/>
                <w:szCs w:val="14"/>
                <w:b w:val="1"/>
                <w:bCs w:val="1"/>
                <w:color w:val="FFFFFF"/>
              </w:rPr>
              <w:t>beneficially owned</w:t>
            </w:r>
          </w:p>
        </w:tc>
        <w:tc>
          <w:tcPr>
            <w:tcW w:w="2240" w:type="dxa"/>
            <w:vAlign w:val="bottom"/>
            <w:shd w:val="clear" w:color="auto" w:fill="007549"/>
          </w:tcPr>
          <w:p>
            <w:pPr>
              <w:jc w:val="center"/>
              <w:spacing w:after="0" w:line="160" w:lineRule="exact"/>
              <w:rPr>
                <w:sz w:val="20"/>
                <w:szCs w:val="20"/>
                <w:color w:val="auto"/>
              </w:rPr>
            </w:pPr>
            <w:r>
              <w:rPr>
                <w:rFonts w:ascii="Arial" w:cs="Arial" w:eastAsia="Arial" w:hAnsi="Arial"/>
                <w:sz w:val="14"/>
                <w:szCs w:val="14"/>
                <w:b w:val="1"/>
                <w:bCs w:val="1"/>
                <w:color w:val="FFFFFF"/>
                <w:w w:val="99"/>
              </w:rPr>
              <w:t>shares of</w:t>
            </w:r>
          </w:p>
        </w:tc>
        <w:tc>
          <w:tcPr>
            <w:tcW w:w="2340" w:type="dxa"/>
            <w:vAlign w:val="bottom"/>
            <w:shd w:val="clear" w:color="auto" w:fill="007549"/>
          </w:tcPr>
          <w:p>
            <w:pPr>
              <w:jc w:val="center"/>
              <w:ind w:left="115"/>
              <w:spacing w:after="0" w:line="160" w:lineRule="exact"/>
              <w:rPr>
                <w:sz w:val="20"/>
                <w:szCs w:val="20"/>
                <w:color w:val="auto"/>
              </w:rPr>
            </w:pPr>
            <w:r>
              <w:rPr>
                <w:rFonts w:ascii="Arial" w:cs="Arial" w:eastAsia="Arial" w:hAnsi="Arial"/>
                <w:sz w:val="14"/>
                <w:szCs w:val="14"/>
                <w:b w:val="1"/>
                <w:bCs w:val="1"/>
                <w:color w:val="FFFFFF"/>
              </w:rPr>
              <w:t>shares beneficially</w:t>
            </w:r>
          </w:p>
        </w:tc>
        <w:tc>
          <w:tcPr>
            <w:tcW w:w="0" w:type="dxa"/>
            <w:vAlign w:val="bottom"/>
          </w:tcPr>
          <w:p>
            <w:pPr>
              <w:spacing w:after="0"/>
              <w:rPr>
                <w:sz w:val="1"/>
                <w:szCs w:val="1"/>
                <w:color w:val="auto"/>
              </w:rPr>
            </w:pPr>
          </w:p>
        </w:tc>
      </w:tr>
      <w:tr>
        <w:trPr>
          <w:trHeight w:val="160"/>
        </w:trPr>
        <w:tc>
          <w:tcPr>
            <w:tcW w:w="3540" w:type="dxa"/>
            <w:vAlign w:val="bottom"/>
            <w:shd w:val="clear" w:color="auto" w:fill="007549"/>
          </w:tcPr>
          <w:p>
            <w:pPr>
              <w:spacing w:after="0"/>
              <w:rPr>
                <w:sz w:val="13"/>
                <w:szCs w:val="13"/>
                <w:color w:val="auto"/>
              </w:rPr>
            </w:pPr>
          </w:p>
        </w:tc>
        <w:tc>
          <w:tcPr>
            <w:tcW w:w="2740" w:type="dxa"/>
            <w:vAlign w:val="bottom"/>
            <w:shd w:val="clear" w:color="auto" w:fill="007549"/>
          </w:tcPr>
          <w:p>
            <w:pPr>
              <w:jc w:val="center"/>
              <w:spacing w:after="0" w:line="160" w:lineRule="exact"/>
              <w:rPr>
                <w:sz w:val="20"/>
                <w:szCs w:val="20"/>
                <w:color w:val="auto"/>
              </w:rPr>
            </w:pPr>
            <w:r>
              <w:rPr>
                <w:rFonts w:ascii="Arial" w:cs="Arial" w:eastAsia="Arial" w:hAnsi="Arial"/>
                <w:sz w:val="14"/>
                <w:szCs w:val="14"/>
                <w:b w:val="1"/>
                <w:bCs w:val="1"/>
                <w:color w:val="FFFFFF"/>
              </w:rPr>
              <w:t>and nature of</w:t>
            </w:r>
          </w:p>
        </w:tc>
        <w:tc>
          <w:tcPr>
            <w:tcW w:w="2240" w:type="dxa"/>
            <w:vAlign w:val="bottom"/>
            <w:shd w:val="clear" w:color="auto" w:fill="007549"/>
          </w:tcPr>
          <w:p>
            <w:pPr>
              <w:jc w:val="center"/>
              <w:spacing w:after="0" w:line="160" w:lineRule="exact"/>
              <w:rPr>
                <w:sz w:val="20"/>
                <w:szCs w:val="20"/>
                <w:color w:val="auto"/>
              </w:rPr>
            </w:pPr>
            <w:r>
              <w:rPr>
                <w:rFonts w:ascii="Arial" w:cs="Arial" w:eastAsia="Arial" w:hAnsi="Arial"/>
                <w:sz w:val="14"/>
                <w:szCs w:val="14"/>
                <w:b w:val="1"/>
                <w:bCs w:val="1"/>
                <w:color w:val="FFFFFF"/>
              </w:rPr>
              <w:t>common stock</w:t>
            </w:r>
          </w:p>
        </w:tc>
        <w:tc>
          <w:tcPr>
            <w:tcW w:w="2340" w:type="dxa"/>
            <w:vAlign w:val="bottom"/>
            <w:shd w:val="clear" w:color="auto" w:fill="007549"/>
          </w:tcPr>
          <w:p>
            <w:pPr>
              <w:jc w:val="center"/>
              <w:ind w:left="115"/>
              <w:spacing w:after="0" w:line="160" w:lineRule="exact"/>
              <w:rPr>
                <w:sz w:val="20"/>
                <w:szCs w:val="20"/>
                <w:color w:val="auto"/>
              </w:rPr>
            </w:pPr>
            <w:r>
              <w:rPr>
                <w:rFonts w:ascii="Arial" w:cs="Arial" w:eastAsia="Arial" w:hAnsi="Arial"/>
                <w:sz w:val="14"/>
                <w:szCs w:val="14"/>
                <w:b w:val="1"/>
                <w:bCs w:val="1"/>
                <w:color w:val="FFFFFF"/>
              </w:rPr>
              <w:t>owned, number of</w:t>
            </w:r>
          </w:p>
        </w:tc>
        <w:tc>
          <w:tcPr>
            <w:tcW w:w="0" w:type="dxa"/>
            <w:vAlign w:val="bottom"/>
          </w:tcPr>
          <w:p>
            <w:pPr>
              <w:spacing w:after="0"/>
              <w:rPr>
                <w:sz w:val="1"/>
                <w:szCs w:val="1"/>
                <w:color w:val="auto"/>
              </w:rPr>
            </w:pPr>
          </w:p>
        </w:tc>
      </w:tr>
      <w:tr>
        <w:trPr>
          <w:trHeight w:val="186"/>
        </w:trPr>
        <w:tc>
          <w:tcPr>
            <w:tcW w:w="3540" w:type="dxa"/>
            <w:vAlign w:val="bottom"/>
            <w:shd w:val="clear" w:color="auto" w:fill="007549"/>
          </w:tcPr>
          <w:p>
            <w:pPr>
              <w:ind w:left="80"/>
              <w:spacing w:after="0"/>
              <w:rPr>
                <w:sz w:val="20"/>
                <w:szCs w:val="20"/>
                <w:color w:val="auto"/>
              </w:rPr>
            </w:pPr>
            <w:r>
              <w:rPr>
                <w:rFonts w:ascii="Arial" w:cs="Arial" w:eastAsia="Arial" w:hAnsi="Arial"/>
                <w:sz w:val="14"/>
                <w:szCs w:val="14"/>
                <w:b w:val="1"/>
                <w:bCs w:val="1"/>
                <w:color w:val="FFFFFF"/>
              </w:rPr>
              <w:t>Name</w:t>
            </w:r>
          </w:p>
        </w:tc>
        <w:tc>
          <w:tcPr>
            <w:tcW w:w="2740" w:type="dxa"/>
            <w:vAlign w:val="bottom"/>
            <w:shd w:val="clear" w:color="auto" w:fill="007549"/>
          </w:tcPr>
          <w:p>
            <w:pPr>
              <w:jc w:val="center"/>
              <w:spacing w:after="0"/>
              <w:rPr>
                <w:sz w:val="20"/>
                <w:szCs w:val="20"/>
                <w:color w:val="auto"/>
              </w:rPr>
            </w:pPr>
            <w:r>
              <w:rPr>
                <w:rFonts w:ascii="Arial" w:cs="Arial" w:eastAsia="Arial" w:hAnsi="Arial"/>
                <w:sz w:val="14"/>
                <w:szCs w:val="14"/>
                <w:b w:val="1"/>
                <w:bCs w:val="1"/>
                <w:color w:val="FFFFFF"/>
              </w:rPr>
              <w:t>beneficial ownership(a)</w:t>
            </w:r>
          </w:p>
        </w:tc>
        <w:tc>
          <w:tcPr>
            <w:tcW w:w="2240" w:type="dxa"/>
            <w:vAlign w:val="bottom"/>
            <w:shd w:val="clear" w:color="auto" w:fill="007549"/>
          </w:tcPr>
          <w:p>
            <w:pPr>
              <w:jc w:val="center"/>
              <w:spacing w:after="0"/>
              <w:rPr>
                <w:sz w:val="20"/>
                <w:szCs w:val="20"/>
                <w:color w:val="auto"/>
              </w:rPr>
            </w:pPr>
            <w:r>
              <w:rPr>
                <w:rFonts w:ascii="Arial" w:cs="Arial" w:eastAsia="Arial" w:hAnsi="Arial"/>
                <w:sz w:val="14"/>
                <w:szCs w:val="14"/>
                <w:b w:val="1"/>
                <w:bCs w:val="1"/>
                <w:color w:val="FFFFFF"/>
              </w:rPr>
              <w:t>owned</w:t>
            </w:r>
          </w:p>
        </w:tc>
        <w:tc>
          <w:tcPr>
            <w:tcW w:w="2340" w:type="dxa"/>
            <w:vAlign w:val="bottom"/>
            <w:shd w:val="clear" w:color="auto" w:fill="007549"/>
          </w:tcPr>
          <w:p>
            <w:pPr>
              <w:jc w:val="center"/>
              <w:ind w:left="95"/>
              <w:spacing w:after="0"/>
              <w:rPr>
                <w:sz w:val="20"/>
                <w:szCs w:val="20"/>
                <w:color w:val="auto"/>
              </w:rPr>
            </w:pPr>
            <w:r>
              <w:rPr>
                <w:rFonts w:ascii="Arial" w:cs="Arial" w:eastAsia="Arial" w:hAnsi="Arial"/>
                <w:sz w:val="14"/>
                <w:szCs w:val="14"/>
                <w:b w:val="1"/>
                <w:bCs w:val="1"/>
                <w:color w:val="FFFFFF"/>
              </w:rPr>
              <w:t>option shares</w:t>
            </w:r>
          </w:p>
        </w:tc>
        <w:tc>
          <w:tcPr>
            <w:tcW w:w="0" w:type="dxa"/>
            <w:vAlign w:val="bottom"/>
          </w:tcPr>
          <w:p>
            <w:pPr>
              <w:spacing w:after="0"/>
              <w:rPr>
                <w:sz w:val="1"/>
                <w:szCs w:val="1"/>
                <w:color w:val="auto"/>
              </w:rPr>
            </w:pPr>
          </w:p>
        </w:tc>
      </w:tr>
      <w:tr>
        <w:trPr>
          <w:trHeight w:val="266"/>
        </w:trPr>
        <w:tc>
          <w:tcPr>
            <w:tcW w:w="3540" w:type="dxa"/>
            <w:vAlign w:val="bottom"/>
            <w:shd w:val="clear" w:color="auto" w:fill="E5E5E5"/>
          </w:tcPr>
          <w:p>
            <w:pPr>
              <w:ind w:left="80"/>
              <w:spacing w:after="0"/>
              <w:rPr>
                <w:sz w:val="20"/>
                <w:szCs w:val="20"/>
                <w:color w:val="auto"/>
              </w:rPr>
            </w:pPr>
            <w:r>
              <w:rPr>
                <w:rFonts w:ascii="Arial" w:cs="Arial" w:eastAsia="Arial" w:hAnsi="Arial"/>
                <w:sz w:val="18"/>
                <w:szCs w:val="18"/>
                <w:color w:val="auto"/>
              </w:rPr>
              <w:t>Rodney F. Chase</w:t>
            </w:r>
          </w:p>
        </w:tc>
        <w:tc>
          <w:tcPr>
            <w:tcW w:w="2740" w:type="dxa"/>
            <w:vAlign w:val="bottom"/>
            <w:shd w:val="clear" w:color="auto" w:fill="E5E5E5"/>
          </w:tcPr>
          <w:p>
            <w:pPr>
              <w:jc w:val="right"/>
              <w:ind w:right="835"/>
              <w:spacing w:after="0"/>
              <w:rPr>
                <w:sz w:val="20"/>
                <w:szCs w:val="20"/>
                <w:color w:val="auto"/>
              </w:rPr>
            </w:pPr>
            <w:r>
              <w:rPr>
                <w:rFonts w:ascii="Arial" w:cs="Arial" w:eastAsia="Arial" w:hAnsi="Arial"/>
                <w:sz w:val="18"/>
                <w:szCs w:val="18"/>
                <w:color w:val="auto"/>
              </w:rPr>
              <w:t>52,101</w:t>
            </w:r>
          </w:p>
        </w:tc>
        <w:tc>
          <w:tcPr>
            <w:tcW w:w="2240" w:type="dxa"/>
            <w:vAlign w:val="bottom"/>
            <w:shd w:val="clear" w:color="auto" w:fill="E5E5E5"/>
          </w:tcPr>
          <w:p>
            <w:pPr>
              <w:jc w:val="right"/>
              <w:ind w:right="795"/>
              <w:spacing w:after="0"/>
              <w:rPr>
                <w:sz w:val="20"/>
                <w:szCs w:val="20"/>
                <w:color w:val="auto"/>
              </w:rPr>
            </w:pPr>
            <w:r>
              <w:rPr>
                <w:rFonts w:ascii="Arial" w:cs="Arial" w:eastAsia="Arial" w:hAnsi="Arial"/>
                <w:sz w:val="18"/>
                <w:szCs w:val="18"/>
                <w:color w:val="auto"/>
              </w:rPr>
              <w:t>—</w:t>
            </w:r>
          </w:p>
        </w:tc>
        <w:tc>
          <w:tcPr>
            <w:tcW w:w="2340" w:type="dxa"/>
            <w:vAlign w:val="bottom"/>
            <w:shd w:val="clear" w:color="auto" w:fill="E5E5E5"/>
          </w:tcPr>
          <w:p>
            <w:pPr>
              <w:jc w:val="right"/>
              <w:ind w:right="5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9"/>
        </w:trPr>
        <w:tc>
          <w:tcPr>
            <w:tcW w:w="3540" w:type="dxa"/>
            <w:vAlign w:val="bottom"/>
          </w:tcPr>
          <w:p>
            <w:pPr>
              <w:ind w:left="80"/>
              <w:spacing w:after="0"/>
              <w:rPr>
                <w:sz w:val="20"/>
                <w:szCs w:val="20"/>
                <w:color w:val="auto"/>
              </w:rPr>
            </w:pPr>
            <w:r>
              <w:rPr>
                <w:rFonts w:ascii="Arial" w:cs="Arial" w:eastAsia="Arial" w:hAnsi="Arial"/>
                <w:sz w:val="18"/>
                <w:szCs w:val="18"/>
                <w:color w:val="auto"/>
              </w:rPr>
              <w:t>Terrence J. Checki</w:t>
            </w:r>
          </w:p>
        </w:tc>
        <w:tc>
          <w:tcPr>
            <w:tcW w:w="2740" w:type="dxa"/>
            <w:vAlign w:val="bottom"/>
          </w:tcPr>
          <w:p>
            <w:pPr>
              <w:jc w:val="right"/>
              <w:ind w:right="835"/>
              <w:spacing w:after="0"/>
              <w:rPr>
                <w:sz w:val="20"/>
                <w:szCs w:val="20"/>
                <w:color w:val="auto"/>
              </w:rPr>
            </w:pPr>
            <w:r>
              <w:rPr>
                <w:rFonts w:ascii="Arial" w:cs="Arial" w:eastAsia="Arial" w:hAnsi="Arial"/>
                <w:sz w:val="18"/>
                <w:szCs w:val="18"/>
                <w:color w:val="auto"/>
              </w:rPr>
              <w:t>14,639</w:t>
            </w:r>
          </w:p>
        </w:tc>
        <w:tc>
          <w:tcPr>
            <w:tcW w:w="2240" w:type="dxa"/>
            <w:vAlign w:val="bottom"/>
          </w:tcPr>
          <w:p>
            <w:pPr>
              <w:jc w:val="right"/>
              <w:ind w:right="795"/>
              <w:spacing w:after="0"/>
              <w:rPr>
                <w:sz w:val="20"/>
                <w:szCs w:val="20"/>
                <w:color w:val="auto"/>
              </w:rPr>
            </w:pPr>
            <w:r>
              <w:rPr>
                <w:rFonts w:ascii="Arial" w:cs="Arial" w:eastAsia="Arial" w:hAnsi="Arial"/>
                <w:sz w:val="18"/>
                <w:szCs w:val="18"/>
                <w:color w:val="auto"/>
              </w:rPr>
              <w:t>—</w:t>
            </w:r>
          </w:p>
        </w:tc>
        <w:tc>
          <w:tcPr>
            <w:tcW w:w="2340" w:type="dxa"/>
            <w:vAlign w:val="bottom"/>
          </w:tcPr>
          <w:p>
            <w:pPr>
              <w:jc w:val="right"/>
              <w:ind w:right="5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3"/>
        </w:trPr>
        <w:tc>
          <w:tcPr>
            <w:tcW w:w="3540" w:type="dxa"/>
            <w:vAlign w:val="bottom"/>
            <w:shd w:val="clear" w:color="auto" w:fill="E5E5E5"/>
          </w:tcPr>
          <w:p>
            <w:pPr>
              <w:ind w:left="80"/>
              <w:spacing w:after="0"/>
              <w:rPr>
                <w:sz w:val="20"/>
                <w:szCs w:val="20"/>
                <w:color w:val="auto"/>
              </w:rPr>
            </w:pPr>
            <w:r>
              <w:rPr>
                <w:rFonts w:ascii="Arial" w:cs="Arial" w:eastAsia="Arial" w:hAnsi="Arial"/>
                <w:sz w:val="18"/>
                <w:szCs w:val="18"/>
                <w:color w:val="auto"/>
              </w:rPr>
              <w:t>Leonard S. Coleman</w:t>
            </w:r>
          </w:p>
        </w:tc>
        <w:tc>
          <w:tcPr>
            <w:tcW w:w="2740" w:type="dxa"/>
            <w:vAlign w:val="bottom"/>
            <w:shd w:val="clear" w:color="auto" w:fill="E5E5E5"/>
          </w:tcPr>
          <w:p>
            <w:pPr>
              <w:jc w:val="right"/>
              <w:ind w:right="835"/>
              <w:spacing w:after="0"/>
              <w:rPr>
                <w:sz w:val="20"/>
                <w:szCs w:val="20"/>
                <w:color w:val="auto"/>
              </w:rPr>
            </w:pPr>
            <w:r>
              <w:rPr>
                <w:rFonts w:ascii="Arial" w:cs="Arial" w:eastAsia="Arial" w:hAnsi="Arial"/>
                <w:sz w:val="18"/>
                <w:szCs w:val="18"/>
                <w:color w:val="auto"/>
              </w:rPr>
              <w:t>8,096</w:t>
            </w:r>
          </w:p>
        </w:tc>
        <w:tc>
          <w:tcPr>
            <w:tcW w:w="2240" w:type="dxa"/>
            <w:vAlign w:val="bottom"/>
            <w:shd w:val="clear" w:color="auto" w:fill="E5E5E5"/>
          </w:tcPr>
          <w:p>
            <w:pPr>
              <w:jc w:val="right"/>
              <w:ind w:right="795"/>
              <w:spacing w:after="0"/>
              <w:rPr>
                <w:sz w:val="20"/>
                <w:szCs w:val="20"/>
                <w:color w:val="auto"/>
              </w:rPr>
            </w:pPr>
            <w:r>
              <w:rPr>
                <w:rFonts w:ascii="Arial" w:cs="Arial" w:eastAsia="Arial" w:hAnsi="Arial"/>
                <w:sz w:val="18"/>
                <w:szCs w:val="18"/>
                <w:color w:val="auto"/>
              </w:rPr>
              <w:t>—</w:t>
            </w:r>
          </w:p>
        </w:tc>
        <w:tc>
          <w:tcPr>
            <w:tcW w:w="2340" w:type="dxa"/>
            <w:vAlign w:val="bottom"/>
            <w:shd w:val="clear" w:color="auto" w:fill="E5E5E5"/>
          </w:tcPr>
          <w:p>
            <w:pPr>
              <w:jc w:val="right"/>
              <w:ind w:right="5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9"/>
        </w:trPr>
        <w:tc>
          <w:tcPr>
            <w:tcW w:w="3540" w:type="dxa"/>
            <w:vAlign w:val="bottom"/>
          </w:tcPr>
          <w:p>
            <w:pPr>
              <w:ind w:left="80"/>
              <w:spacing w:after="0"/>
              <w:rPr>
                <w:sz w:val="20"/>
                <w:szCs w:val="20"/>
                <w:color w:val="auto"/>
              </w:rPr>
            </w:pPr>
            <w:r>
              <w:rPr>
                <w:rFonts w:ascii="Arial" w:cs="Arial" w:eastAsia="Arial" w:hAnsi="Arial"/>
                <w:sz w:val="18"/>
                <w:szCs w:val="18"/>
                <w:color w:val="auto"/>
              </w:rPr>
              <w:t>Timothy B. Goodell</w:t>
            </w:r>
          </w:p>
        </w:tc>
        <w:tc>
          <w:tcPr>
            <w:tcW w:w="2740" w:type="dxa"/>
            <w:vAlign w:val="bottom"/>
          </w:tcPr>
          <w:p>
            <w:pPr>
              <w:jc w:val="right"/>
              <w:ind w:right="835"/>
              <w:spacing w:after="0"/>
              <w:rPr>
                <w:sz w:val="20"/>
                <w:szCs w:val="20"/>
                <w:color w:val="auto"/>
              </w:rPr>
            </w:pPr>
            <w:r>
              <w:rPr>
                <w:rFonts w:ascii="Arial" w:cs="Arial" w:eastAsia="Arial" w:hAnsi="Arial"/>
                <w:sz w:val="18"/>
                <w:szCs w:val="18"/>
                <w:color w:val="auto"/>
              </w:rPr>
              <w:t>319,931</w:t>
            </w:r>
          </w:p>
        </w:tc>
        <w:tc>
          <w:tcPr>
            <w:tcW w:w="2240" w:type="dxa"/>
            <w:vAlign w:val="bottom"/>
          </w:tcPr>
          <w:p>
            <w:pPr>
              <w:jc w:val="right"/>
              <w:ind w:right="795"/>
              <w:spacing w:after="0"/>
              <w:rPr>
                <w:sz w:val="20"/>
                <w:szCs w:val="20"/>
                <w:color w:val="auto"/>
              </w:rPr>
            </w:pPr>
            <w:r>
              <w:rPr>
                <w:rFonts w:ascii="Arial" w:cs="Arial" w:eastAsia="Arial" w:hAnsi="Arial"/>
                <w:sz w:val="18"/>
                <w:szCs w:val="18"/>
                <w:color w:val="auto"/>
              </w:rPr>
              <w:t>—</w:t>
            </w:r>
          </w:p>
        </w:tc>
        <w:tc>
          <w:tcPr>
            <w:tcW w:w="2340" w:type="dxa"/>
            <w:vAlign w:val="bottom"/>
          </w:tcPr>
          <w:p>
            <w:pPr>
              <w:jc w:val="right"/>
              <w:ind w:right="515"/>
              <w:spacing w:after="0"/>
              <w:rPr>
                <w:sz w:val="20"/>
                <w:szCs w:val="20"/>
                <w:color w:val="auto"/>
              </w:rPr>
            </w:pPr>
            <w:r>
              <w:rPr>
                <w:rFonts w:ascii="Arial" w:cs="Arial" w:eastAsia="Arial" w:hAnsi="Arial"/>
                <w:sz w:val="18"/>
                <w:szCs w:val="18"/>
                <w:color w:val="auto"/>
              </w:rPr>
              <w:t>216,873</w:t>
            </w:r>
          </w:p>
        </w:tc>
        <w:tc>
          <w:tcPr>
            <w:tcW w:w="0" w:type="dxa"/>
            <w:vAlign w:val="bottom"/>
          </w:tcPr>
          <w:p>
            <w:pPr>
              <w:spacing w:after="0"/>
              <w:rPr>
                <w:sz w:val="1"/>
                <w:szCs w:val="1"/>
                <w:color w:val="auto"/>
              </w:rPr>
            </w:pPr>
          </w:p>
        </w:tc>
      </w:tr>
      <w:tr>
        <w:trPr>
          <w:trHeight w:val="273"/>
        </w:trPr>
        <w:tc>
          <w:tcPr>
            <w:tcW w:w="3540" w:type="dxa"/>
            <w:vAlign w:val="bottom"/>
            <w:shd w:val="clear" w:color="auto" w:fill="E5E5E5"/>
          </w:tcPr>
          <w:p>
            <w:pPr>
              <w:ind w:left="80"/>
              <w:spacing w:after="0"/>
              <w:rPr>
                <w:sz w:val="20"/>
                <w:szCs w:val="20"/>
                <w:color w:val="auto"/>
              </w:rPr>
            </w:pPr>
            <w:r>
              <w:rPr>
                <w:rFonts w:ascii="Arial" w:cs="Arial" w:eastAsia="Arial" w:hAnsi="Arial"/>
                <w:sz w:val="18"/>
                <w:szCs w:val="18"/>
                <w:color w:val="auto"/>
              </w:rPr>
              <w:t>John B. Hess</w:t>
            </w:r>
          </w:p>
        </w:tc>
        <w:tc>
          <w:tcPr>
            <w:tcW w:w="2740" w:type="dxa"/>
            <w:vAlign w:val="bottom"/>
            <w:shd w:val="clear" w:color="auto" w:fill="E5E5E5"/>
          </w:tcPr>
          <w:p>
            <w:pPr>
              <w:jc w:val="right"/>
              <w:ind w:right="615"/>
              <w:spacing w:after="0"/>
              <w:rPr>
                <w:sz w:val="20"/>
                <w:szCs w:val="20"/>
                <w:color w:val="auto"/>
              </w:rPr>
            </w:pPr>
            <w:r>
              <w:rPr>
                <w:rFonts w:ascii="Arial" w:cs="Arial" w:eastAsia="Arial" w:hAnsi="Arial"/>
                <w:sz w:val="18"/>
                <w:szCs w:val="18"/>
                <w:color w:val="auto"/>
              </w:rPr>
              <w:t>35,909,537(b)</w:t>
            </w:r>
          </w:p>
        </w:tc>
        <w:tc>
          <w:tcPr>
            <w:tcW w:w="2240" w:type="dxa"/>
            <w:vAlign w:val="bottom"/>
            <w:shd w:val="clear" w:color="auto" w:fill="E5E5E5"/>
          </w:tcPr>
          <w:p>
            <w:pPr>
              <w:jc w:val="right"/>
              <w:ind w:right="795"/>
              <w:spacing w:after="0"/>
              <w:rPr>
                <w:sz w:val="20"/>
                <w:szCs w:val="20"/>
                <w:color w:val="auto"/>
              </w:rPr>
            </w:pPr>
            <w:r>
              <w:rPr>
                <w:rFonts w:ascii="Arial" w:cs="Arial" w:eastAsia="Arial" w:hAnsi="Arial"/>
                <w:sz w:val="18"/>
                <w:szCs w:val="18"/>
                <w:color w:val="auto"/>
              </w:rPr>
              <w:t>11.50</w:t>
            </w:r>
          </w:p>
        </w:tc>
        <w:tc>
          <w:tcPr>
            <w:tcW w:w="2340" w:type="dxa"/>
            <w:vAlign w:val="bottom"/>
            <w:shd w:val="clear" w:color="auto" w:fill="E5E5E5"/>
          </w:tcPr>
          <w:p>
            <w:pPr>
              <w:jc w:val="right"/>
              <w:ind w:right="515"/>
              <w:spacing w:after="0"/>
              <w:rPr>
                <w:sz w:val="20"/>
                <w:szCs w:val="20"/>
                <w:color w:val="auto"/>
              </w:rPr>
            </w:pPr>
            <w:r>
              <w:rPr>
                <w:rFonts w:ascii="Arial" w:cs="Arial" w:eastAsia="Arial" w:hAnsi="Arial"/>
                <w:sz w:val="18"/>
                <w:szCs w:val="18"/>
                <w:color w:val="auto"/>
              </w:rPr>
              <w:t>951,186</w:t>
            </w:r>
          </w:p>
        </w:tc>
        <w:tc>
          <w:tcPr>
            <w:tcW w:w="0" w:type="dxa"/>
            <w:vAlign w:val="bottom"/>
          </w:tcPr>
          <w:p>
            <w:pPr>
              <w:spacing w:after="0"/>
              <w:rPr>
                <w:sz w:val="1"/>
                <w:szCs w:val="1"/>
                <w:color w:val="auto"/>
              </w:rPr>
            </w:pPr>
          </w:p>
        </w:tc>
      </w:tr>
      <w:tr>
        <w:trPr>
          <w:trHeight w:val="259"/>
        </w:trPr>
        <w:tc>
          <w:tcPr>
            <w:tcW w:w="3540" w:type="dxa"/>
            <w:vAlign w:val="bottom"/>
          </w:tcPr>
          <w:p>
            <w:pPr>
              <w:ind w:left="80"/>
              <w:spacing w:after="0"/>
              <w:rPr>
                <w:sz w:val="20"/>
                <w:szCs w:val="20"/>
                <w:color w:val="auto"/>
              </w:rPr>
            </w:pPr>
            <w:r>
              <w:rPr>
                <w:rFonts w:ascii="Arial" w:cs="Arial" w:eastAsia="Arial" w:hAnsi="Arial"/>
                <w:sz w:val="18"/>
                <w:szCs w:val="18"/>
                <w:color w:val="auto"/>
              </w:rPr>
              <w:t>Gregory P. Hill</w:t>
            </w:r>
          </w:p>
        </w:tc>
        <w:tc>
          <w:tcPr>
            <w:tcW w:w="2740" w:type="dxa"/>
            <w:vAlign w:val="bottom"/>
          </w:tcPr>
          <w:p>
            <w:pPr>
              <w:jc w:val="right"/>
              <w:ind w:right="835"/>
              <w:spacing w:after="0"/>
              <w:rPr>
                <w:sz w:val="20"/>
                <w:szCs w:val="20"/>
                <w:color w:val="auto"/>
              </w:rPr>
            </w:pPr>
            <w:r>
              <w:rPr>
                <w:rFonts w:ascii="Arial" w:cs="Arial" w:eastAsia="Arial" w:hAnsi="Arial"/>
                <w:sz w:val="18"/>
                <w:szCs w:val="18"/>
                <w:color w:val="auto"/>
              </w:rPr>
              <w:t>337,629</w:t>
            </w:r>
          </w:p>
        </w:tc>
        <w:tc>
          <w:tcPr>
            <w:tcW w:w="2240" w:type="dxa"/>
            <w:vAlign w:val="bottom"/>
          </w:tcPr>
          <w:p>
            <w:pPr>
              <w:jc w:val="right"/>
              <w:ind w:right="795"/>
              <w:spacing w:after="0"/>
              <w:rPr>
                <w:sz w:val="20"/>
                <w:szCs w:val="20"/>
                <w:color w:val="auto"/>
              </w:rPr>
            </w:pPr>
            <w:r>
              <w:rPr>
                <w:rFonts w:ascii="Arial" w:cs="Arial" w:eastAsia="Arial" w:hAnsi="Arial"/>
                <w:sz w:val="18"/>
                <w:szCs w:val="18"/>
                <w:color w:val="auto"/>
              </w:rPr>
              <w:t>—</w:t>
            </w:r>
          </w:p>
        </w:tc>
        <w:tc>
          <w:tcPr>
            <w:tcW w:w="2340" w:type="dxa"/>
            <w:vAlign w:val="bottom"/>
          </w:tcPr>
          <w:p>
            <w:pPr>
              <w:jc w:val="right"/>
              <w:ind w:right="515"/>
              <w:spacing w:after="0"/>
              <w:rPr>
                <w:sz w:val="20"/>
                <w:szCs w:val="20"/>
                <w:color w:val="auto"/>
              </w:rPr>
            </w:pPr>
            <w:r>
              <w:rPr>
                <w:rFonts w:ascii="Arial" w:cs="Arial" w:eastAsia="Arial" w:hAnsi="Arial"/>
                <w:sz w:val="18"/>
                <w:szCs w:val="18"/>
                <w:color w:val="auto"/>
              </w:rPr>
              <w:t>254,451</w:t>
            </w:r>
          </w:p>
        </w:tc>
        <w:tc>
          <w:tcPr>
            <w:tcW w:w="0" w:type="dxa"/>
            <w:vAlign w:val="bottom"/>
          </w:tcPr>
          <w:p>
            <w:pPr>
              <w:spacing w:after="0"/>
              <w:rPr>
                <w:sz w:val="1"/>
                <w:szCs w:val="1"/>
                <w:color w:val="auto"/>
              </w:rPr>
            </w:pPr>
          </w:p>
        </w:tc>
      </w:tr>
      <w:tr>
        <w:trPr>
          <w:trHeight w:val="273"/>
        </w:trPr>
        <w:tc>
          <w:tcPr>
            <w:tcW w:w="3540" w:type="dxa"/>
            <w:vAlign w:val="bottom"/>
            <w:shd w:val="clear" w:color="auto" w:fill="E5E5E5"/>
          </w:tcPr>
          <w:p>
            <w:pPr>
              <w:ind w:left="80"/>
              <w:spacing w:after="0"/>
              <w:rPr>
                <w:sz w:val="20"/>
                <w:szCs w:val="20"/>
                <w:color w:val="auto"/>
              </w:rPr>
            </w:pPr>
            <w:r>
              <w:rPr>
                <w:rFonts w:ascii="Arial" w:cs="Arial" w:eastAsia="Arial" w:hAnsi="Arial"/>
                <w:sz w:val="18"/>
                <w:szCs w:val="18"/>
                <w:color w:val="auto"/>
              </w:rPr>
              <w:t>Edith E. Holiday</w:t>
            </w:r>
          </w:p>
        </w:tc>
        <w:tc>
          <w:tcPr>
            <w:tcW w:w="2740" w:type="dxa"/>
            <w:vAlign w:val="bottom"/>
            <w:shd w:val="clear" w:color="auto" w:fill="E5E5E5"/>
          </w:tcPr>
          <w:p>
            <w:pPr>
              <w:jc w:val="right"/>
              <w:ind w:right="835"/>
              <w:spacing w:after="0"/>
              <w:rPr>
                <w:sz w:val="20"/>
                <w:szCs w:val="20"/>
                <w:color w:val="auto"/>
              </w:rPr>
            </w:pPr>
            <w:r>
              <w:rPr>
                <w:rFonts w:ascii="Arial" w:cs="Arial" w:eastAsia="Arial" w:hAnsi="Arial"/>
                <w:sz w:val="18"/>
                <w:szCs w:val="18"/>
                <w:color w:val="auto"/>
              </w:rPr>
              <w:t>51,004</w:t>
            </w:r>
          </w:p>
        </w:tc>
        <w:tc>
          <w:tcPr>
            <w:tcW w:w="2240" w:type="dxa"/>
            <w:vAlign w:val="bottom"/>
            <w:shd w:val="clear" w:color="auto" w:fill="E5E5E5"/>
          </w:tcPr>
          <w:p>
            <w:pPr>
              <w:jc w:val="right"/>
              <w:ind w:right="795"/>
              <w:spacing w:after="0"/>
              <w:rPr>
                <w:sz w:val="20"/>
                <w:szCs w:val="20"/>
                <w:color w:val="auto"/>
              </w:rPr>
            </w:pPr>
            <w:r>
              <w:rPr>
                <w:rFonts w:ascii="Arial" w:cs="Arial" w:eastAsia="Arial" w:hAnsi="Arial"/>
                <w:sz w:val="18"/>
                <w:szCs w:val="18"/>
                <w:color w:val="auto"/>
              </w:rPr>
              <w:t>—</w:t>
            </w:r>
          </w:p>
        </w:tc>
        <w:tc>
          <w:tcPr>
            <w:tcW w:w="2340" w:type="dxa"/>
            <w:vAlign w:val="bottom"/>
            <w:shd w:val="clear" w:color="auto" w:fill="E5E5E5"/>
          </w:tcPr>
          <w:p>
            <w:pPr>
              <w:jc w:val="right"/>
              <w:ind w:right="5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9"/>
        </w:trPr>
        <w:tc>
          <w:tcPr>
            <w:tcW w:w="3540" w:type="dxa"/>
            <w:vAlign w:val="bottom"/>
          </w:tcPr>
          <w:p>
            <w:pPr>
              <w:ind w:left="80"/>
              <w:spacing w:after="0"/>
              <w:rPr>
                <w:sz w:val="20"/>
                <w:szCs w:val="20"/>
                <w:color w:val="auto"/>
              </w:rPr>
            </w:pPr>
            <w:r>
              <w:rPr>
                <w:rFonts w:ascii="Arial" w:cs="Arial" w:eastAsia="Arial" w:hAnsi="Arial"/>
                <w:sz w:val="18"/>
                <w:szCs w:val="18"/>
                <w:color w:val="auto"/>
              </w:rPr>
              <w:t>Risa Lavizzo-Mourey</w:t>
            </w:r>
          </w:p>
        </w:tc>
        <w:tc>
          <w:tcPr>
            <w:tcW w:w="2740" w:type="dxa"/>
            <w:vAlign w:val="bottom"/>
          </w:tcPr>
          <w:p>
            <w:pPr>
              <w:jc w:val="right"/>
              <w:ind w:right="835"/>
              <w:spacing w:after="0"/>
              <w:rPr>
                <w:sz w:val="20"/>
                <w:szCs w:val="20"/>
                <w:color w:val="auto"/>
              </w:rPr>
            </w:pPr>
            <w:r>
              <w:rPr>
                <w:rFonts w:ascii="Arial" w:cs="Arial" w:eastAsia="Arial" w:hAnsi="Arial"/>
                <w:sz w:val="18"/>
                <w:szCs w:val="18"/>
                <w:color w:val="auto"/>
              </w:rPr>
              <w:t>39,803</w:t>
            </w:r>
          </w:p>
        </w:tc>
        <w:tc>
          <w:tcPr>
            <w:tcW w:w="2240" w:type="dxa"/>
            <w:vAlign w:val="bottom"/>
          </w:tcPr>
          <w:p>
            <w:pPr>
              <w:jc w:val="right"/>
              <w:ind w:right="795"/>
              <w:spacing w:after="0"/>
              <w:rPr>
                <w:sz w:val="20"/>
                <w:szCs w:val="20"/>
                <w:color w:val="auto"/>
              </w:rPr>
            </w:pPr>
            <w:r>
              <w:rPr>
                <w:rFonts w:ascii="Arial" w:cs="Arial" w:eastAsia="Arial" w:hAnsi="Arial"/>
                <w:sz w:val="18"/>
                <w:szCs w:val="18"/>
                <w:color w:val="auto"/>
              </w:rPr>
              <w:t>—</w:t>
            </w:r>
          </w:p>
        </w:tc>
        <w:tc>
          <w:tcPr>
            <w:tcW w:w="2340" w:type="dxa"/>
            <w:vAlign w:val="bottom"/>
          </w:tcPr>
          <w:p>
            <w:pPr>
              <w:jc w:val="right"/>
              <w:ind w:right="5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3"/>
        </w:trPr>
        <w:tc>
          <w:tcPr>
            <w:tcW w:w="3540" w:type="dxa"/>
            <w:vAlign w:val="bottom"/>
            <w:shd w:val="clear" w:color="auto" w:fill="E5E5E5"/>
          </w:tcPr>
          <w:p>
            <w:pPr>
              <w:ind w:left="80"/>
              <w:spacing w:after="0"/>
              <w:rPr>
                <w:sz w:val="20"/>
                <w:szCs w:val="20"/>
                <w:color w:val="auto"/>
              </w:rPr>
            </w:pPr>
            <w:r>
              <w:rPr>
                <w:rFonts w:ascii="Arial" w:cs="Arial" w:eastAsia="Arial" w:hAnsi="Arial"/>
                <w:sz w:val="18"/>
                <w:szCs w:val="18"/>
                <w:color w:val="auto"/>
              </w:rPr>
              <w:t>Marc S. Lipschultz</w:t>
            </w:r>
          </w:p>
        </w:tc>
        <w:tc>
          <w:tcPr>
            <w:tcW w:w="2740" w:type="dxa"/>
            <w:vAlign w:val="bottom"/>
            <w:shd w:val="clear" w:color="auto" w:fill="E5E5E5"/>
          </w:tcPr>
          <w:p>
            <w:pPr>
              <w:jc w:val="right"/>
              <w:ind w:right="835"/>
              <w:spacing w:after="0"/>
              <w:rPr>
                <w:sz w:val="20"/>
                <w:szCs w:val="20"/>
                <w:color w:val="auto"/>
              </w:rPr>
            </w:pPr>
            <w:r>
              <w:rPr>
                <w:rFonts w:ascii="Arial" w:cs="Arial" w:eastAsia="Arial" w:hAnsi="Arial"/>
                <w:sz w:val="18"/>
                <w:szCs w:val="18"/>
                <w:color w:val="auto"/>
              </w:rPr>
              <w:t>7,247</w:t>
            </w:r>
          </w:p>
        </w:tc>
        <w:tc>
          <w:tcPr>
            <w:tcW w:w="2240" w:type="dxa"/>
            <w:vAlign w:val="bottom"/>
            <w:shd w:val="clear" w:color="auto" w:fill="E5E5E5"/>
          </w:tcPr>
          <w:p>
            <w:pPr>
              <w:jc w:val="right"/>
              <w:ind w:right="795"/>
              <w:spacing w:after="0"/>
              <w:rPr>
                <w:sz w:val="20"/>
                <w:szCs w:val="20"/>
                <w:color w:val="auto"/>
              </w:rPr>
            </w:pPr>
            <w:r>
              <w:rPr>
                <w:rFonts w:ascii="Arial" w:cs="Arial" w:eastAsia="Arial" w:hAnsi="Arial"/>
                <w:sz w:val="18"/>
                <w:szCs w:val="18"/>
                <w:color w:val="auto"/>
              </w:rPr>
              <w:t>—</w:t>
            </w:r>
          </w:p>
        </w:tc>
        <w:tc>
          <w:tcPr>
            <w:tcW w:w="2340" w:type="dxa"/>
            <w:vAlign w:val="bottom"/>
            <w:shd w:val="clear" w:color="auto" w:fill="E5E5E5"/>
          </w:tcPr>
          <w:p>
            <w:pPr>
              <w:jc w:val="right"/>
              <w:ind w:right="5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9"/>
        </w:trPr>
        <w:tc>
          <w:tcPr>
            <w:tcW w:w="3540" w:type="dxa"/>
            <w:vAlign w:val="bottom"/>
          </w:tcPr>
          <w:p>
            <w:pPr>
              <w:ind w:left="80"/>
              <w:spacing w:after="0"/>
              <w:rPr>
                <w:sz w:val="20"/>
                <w:szCs w:val="20"/>
                <w:color w:val="auto"/>
              </w:rPr>
            </w:pPr>
            <w:r>
              <w:rPr>
                <w:rFonts w:ascii="Arial" w:cs="Arial" w:eastAsia="Arial" w:hAnsi="Arial"/>
                <w:sz w:val="18"/>
                <w:szCs w:val="18"/>
                <w:color w:val="auto"/>
              </w:rPr>
              <w:t>David McManus</w:t>
            </w:r>
          </w:p>
        </w:tc>
        <w:tc>
          <w:tcPr>
            <w:tcW w:w="2740" w:type="dxa"/>
            <w:vAlign w:val="bottom"/>
          </w:tcPr>
          <w:p>
            <w:pPr>
              <w:jc w:val="right"/>
              <w:ind w:right="835"/>
              <w:spacing w:after="0"/>
              <w:rPr>
                <w:sz w:val="20"/>
                <w:szCs w:val="20"/>
                <w:color w:val="auto"/>
              </w:rPr>
            </w:pPr>
            <w:r>
              <w:rPr>
                <w:rFonts w:ascii="Arial" w:cs="Arial" w:eastAsia="Arial" w:hAnsi="Arial"/>
                <w:sz w:val="18"/>
                <w:szCs w:val="18"/>
                <w:color w:val="auto"/>
              </w:rPr>
              <w:t>26,593</w:t>
            </w:r>
          </w:p>
        </w:tc>
        <w:tc>
          <w:tcPr>
            <w:tcW w:w="2240" w:type="dxa"/>
            <w:vAlign w:val="bottom"/>
          </w:tcPr>
          <w:p>
            <w:pPr>
              <w:jc w:val="right"/>
              <w:ind w:right="795"/>
              <w:spacing w:after="0"/>
              <w:rPr>
                <w:sz w:val="20"/>
                <w:szCs w:val="20"/>
                <w:color w:val="auto"/>
              </w:rPr>
            </w:pPr>
            <w:r>
              <w:rPr>
                <w:rFonts w:ascii="Arial" w:cs="Arial" w:eastAsia="Arial" w:hAnsi="Arial"/>
                <w:sz w:val="18"/>
                <w:szCs w:val="18"/>
                <w:color w:val="auto"/>
              </w:rPr>
              <w:t>—</w:t>
            </w:r>
          </w:p>
        </w:tc>
        <w:tc>
          <w:tcPr>
            <w:tcW w:w="2340" w:type="dxa"/>
            <w:vAlign w:val="bottom"/>
          </w:tcPr>
          <w:p>
            <w:pPr>
              <w:jc w:val="right"/>
              <w:ind w:right="5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3"/>
        </w:trPr>
        <w:tc>
          <w:tcPr>
            <w:tcW w:w="3540" w:type="dxa"/>
            <w:vAlign w:val="bottom"/>
            <w:shd w:val="clear" w:color="auto" w:fill="E5E5E5"/>
          </w:tcPr>
          <w:p>
            <w:pPr>
              <w:ind w:left="80"/>
              <w:spacing w:after="0"/>
              <w:rPr>
                <w:sz w:val="20"/>
                <w:szCs w:val="20"/>
                <w:color w:val="auto"/>
              </w:rPr>
            </w:pPr>
            <w:r>
              <w:rPr>
                <w:rFonts w:ascii="Arial" w:cs="Arial" w:eastAsia="Arial" w:hAnsi="Arial"/>
                <w:sz w:val="18"/>
                <w:szCs w:val="18"/>
                <w:color w:val="auto"/>
              </w:rPr>
              <w:t>Kevin O. Meyers</w:t>
            </w:r>
          </w:p>
        </w:tc>
        <w:tc>
          <w:tcPr>
            <w:tcW w:w="2740" w:type="dxa"/>
            <w:vAlign w:val="bottom"/>
            <w:shd w:val="clear" w:color="auto" w:fill="E5E5E5"/>
          </w:tcPr>
          <w:p>
            <w:pPr>
              <w:jc w:val="right"/>
              <w:ind w:right="835"/>
              <w:spacing w:after="0"/>
              <w:rPr>
                <w:sz w:val="20"/>
                <w:szCs w:val="20"/>
                <w:color w:val="auto"/>
              </w:rPr>
            </w:pPr>
            <w:r>
              <w:rPr>
                <w:rFonts w:ascii="Arial" w:cs="Arial" w:eastAsia="Arial" w:hAnsi="Arial"/>
                <w:sz w:val="18"/>
                <w:szCs w:val="18"/>
                <w:color w:val="auto"/>
              </w:rPr>
              <w:t>24,534</w:t>
            </w:r>
          </w:p>
        </w:tc>
        <w:tc>
          <w:tcPr>
            <w:tcW w:w="2240" w:type="dxa"/>
            <w:vAlign w:val="bottom"/>
            <w:shd w:val="clear" w:color="auto" w:fill="E5E5E5"/>
          </w:tcPr>
          <w:p>
            <w:pPr>
              <w:jc w:val="right"/>
              <w:ind w:right="795"/>
              <w:spacing w:after="0"/>
              <w:rPr>
                <w:sz w:val="20"/>
                <w:szCs w:val="20"/>
                <w:color w:val="auto"/>
              </w:rPr>
            </w:pPr>
            <w:r>
              <w:rPr>
                <w:rFonts w:ascii="Arial" w:cs="Arial" w:eastAsia="Arial" w:hAnsi="Arial"/>
                <w:sz w:val="18"/>
                <w:szCs w:val="18"/>
                <w:color w:val="auto"/>
              </w:rPr>
              <w:t>—</w:t>
            </w:r>
          </w:p>
        </w:tc>
        <w:tc>
          <w:tcPr>
            <w:tcW w:w="2340" w:type="dxa"/>
            <w:vAlign w:val="bottom"/>
            <w:shd w:val="clear" w:color="auto" w:fill="E5E5E5"/>
          </w:tcPr>
          <w:p>
            <w:pPr>
              <w:jc w:val="right"/>
              <w:ind w:right="5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9"/>
        </w:trPr>
        <w:tc>
          <w:tcPr>
            <w:tcW w:w="3540" w:type="dxa"/>
            <w:vAlign w:val="bottom"/>
          </w:tcPr>
          <w:p>
            <w:pPr>
              <w:ind w:left="80"/>
              <w:spacing w:after="0"/>
              <w:rPr>
                <w:sz w:val="20"/>
                <w:szCs w:val="20"/>
                <w:color w:val="auto"/>
              </w:rPr>
            </w:pPr>
            <w:r>
              <w:rPr>
                <w:rFonts w:ascii="Arial" w:cs="Arial" w:eastAsia="Arial" w:hAnsi="Arial"/>
                <w:sz w:val="18"/>
                <w:szCs w:val="18"/>
                <w:color w:val="auto"/>
              </w:rPr>
              <w:t>James H. Quigley</w:t>
            </w:r>
          </w:p>
        </w:tc>
        <w:tc>
          <w:tcPr>
            <w:tcW w:w="2740" w:type="dxa"/>
            <w:vAlign w:val="bottom"/>
          </w:tcPr>
          <w:p>
            <w:pPr>
              <w:jc w:val="right"/>
              <w:ind w:right="835"/>
              <w:spacing w:after="0"/>
              <w:rPr>
                <w:sz w:val="20"/>
                <w:szCs w:val="20"/>
                <w:color w:val="auto"/>
              </w:rPr>
            </w:pPr>
            <w:r>
              <w:rPr>
                <w:rFonts w:ascii="Arial" w:cs="Arial" w:eastAsia="Arial" w:hAnsi="Arial"/>
                <w:sz w:val="18"/>
                <w:szCs w:val="18"/>
                <w:color w:val="auto"/>
              </w:rPr>
              <w:t>18,054</w:t>
            </w:r>
          </w:p>
        </w:tc>
        <w:tc>
          <w:tcPr>
            <w:tcW w:w="2240" w:type="dxa"/>
            <w:vAlign w:val="bottom"/>
          </w:tcPr>
          <w:p>
            <w:pPr>
              <w:jc w:val="right"/>
              <w:ind w:right="795"/>
              <w:spacing w:after="0"/>
              <w:rPr>
                <w:sz w:val="20"/>
                <w:szCs w:val="20"/>
                <w:color w:val="auto"/>
              </w:rPr>
            </w:pPr>
            <w:r>
              <w:rPr>
                <w:rFonts w:ascii="Arial" w:cs="Arial" w:eastAsia="Arial" w:hAnsi="Arial"/>
                <w:sz w:val="18"/>
                <w:szCs w:val="18"/>
                <w:color w:val="auto"/>
              </w:rPr>
              <w:t>—</w:t>
            </w:r>
          </w:p>
        </w:tc>
        <w:tc>
          <w:tcPr>
            <w:tcW w:w="2340" w:type="dxa"/>
            <w:vAlign w:val="bottom"/>
          </w:tcPr>
          <w:p>
            <w:pPr>
              <w:jc w:val="right"/>
              <w:ind w:right="5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3"/>
        </w:trPr>
        <w:tc>
          <w:tcPr>
            <w:tcW w:w="3540" w:type="dxa"/>
            <w:vAlign w:val="bottom"/>
            <w:shd w:val="clear" w:color="auto" w:fill="E5E5E5"/>
          </w:tcPr>
          <w:p>
            <w:pPr>
              <w:ind w:left="80"/>
              <w:spacing w:after="0"/>
              <w:rPr>
                <w:sz w:val="20"/>
                <w:szCs w:val="20"/>
                <w:color w:val="auto"/>
              </w:rPr>
            </w:pPr>
            <w:r>
              <w:rPr>
                <w:rFonts w:ascii="Arial" w:cs="Arial" w:eastAsia="Arial" w:hAnsi="Arial"/>
                <w:sz w:val="18"/>
                <w:szCs w:val="18"/>
                <w:color w:val="auto"/>
              </w:rPr>
              <w:t>Fredric G. Reynolds</w:t>
            </w:r>
          </w:p>
        </w:tc>
        <w:tc>
          <w:tcPr>
            <w:tcW w:w="2740" w:type="dxa"/>
            <w:vAlign w:val="bottom"/>
            <w:shd w:val="clear" w:color="auto" w:fill="E5E5E5"/>
          </w:tcPr>
          <w:p>
            <w:pPr>
              <w:jc w:val="right"/>
              <w:ind w:right="835"/>
              <w:spacing w:after="0"/>
              <w:rPr>
                <w:sz w:val="20"/>
                <w:szCs w:val="20"/>
                <w:color w:val="auto"/>
              </w:rPr>
            </w:pPr>
            <w:r>
              <w:rPr>
                <w:rFonts w:ascii="Arial" w:cs="Arial" w:eastAsia="Arial" w:hAnsi="Arial"/>
                <w:sz w:val="18"/>
                <w:szCs w:val="18"/>
                <w:color w:val="auto"/>
              </w:rPr>
              <w:t>32,101</w:t>
            </w:r>
          </w:p>
        </w:tc>
        <w:tc>
          <w:tcPr>
            <w:tcW w:w="2240" w:type="dxa"/>
            <w:vAlign w:val="bottom"/>
            <w:shd w:val="clear" w:color="auto" w:fill="E5E5E5"/>
          </w:tcPr>
          <w:p>
            <w:pPr>
              <w:jc w:val="right"/>
              <w:ind w:right="795"/>
              <w:spacing w:after="0"/>
              <w:rPr>
                <w:sz w:val="20"/>
                <w:szCs w:val="20"/>
                <w:color w:val="auto"/>
              </w:rPr>
            </w:pPr>
            <w:r>
              <w:rPr>
                <w:rFonts w:ascii="Arial" w:cs="Arial" w:eastAsia="Arial" w:hAnsi="Arial"/>
                <w:sz w:val="18"/>
                <w:szCs w:val="18"/>
                <w:color w:val="auto"/>
              </w:rPr>
              <w:t>—</w:t>
            </w:r>
          </w:p>
        </w:tc>
        <w:tc>
          <w:tcPr>
            <w:tcW w:w="2340" w:type="dxa"/>
            <w:vAlign w:val="bottom"/>
            <w:shd w:val="clear" w:color="auto" w:fill="E5E5E5"/>
          </w:tcPr>
          <w:p>
            <w:pPr>
              <w:jc w:val="right"/>
              <w:ind w:right="5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9"/>
        </w:trPr>
        <w:tc>
          <w:tcPr>
            <w:tcW w:w="3540" w:type="dxa"/>
            <w:vAlign w:val="bottom"/>
          </w:tcPr>
          <w:p>
            <w:pPr>
              <w:ind w:left="80"/>
              <w:spacing w:after="0"/>
              <w:rPr>
                <w:sz w:val="20"/>
                <w:szCs w:val="20"/>
                <w:color w:val="auto"/>
              </w:rPr>
            </w:pPr>
            <w:r>
              <w:rPr>
                <w:rFonts w:ascii="Arial" w:cs="Arial" w:eastAsia="Arial" w:hAnsi="Arial"/>
                <w:sz w:val="18"/>
                <w:szCs w:val="18"/>
                <w:color w:val="auto"/>
              </w:rPr>
              <w:t>John P. Rielly</w:t>
            </w:r>
          </w:p>
        </w:tc>
        <w:tc>
          <w:tcPr>
            <w:tcW w:w="2740" w:type="dxa"/>
            <w:vAlign w:val="bottom"/>
          </w:tcPr>
          <w:p>
            <w:pPr>
              <w:jc w:val="right"/>
              <w:ind w:right="835"/>
              <w:spacing w:after="0"/>
              <w:rPr>
                <w:sz w:val="20"/>
                <w:szCs w:val="20"/>
                <w:color w:val="auto"/>
              </w:rPr>
            </w:pPr>
            <w:r>
              <w:rPr>
                <w:rFonts w:ascii="Arial" w:cs="Arial" w:eastAsia="Arial" w:hAnsi="Arial"/>
                <w:sz w:val="18"/>
                <w:szCs w:val="18"/>
                <w:color w:val="auto"/>
              </w:rPr>
              <w:t>543,335</w:t>
            </w:r>
          </w:p>
        </w:tc>
        <w:tc>
          <w:tcPr>
            <w:tcW w:w="2240" w:type="dxa"/>
            <w:vAlign w:val="bottom"/>
          </w:tcPr>
          <w:p>
            <w:pPr>
              <w:jc w:val="right"/>
              <w:ind w:right="795"/>
              <w:spacing w:after="0"/>
              <w:rPr>
                <w:sz w:val="20"/>
                <w:szCs w:val="20"/>
                <w:color w:val="auto"/>
              </w:rPr>
            </w:pPr>
            <w:r>
              <w:rPr>
                <w:rFonts w:ascii="Arial" w:cs="Arial" w:eastAsia="Arial" w:hAnsi="Arial"/>
                <w:sz w:val="18"/>
                <w:szCs w:val="18"/>
                <w:color w:val="auto"/>
              </w:rPr>
              <w:t>—</w:t>
            </w:r>
          </w:p>
        </w:tc>
        <w:tc>
          <w:tcPr>
            <w:tcW w:w="2340" w:type="dxa"/>
            <w:vAlign w:val="bottom"/>
          </w:tcPr>
          <w:p>
            <w:pPr>
              <w:jc w:val="right"/>
              <w:ind w:right="515"/>
              <w:spacing w:after="0"/>
              <w:rPr>
                <w:sz w:val="20"/>
                <w:szCs w:val="20"/>
                <w:color w:val="auto"/>
              </w:rPr>
            </w:pPr>
            <w:r>
              <w:rPr>
                <w:rFonts w:ascii="Arial" w:cs="Arial" w:eastAsia="Arial" w:hAnsi="Arial"/>
                <w:sz w:val="18"/>
                <w:szCs w:val="18"/>
                <w:color w:val="auto"/>
              </w:rPr>
              <w:t>205,473</w:t>
            </w:r>
          </w:p>
        </w:tc>
        <w:tc>
          <w:tcPr>
            <w:tcW w:w="0" w:type="dxa"/>
            <w:vAlign w:val="bottom"/>
          </w:tcPr>
          <w:p>
            <w:pPr>
              <w:spacing w:after="0"/>
              <w:rPr>
                <w:sz w:val="1"/>
                <w:szCs w:val="1"/>
                <w:color w:val="auto"/>
              </w:rPr>
            </w:pPr>
          </w:p>
        </w:tc>
      </w:tr>
      <w:tr>
        <w:trPr>
          <w:trHeight w:val="273"/>
        </w:trPr>
        <w:tc>
          <w:tcPr>
            <w:tcW w:w="3540" w:type="dxa"/>
            <w:vAlign w:val="bottom"/>
            <w:shd w:val="clear" w:color="auto" w:fill="E5E5E5"/>
          </w:tcPr>
          <w:p>
            <w:pPr>
              <w:ind w:left="80"/>
              <w:spacing w:after="0"/>
              <w:rPr>
                <w:sz w:val="20"/>
                <w:szCs w:val="20"/>
                <w:color w:val="auto"/>
              </w:rPr>
            </w:pPr>
            <w:r>
              <w:rPr>
                <w:rFonts w:ascii="Arial" w:cs="Arial" w:eastAsia="Arial" w:hAnsi="Arial"/>
                <w:sz w:val="18"/>
                <w:szCs w:val="18"/>
                <w:color w:val="auto"/>
              </w:rPr>
              <w:t>William G. Schrader</w:t>
            </w:r>
          </w:p>
        </w:tc>
        <w:tc>
          <w:tcPr>
            <w:tcW w:w="2740" w:type="dxa"/>
            <w:vAlign w:val="bottom"/>
            <w:shd w:val="clear" w:color="auto" w:fill="E5E5E5"/>
          </w:tcPr>
          <w:p>
            <w:pPr>
              <w:jc w:val="right"/>
              <w:ind w:right="835"/>
              <w:spacing w:after="0"/>
              <w:rPr>
                <w:sz w:val="20"/>
                <w:szCs w:val="20"/>
                <w:color w:val="auto"/>
              </w:rPr>
            </w:pPr>
            <w:r>
              <w:rPr>
                <w:rFonts w:ascii="Arial" w:cs="Arial" w:eastAsia="Arial" w:hAnsi="Arial"/>
                <w:sz w:val="18"/>
                <w:szCs w:val="18"/>
                <w:color w:val="auto"/>
              </w:rPr>
              <w:t>19,101</w:t>
            </w:r>
          </w:p>
        </w:tc>
        <w:tc>
          <w:tcPr>
            <w:tcW w:w="2240" w:type="dxa"/>
            <w:vAlign w:val="bottom"/>
            <w:shd w:val="clear" w:color="auto" w:fill="E5E5E5"/>
          </w:tcPr>
          <w:p>
            <w:pPr>
              <w:jc w:val="right"/>
              <w:ind w:right="795"/>
              <w:spacing w:after="0"/>
              <w:rPr>
                <w:sz w:val="20"/>
                <w:szCs w:val="20"/>
                <w:color w:val="auto"/>
              </w:rPr>
            </w:pPr>
            <w:r>
              <w:rPr>
                <w:rFonts w:ascii="Arial" w:cs="Arial" w:eastAsia="Arial" w:hAnsi="Arial"/>
                <w:sz w:val="18"/>
                <w:szCs w:val="18"/>
                <w:color w:val="auto"/>
              </w:rPr>
              <w:t>—</w:t>
            </w:r>
          </w:p>
        </w:tc>
        <w:tc>
          <w:tcPr>
            <w:tcW w:w="2340" w:type="dxa"/>
            <w:vAlign w:val="bottom"/>
            <w:shd w:val="clear" w:color="auto" w:fill="E5E5E5"/>
          </w:tcPr>
          <w:p>
            <w:pPr>
              <w:jc w:val="right"/>
              <w:ind w:right="5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9"/>
        </w:trPr>
        <w:tc>
          <w:tcPr>
            <w:tcW w:w="3540" w:type="dxa"/>
            <w:vAlign w:val="bottom"/>
          </w:tcPr>
          <w:p>
            <w:pPr>
              <w:ind w:left="80"/>
              <w:spacing w:after="0"/>
              <w:rPr>
                <w:sz w:val="20"/>
                <w:szCs w:val="20"/>
                <w:color w:val="auto"/>
              </w:rPr>
            </w:pPr>
            <w:r>
              <w:rPr>
                <w:rFonts w:ascii="Arial" w:cs="Arial" w:eastAsia="Arial" w:hAnsi="Arial"/>
                <w:sz w:val="18"/>
                <w:szCs w:val="18"/>
                <w:color w:val="auto"/>
              </w:rPr>
              <w:t>Michael R. Turner</w:t>
            </w:r>
          </w:p>
        </w:tc>
        <w:tc>
          <w:tcPr>
            <w:tcW w:w="2740" w:type="dxa"/>
            <w:vAlign w:val="bottom"/>
          </w:tcPr>
          <w:p>
            <w:pPr>
              <w:jc w:val="right"/>
              <w:ind w:right="835"/>
              <w:spacing w:after="0"/>
              <w:rPr>
                <w:sz w:val="20"/>
                <w:szCs w:val="20"/>
                <w:color w:val="auto"/>
              </w:rPr>
            </w:pPr>
            <w:r>
              <w:rPr>
                <w:rFonts w:ascii="Arial" w:cs="Arial" w:eastAsia="Arial" w:hAnsi="Arial"/>
                <w:sz w:val="18"/>
                <w:szCs w:val="18"/>
                <w:color w:val="auto"/>
              </w:rPr>
              <w:t>227,085</w:t>
            </w:r>
          </w:p>
        </w:tc>
        <w:tc>
          <w:tcPr>
            <w:tcW w:w="2240" w:type="dxa"/>
            <w:vAlign w:val="bottom"/>
          </w:tcPr>
          <w:p>
            <w:pPr>
              <w:jc w:val="right"/>
              <w:ind w:right="795"/>
              <w:spacing w:after="0"/>
              <w:rPr>
                <w:sz w:val="20"/>
                <w:szCs w:val="20"/>
                <w:color w:val="auto"/>
              </w:rPr>
            </w:pPr>
            <w:r>
              <w:rPr>
                <w:rFonts w:ascii="Arial" w:cs="Arial" w:eastAsia="Arial" w:hAnsi="Arial"/>
                <w:sz w:val="18"/>
                <w:szCs w:val="18"/>
                <w:color w:val="auto"/>
              </w:rPr>
              <w:t>—</w:t>
            </w:r>
          </w:p>
        </w:tc>
        <w:tc>
          <w:tcPr>
            <w:tcW w:w="2340" w:type="dxa"/>
            <w:vAlign w:val="bottom"/>
          </w:tcPr>
          <w:p>
            <w:pPr>
              <w:jc w:val="right"/>
              <w:ind w:right="515"/>
              <w:spacing w:after="0"/>
              <w:rPr>
                <w:sz w:val="20"/>
                <w:szCs w:val="20"/>
                <w:color w:val="auto"/>
              </w:rPr>
            </w:pPr>
            <w:r>
              <w:rPr>
                <w:rFonts w:ascii="Arial" w:cs="Arial" w:eastAsia="Arial" w:hAnsi="Arial"/>
                <w:sz w:val="18"/>
                <w:szCs w:val="18"/>
                <w:color w:val="auto"/>
              </w:rPr>
              <w:t>124,790</w:t>
            </w:r>
          </w:p>
        </w:tc>
        <w:tc>
          <w:tcPr>
            <w:tcW w:w="0" w:type="dxa"/>
            <w:vAlign w:val="bottom"/>
          </w:tcPr>
          <w:p>
            <w:pPr>
              <w:spacing w:after="0"/>
              <w:rPr>
                <w:sz w:val="1"/>
                <w:szCs w:val="1"/>
                <w:color w:val="auto"/>
              </w:rPr>
            </w:pPr>
          </w:p>
        </w:tc>
      </w:tr>
      <w:tr>
        <w:trPr>
          <w:trHeight w:val="246"/>
        </w:trPr>
        <w:tc>
          <w:tcPr>
            <w:tcW w:w="3540" w:type="dxa"/>
            <w:vAlign w:val="bottom"/>
            <w:shd w:val="clear" w:color="auto" w:fill="E5E5E5"/>
          </w:tcPr>
          <w:p>
            <w:pPr>
              <w:ind w:left="80"/>
              <w:spacing w:after="0"/>
              <w:rPr>
                <w:sz w:val="20"/>
                <w:szCs w:val="20"/>
                <w:color w:val="auto"/>
              </w:rPr>
            </w:pPr>
            <w:r>
              <w:rPr>
                <w:rFonts w:ascii="Arial" w:cs="Arial" w:eastAsia="Arial" w:hAnsi="Arial"/>
                <w:sz w:val="18"/>
                <w:szCs w:val="18"/>
                <w:color w:val="auto"/>
              </w:rPr>
              <w:t>All directors and executive officers as</w:t>
            </w:r>
          </w:p>
        </w:tc>
        <w:tc>
          <w:tcPr>
            <w:tcW w:w="2740" w:type="dxa"/>
            <w:vAlign w:val="bottom"/>
            <w:shd w:val="clear" w:color="auto" w:fill="E5E5E5"/>
          </w:tcPr>
          <w:p>
            <w:pPr>
              <w:spacing w:after="0"/>
              <w:rPr>
                <w:sz w:val="21"/>
                <w:szCs w:val="21"/>
                <w:color w:val="auto"/>
              </w:rPr>
            </w:pPr>
          </w:p>
        </w:tc>
        <w:tc>
          <w:tcPr>
            <w:tcW w:w="2240" w:type="dxa"/>
            <w:vAlign w:val="bottom"/>
            <w:shd w:val="clear" w:color="auto" w:fill="E5E5E5"/>
          </w:tcPr>
          <w:p>
            <w:pPr>
              <w:spacing w:after="0"/>
              <w:rPr>
                <w:sz w:val="21"/>
                <w:szCs w:val="21"/>
                <w:color w:val="auto"/>
              </w:rPr>
            </w:pPr>
          </w:p>
        </w:tc>
        <w:tc>
          <w:tcPr>
            <w:tcW w:w="2340" w:type="dxa"/>
            <w:vAlign w:val="bottom"/>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540" w:type="dxa"/>
            <w:vAlign w:val="bottom"/>
            <w:tcBorders>
              <w:bottom w:val="single" w:sz="8" w:color="007549"/>
            </w:tcBorders>
            <w:shd w:val="clear" w:color="auto" w:fill="E5E5E5"/>
          </w:tcPr>
          <w:p>
            <w:pPr>
              <w:ind w:left="80"/>
              <w:spacing w:after="0"/>
              <w:rPr>
                <w:sz w:val="20"/>
                <w:szCs w:val="20"/>
                <w:color w:val="auto"/>
              </w:rPr>
            </w:pPr>
            <w:r>
              <w:rPr>
                <w:rFonts w:ascii="Arial" w:cs="Arial" w:eastAsia="Arial" w:hAnsi="Arial"/>
                <w:sz w:val="18"/>
                <w:szCs w:val="18"/>
                <w:color w:val="auto"/>
              </w:rPr>
              <w:t>a group (19 persons)</w:t>
            </w:r>
          </w:p>
        </w:tc>
        <w:tc>
          <w:tcPr>
            <w:tcW w:w="2740" w:type="dxa"/>
            <w:vAlign w:val="bottom"/>
            <w:tcBorders>
              <w:bottom w:val="single" w:sz="8" w:color="007549"/>
            </w:tcBorders>
            <w:shd w:val="clear" w:color="auto" w:fill="E5E5E5"/>
          </w:tcPr>
          <w:p>
            <w:pPr>
              <w:jc w:val="right"/>
              <w:ind w:right="835"/>
              <w:spacing w:after="0"/>
              <w:rPr>
                <w:sz w:val="20"/>
                <w:szCs w:val="20"/>
                <w:color w:val="auto"/>
              </w:rPr>
            </w:pPr>
            <w:r>
              <w:rPr>
                <w:rFonts w:ascii="Arial" w:cs="Arial" w:eastAsia="Arial" w:hAnsi="Arial"/>
                <w:sz w:val="18"/>
                <w:szCs w:val="18"/>
                <w:color w:val="auto"/>
              </w:rPr>
              <w:t>37,837,733</w:t>
            </w:r>
          </w:p>
        </w:tc>
        <w:tc>
          <w:tcPr>
            <w:tcW w:w="2240" w:type="dxa"/>
            <w:vAlign w:val="bottom"/>
            <w:tcBorders>
              <w:bottom w:val="single" w:sz="8" w:color="007549"/>
            </w:tcBorders>
            <w:shd w:val="clear" w:color="auto" w:fill="E5E5E5"/>
          </w:tcPr>
          <w:p>
            <w:pPr>
              <w:jc w:val="right"/>
              <w:ind w:right="795"/>
              <w:spacing w:after="0"/>
              <w:rPr>
                <w:sz w:val="20"/>
                <w:szCs w:val="20"/>
                <w:color w:val="auto"/>
              </w:rPr>
            </w:pPr>
            <w:r>
              <w:rPr>
                <w:rFonts w:ascii="Arial" w:cs="Arial" w:eastAsia="Arial" w:hAnsi="Arial"/>
                <w:sz w:val="18"/>
                <w:szCs w:val="18"/>
                <w:color w:val="auto"/>
              </w:rPr>
              <w:t>12.09</w:t>
            </w:r>
          </w:p>
        </w:tc>
        <w:tc>
          <w:tcPr>
            <w:tcW w:w="2340" w:type="dxa"/>
            <w:vAlign w:val="bottom"/>
            <w:tcBorders>
              <w:bottom w:val="single" w:sz="8" w:color="007549"/>
            </w:tcBorders>
            <w:shd w:val="clear" w:color="auto" w:fill="E5E5E5"/>
          </w:tcPr>
          <w:p>
            <w:pPr>
              <w:jc w:val="right"/>
              <w:ind w:right="515"/>
              <w:spacing w:after="0"/>
              <w:rPr>
                <w:sz w:val="20"/>
                <w:szCs w:val="20"/>
                <w:color w:val="auto"/>
              </w:rPr>
            </w:pPr>
            <w:r>
              <w:rPr>
                <w:rFonts w:ascii="Arial" w:cs="Arial" w:eastAsia="Arial" w:hAnsi="Arial"/>
                <w:sz w:val="18"/>
                <w:szCs w:val="18"/>
                <w:color w:val="auto"/>
              </w:rPr>
              <w:t>1,836,827</w:t>
            </w:r>
          </w:p>
        </w:tc>
        <w:tc>
          <w:tcPr>
            <w:tcW w:w="0" w:type="dxa"/>
            <w:vAlign w:val="bottom"/>
          </w:tcPr>
          <w:p>
            <w:pPr>
              <w:spacing w:after="0"/>
              <w:rPr>
                <w:sz w:val="1"/>
                <w:szCs w:val="1"/>
                <w:color w:val="auto"/>
              </w:rPr>
            </w:pPr>
          </w:p>
        </w:tc>
      </w:tr>
    </w:tbl>
    <w:p>
      <w:pPr>
        <w:spacing w:after="0" w:line="2" w:lineRule="exact"/>
        <w:rPr>
          <w:sz w:val="20"/>
          <w:szCs w:val="20"/>
          <w:color w:val="auto"/>
        </w:rPr>
      </w:pPr>
    </w:p>
    <w:p>
      <w:pPr>
        <w:jc w:val="both"/>
        <w:ind w:left="600" w:hanging="314"/>
        <w:spacing w:after="0" w:line="244" w:lineRule="auto"/>
        <w:tabs>
          <w:tab w:leader="none" w:pos="6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These figures include 62,479 shares vested in the name of Mr. Hess, 4,525 shares vested in the name of Mr. Rielly and 67,004 shares vested for all executive officers and directors as a group under the employees’ savings plan as to which these individuals and the group have voting and dispositive power. These amounts also include 21,150 shares held in escrow under Hess Corporation’s long-term incentive plans for Mr. Goodell, 49,967 shares held in escrow under these plans for Mr. Hill, 21,150 shares held in escrow under these plans for Mr. Rielly, 33,803 shares held in escrow under these plans for Mr. Turner, and 194,743 shares held in escrow under these plans for all executive officers and directors as a group. As to these shares, these individuals and the group have voting power but not dispositive power. Holders of stock options do not have the right to vote or any other right of a stockholder with respect to shares of common stock underlying such options until they are exercised. These amounts also include 1,901 shares beneficially owned by Ms. Holiday, 218,222 shares beneficially owned by Mr. Hess, 4,364 shares beneficially owned by Mr. McManus and 1,901 shares beneficially owned by Dr. Meyers, which represent shares of common stock issuable upon conversion of the company’s mandatory convertible preferred stock.</w:t>
      </w:r>
    </w:p>
    <w:p>
      <w:pPr>
        <w:spacing w:after="0" w:line="111" w:lineRule="exact"/>
        <w:rPr>
          <w:rFonts w:ascii="Arial" w:cs="Arial" w:eastAsia="Arial" w:hAnsi="Arial"/>
          <w:sz w:val="16"/>
          <w:szCs w:val="16"/>
          <w:color w:val="auto"/>
        </w:rPr>
      </w:pPr>
    </w:p>
    <w:p>
      <w:pPr>
        <w:ind w:left="600" w:hanging="314"/>
        <w:spacing w:after="0"/>
        <w:tabs>
          <w:tab w:leader="none" w:pos="6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See footnotes (b), (c), (d) and (e) to the table under the caption “Ownership of Voting Securities by Certain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1820545</wp:posOffset>
            </wp:positionH>
            <wp:positionV relativeFrom="paragraph">
              <wp:posOffset>93345</wp:posOffset>
            </wp:positionV>
            <wp:extent cx="405765" cy="2451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227" w:lineRule="exact"/>
        <w:rPr>
          <w:sz w:val="20"/>
          <w:szCs w:val="20"/>
          <w:color w:val="auto"/>
        </w:rPr>
      </w:pPr>
    </w:p>
    <w:p>
      <w:pPr>
        <w:ind w:left="760" w:hanging="474"/>
        <w:spacing w:after="0"/>
        <w:tabs>
          <w:tab w:leader="none" w:pos="760" w:val="left"/>
        </w:tabs>
        <w:numPr>
          <w:ilvl w:val="0"/>
          <w:numId w:val="41"/>
        </w:numPr>
        <w:rPr>
          <w:rFonts w:ascii="Arial" w:cs="Arial" w:eastAsia="Arial" w:hAnsi="Arial"/>
          <w:sz w:val="14"/>
          <w:szCs w:val="14"/>
          <w:b w:val="1"/>
          <w:bCs w:val="1"/>
          <w:color w:val="007549"/>
        </w:rPr>
      </w:pPr>
      <w:r>
        <w:rPr>
          <w:rFonts w:ascii="Arial" w:cs="Arial" w:eastAsia="Arial" w:hAnsi="Arial"/>
          <w:sz w:val="12"/>
          <w:szCs w:val="12"/>
          <w:b w:val="1"/>
          <w:bCs w:val="1"/>
          <w:color w:val="666666"/>
        </w:rPr>
        <w:t>2018 PROXY STATEMENT</w:t>
      </w:r>
    </w:p>
    <w:p>
      <w:pPr>
        <w:sectPr>
          <w:pgSz w:w="11900" w:h="16838" w:orient="portrait"/>
          <w:cols w:equalWidth="0" w:num="1">
            <w:col w:w="11140"/>
          </w:cols>
          <w:pgMar w:left="240" w:top="454" w:right="5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6720"/>
        <w:spacing w:after="0"/>
        <w:rPr>
          <w:sz w:val="20"/>
          <w:szCs w:val="20"/>
          <w:color w:val="auto"/>
        </w:rPr>
      </w:pPr>
      <w:r>
        <w:rPr>
          <w:rFonts w:ascii="Arial" w:cs="Arial" w:eastAsia="Arial" w:hAnsi="Arial"/>
          <w:sz w:val="15"/>
          <w:szCs w:val="15"/>
          <w:b w:val="1"/>
          <w:bCs w:val="1"/>
          <w:color w:val="007549"/>
        </w:rPr>
        <w:t xml:space="preserve">Proposal 1: Election of Directors </w:t>
      </w:r>
      <w:r>
        <w:rPr>
          <w:rFonts w:ascii="Arial" w:cs="Arial" w:eastAsia="Arial" w:hAnsi="Arial"/>
          <w:sz w:val="15"/>
          <w:szCs w:val="15"/>
          <w:b w:val="1"/>
          <w:bCs w:val="1"/>
          <w:color w:val="000000"/>
        </w:rPr>
        <w:t>+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62230</wp:posOffset>
            </wp:positionV>
            <wp:extent cx="68935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250"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333333"/>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63500</wp:posOffset>
            </wp:positionV>
            <wp:extent cx="68935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15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shows compensation for services rendered by our non-employee directors during 2017.</w:t>
      </w:r>
    </w:p>
    <w:p>
      <w:pPr>
        <w:spacing w:after="0" w:line="192"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3160" w:type="dxa"/>
            <w:vAlign w:val="bottom"/>
            <w:shd w:val="clear" w:color="auto" w:fill="007549"/>
          </w:tcPr>
          <w:p>
            <w:pPr>
              <w:spacing w:after="0"/>
              <w:rPr>
                <w:sz w:val="14"/>
                <w:szCs w:val="14"/>
                <w:color w:val="auto"/>
              </w:rPr>
            </w:pPr>
          </w:p>
        </w:tc>
        <w:tc>
          <w:tcPr>
            <w:tcW w:w="2860" w:type="dxa"/>
            <w:vAlign w:val="bottom"/>
            <w:shd w:val="clear" w:color="auto" w:fill="007549"/>
          </w:tcPr>
          <w:p>
            <w:pPr>
              <w:jc w:val="center"/>
              <w:ind w:left="835"/>
              <w:spacing w:after="0"/>
              <w:rPr>
                <w:sz w:val="20"/>
                <w:szCs w:val="20"/>
                <w:color w:val="auto"/>
              </w:rPr>
            </w:pPr>
            <w:r>
              <w:rPr>
                <w:rFonts w:ascii="Arial" w:cs="Arial" w:eastAsia="Arial" w:hAnsi="Arial"/>
                <w:sz w:val="14"/>
                <w:szCs w:val="14"/>
                <w:b w:val="1"/>
                <w:bCs w:val="1"/>
                <w:color w:val="FFFFFF"/>
              </w:rPr>
              <w:t>Fees Earned or</w:t>
            </w:r>
          </w:p>
        </w:tc>
        <w:tc>
          <w:tcPr>
            <w:tcW w:w="1580" w:type="dxa"/>
            <w:vAlign w:val="bottom"/>
            <w:shd w:val="clear" w:color="auto" w:fill="007549"/>
          </w:tcPr>
          <w:p>
            <w:pPr>
              <w:jc w:val="center"/>
              <w:spacing w:after="0"/>
              <w:rPr>
                <w:sz w:val="20"/>
                <w:szCs w:val="20"/>
                <w:color w:val="auto"/>
              </w:rPr>
            </w:pPr>
            <w:r>
              <w:rPr>
                <w:rFonts w:ascii="Arial" w:cs="Arial" w:eastAsia="Arial" w:hAnsi="Arial"/>
                <w:sz w:val="14"/>
                <w:szCs w:val="14"/>
                <w:b w:val="1"/>
                <w:bCs w:val="1"/>
                <w:color w:val="FFFFFF"/>
              </w:rPr>
              <w:t>Stock</w:t>
            </w:r>
          </w:p>
        </w:tc>
        <w:tc>
          <w:tcPr>
            <w:tcW w:w="2040" w:type="dxa"/>
            <w:vAlign w:val="bottom"/>
            <w:shd w:val="clear" w:color="auto" w:fill="007549"/>
          </w:tcPr>
          <w:p>
            <w:pPr>
              <w:jc w:val="center"/>
              <w:spacing w:after="0"/>
              <w:rPr>
                <w:sz w:val="20"/>
                <w:szCs w:val="20"/>
                <w:color w:val="auto"/>
              </w:rPr>
            </w:pPr>
            <w:r>
              <w:rPr>
                <w:rFonts w:ascii="Arial" w:cs="Arial" w:eastAsia="Arial" w:hAnsi="Arial"/>
                <w:sz w:val="14"/>
                <w:szCs w:val="14"/>
                <w:b w:val="1"/>
                <w:bCs w:val="1"/>
                <w:color w:val="FFFFFF"/>
              </w:rPr>
              <w:t>All Other</w:t>
            </w:r>
          </w:p>
        </w:tc>
        <w:tc>
          <w:tcPr>
            <w:tcW w:w="1220" w:type="dxa"/>
            <w:vAlign w:val="bottom"/>
            <w:vMerge w:val="restart"/>
            <w:shd w:val="clear" w:color="auto" w:fill="007549"/>
          </w:tcPr>
          <w:p>
            <w:pPr>
              <w:jc w:val="right"/>
              <w:ind w:right="234"/>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46"/>
        </w:trPr>
        <w:tc>
          <w:tcPr>
            <w:tcW w:w="3160" w:type="dxa"/>
            <w:vAlign w:val="bottom"/>
            <w:shd w:val="clear" w:color="auto" w:fill="007549"/>
          </w:tcPr>
          <w:p>
            <w:pPr>
              <w:spacing w:after="0"/>
              <w:rPr>
                <w:sz w:val="12"/>
                <w:szCs w:val="12"/>
                <w:color w:val="auto"/>
              </w:rPr>
            </w:pPr>
          </w:p>
        </w:tc>
        <w:tc>
          <w:tcPr>
            <w:tcW w:w="2860" w:type="dxa"/>
            <w:vAlign w:val="bottom"/>
            <w:shd w:val="clear" w:color="auto" w:fill="007549"/>
          </w:tcPr>
          <w:p>
            <w:pPr>
              <w:jc w:val="center"/>
              <w:ind w:left="835"/>
              <w:spacing w:after="0" w:line="147" w:lineRule="exact"/>
              <w:rPr>
                <w:sz w:val="20"/>
                <w:szCs w:val="20"/>
                <w:color w:val="auto"/>
              </w:rPr>
            </w:pPr>
            <w:r>
              <w:rPr>
                <w:rFonts w:ascii="Arial" w:cs="Arial" w:eastAsia="Arial" w:hAnsi="Arial"/>
                <w:sz w:val="14"/>
                <w:szCs w:val="14"/>
                <w:b w:val="1"/>
                <w:bCs w:val="1"/>
                <w:color w:val="FFFFFF"/>
              </w:rPr>
              <w:t>Paid in Cash</w:t>
            </w:r>
          </w:p>
        </w:tc>
        <w:tc>
          <w:tcPr>
            <w:tcW w:w="1580" w:type="dxa"/>
            <w:vAlign w:val="bottom"/>
            <w:shd w:val="clear" w:color="auto" w:fill="007549"/>
          </w:tcPr>
          <w:p>
            <w:pPr>
              <w:jc w:val="center"/>
              <w:spacing w:after="0" w:line="147" w:lineRule="exact"/>
              <w:rPr>
                <w:sz w:val="20"/>
                <w:szCs w:val="20"/>
                <w:color w:val="auto"/>
              </w:rPr>
            </w:pPr>
            <w:r>
              <w:rPr>
                <w:rFonts w:ascii="Arial" w:cs="Arial" w:eastAsia="Arial" w:hAnsi="Arial"/>
                <w:sz w:val="14"/>
                <w:szCs w:val="14"/>
                <w:b w:val="1"/>
                <w:bCs w:val="1"/>
                <w:color w:val="FFFFFF"/>
              </w:rPr>
              <w:t>Awards(a)</w:t>
            </w:r>
          </w:p>
        </w:tc>
        <w:tc>
          <w:tcPr>
            <w:tcW w:w="2040" w:type="dxa"/>
            <w:vAlign w:val="bottom"/>
            <w:shd w:val="clear" w:color="auto" w:fill="007549"/>
          </w:tcPr>
          <w:p>
            <w:pPr>
              <w:jc w:val="center"/>
              <w:spacing w:after="0" w:line="147" w:lineRule="exact"/>
              <w:rPr>
                <w:sz w:val="20"/>
                <w:szCs w:val="20"/>
                <w:color w:val="auto"/>
              </w:rPr>
            </w:pPr>
            <w:r>
              <w:rPr>
                <w:rFonts w:ascii="Arial" w:cs="Arial" w:eastAsia="Arial" w:hAnsi="Arial"/>
                <w:sz w:val="14"/>
                <w:szCs w:val="14"/>
                <w:b w:val="1"/>
                <w:bCs w:val="1"/>
                <w:color w:val="FFFFFF"/>
              </w:rPr>
              <w:t>Compensation(b)</w:t>
            </w:r>
          </w:p>
        </w:tc>
        <w:tc>
          <w:tcPr>
            <w:tcW w:w="1220" w:type="dxa"/>
            <w:vAlign w:val="bottom"/>
            <w:vMerge w:val="continue"/>
            <w:shd w:val="clear" w:color="auto" w:fill="007549"/>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160" w:type="dxa"/>
            <w:vAlign w:val="bottom"/>
            <w:shd w:val="clear" w:color="auto" w:fill="007549"/>
          </w:tcPr>
          <w:p>
            <w:pPr>
              <w:ind w:left="80"/>
              <w:spacing w:after="0"/>
              <w:rPr>
                <w:sz w:val="20"/>
                <w:szCs w:val="20"/>
                <w:color w:val="auto"/>
              </w:rPr>
            </w:pPr>
            <w:r>
              <w:rPr>
                <w:rFonts w:ascii="Arial" w:cs="Arial" w:eastAsia="Arial" w:hAnsi="Arial"/>
                <w:sz w:val="14"/>
                <w:szCs w:val="14"/>
                <w:b w:val="1"/>
                <w:bCs w:val="1"/>
                <w:color w:val="FFFFFF"/>
              </w:rPr>
              <w:t>Name</w:t>
            </w:r>
          </w:p>
        </w:tc>
        <w:tc>
          <w:tcPr>
            <w:tcW w:w="2860" w:type="dxa"/>
            <w:vAlign w:val="bottom"/>
            <w:shd w:val="clear" w:color="auto" w:fill="007549"/>
          </w:tcPr>
          <w:p>
            <w:pPr>
              <w:jc w:val="center"/>
              <w:ind w:left="835"/>
              <w:spacing w:after="0"/>
              <w:rPr>
                <w:sz w:val="20"/>
                <w:szCs w:val="20"/>
                <w:color w:val="auto"/>
              </w:rPr>
            </w:pPr>
            <w:r>
              <w:rPr>
                <w:rFonts w:ascii="Arial" w:cs="Arial" w:eastAsia="Arial" w:hAnsi="Arial"/>
                <w:sz w:val="14"/>
                <w:szCs w:val="14"/>
                <w:b w:val="1"/>
                <w:bCs w:val="1"/>
                <w:color w:val="FFFFFF"/>
              </w:rPr>
              <w:t>($)</w:t>
            </w:r>
          </w:p>
        </w:tc>
        <w:tc>
          <w:tcPr>
            <w:tcW w:w="1580" w:type="dxa"/>
            <w:vAlign w:val="bottom"/>
            <w:shd w:val="clear" w:color="auto" w:fill="007549"/>
          </w:tcPr>
          <w:p>
            <w:pPr>
              <w:jc w:val="center"/>
              <w:spacing w:after="0"/>
              <w:rPr>
                <w:sz w:val="20"/>
                <w:szCs w:val="20"/>
                <w:color w:val="auto"/>
              </w:rPr>
            </w:pPr>
            <w:r>
              <w:rPr>
                <w:rFonts w:ascii="Arial" w:cs="Arial" w:eastAsia="Arial" w:hAnsi="Arial"/>
                <w:sz w:val="14"/>
                <w:szCs w:val="14"/>
                <w:b w:val="1"/>
                <w:bCs w:val="1"/>
                <w:color w:val="FFFFFF"/>
                <w:w w:val="93"/>
              </w:rPr>
              <w:t>($)</w:t>
            </w:r>
          </w:p>
        </w:tc>
        <w:tc>
          <w:tcPr>
            <w:tcW w:w="2040" w:type="dxa"/>
            <w:vAlign w:val="bottom"/>
            <w:shd w:val="clear" w:color="auto" w:fill="007549"/>
          </w:tcPr>
          <w:p>
            <w:pPr>
              <w:jc w:val="center"/>
              <w:spacing w:after="0"/>
              <w:rPr>
                <w:sz w:val="20"/>
                <w:szCs w:val="20"/>
                <w:color w:val="auto"/>
              </w:rPr>
            </w:pPr>
            <w:r>
              <w:rPr>
                <w:rFonts w:ascii="Arial" w:cs="Arial" w:eastAsia="Arial" w:hAnsi="Arial"/>
                <w:sz w:val="14"/>
                <w:szCs w:val="14"/>
                <w:b w:val="1"/>
                <w:bCs w:val="1"/>
                <w:color w:val="FFFFFF"/>
              </w:rPr>
              <w:t>($)</w:t>
            </w:r>
          </w:p>
        </w:tc>
        <w:tc>
          <w:tcPr>
            <w:tcW w:w="1220" w:type="dxa"/>
            <w:vAlign w:val="bottom"/>
            <w:shd w:val="clear" w:color="auto" w:fill="007549"/>
          </w:tcPr>
          <w:p>
            <w:pPr>
              <w:jc w:val="right"/>
              <w:ind w:right="314"/>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66"/>
        </w:trPr>
        <w:tc>
          <w:tcPr>
            <w:tcW w:w="3160" w:type="dxa"/>
            <w:vAlign w:val="bottom"/>
            <w:shd w:val="clear" w:color="auto" w:fill="E5E5E5"/>
          </w:tcPr>
          <w:p>
            <w:pPr>
              <w:ind w:left="80"/>
              <w:spacing w:after="0"/>
              <w:rPr>
                <w:sz w:val="20"/>
                <w:szCs w:val="20"/>
                <w:color w:val="auto"/>
              </w:rPr>
            </w:pPr>
            <w:r>
              <w:rPr>
                <w:rFonts w:ascii="Arial" w:cs="Arial" w:eastAsia="Arial" w:hAnsi="Arial"/>
                <w:sz w:val="18"/>
                <w:szCs w:val="18"/>
                <w:color w:val="auto"/>
              </w:rPr>
              <w:t>Chase, Rodney F</w:t>
            </w:r>
          </w:p>
        </w:tc>
        <w:tc>
          <w:tcPr>
            <w:tcW w:w="2860" w:type="dxa"/>
            <w:vAlign w:val="bottom"/>
            <w:shd w:val="clear" w:color="auto" w:fill="E5E5E5"/>
          </w:tcPr>
          <w:p>
            <w:pPr>
              <w:jc w:val="right"/>
              <w:ind w:right="535"/>
              <w:spacing w:after="0"/>
              <w:rPr>
                <w:sz w:val="20"/>
                <w:szCs w:val="20"/>
                <w:color w:val="auto"/>
              </w:rPr>
            </w:pPr>
            <w:r>
              <w:rPr>
                <w:rFonts w:ascii="Arial" w:cs="Arial" w:eastAsia="Arial" w:hAnsi="Arial"/>
                <w:sz w:val="18"/>
                <w:szCs w:val="18"/>
                <w:color w:val="auto"/>
              </w:rPr>
              <w:t>150,000</w:t>
            </w:r>
          </w:p>
        </w:tc>
        <w:tc>
          <w:tcPr>
            <w:tcW w:w="1580" w:type="dxa"/>
            <w:vAlign w:val="bottom"/>
            <w:shd w:val="clear" w:color="auto" w:fill="E5E5E5"/>
          </w:tcPr>
          <w:p>
            <w:pPr>
              <w:jc w:val="right"/>
              <w:ind w:right="315"/>
              <w:spacing w:after="0"/>
              <w:rPr>
                <w:sz w:val="20"/>
                <w:szCs w:val="20"/>
                <w:color w:val="auto"/>
              </w:rPr>
            </w:pPr>
            <w:r>
              <w:rPr>
                <w:rFonts w:ascii="Arial" w:cs="Arial" w:eastAsia="Arial" w:hAnsi="Arial"/>
                <w:sz w:val="18"/>
                <w:szCs w:val="18"/>
                <w:color w:val="auto"/>
              </w:rPr>
              <w:t>175,050</w:t>
            </w:r>
          </w:p>
        </w:tc>
        <w:tc>
          <w:tcPr>
            <w:tcW w:w="2040" w:type="dxa"/>
            <w:vAlign w:val="bottom"/>
            <w:shd w:val="clear" w:color="auto" w:fill="E5E5E5"/>
          </w:tcPr>
          <w:p>
            <w:pPr>
              <w:jc w:val="right"/>
              <w:ind w:right="655"/>
              <w:spacing w:after="0"/>
              <w:rPr>
                <w:sz w:val="20"/>
                <w:szCs w:val="20"/>
                <w:color w:val="auto"/>
              </w:rPr>
            </w:pPr>
            <w:r>
              <w:rPr>
                <w:rFonts w:ascii="Arial" w:cs="Arial" w:eastAsia="Arial" w:hAnsi="Arial"/>
                <w:sz w:val="18"/>
                <w:szCs w:val="18"/>
                <w:color w:val="auto"/>
              </w:rPr>
              <w:t>1,115</w:t>
            </w:r>
          </w:p>
        </w:tc>
        <w:tc>
          <w:tcPr>
            <w:tcW w:w="122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326,165</w:t>
            </w:r>
          </w:p>
        </w:tc>
        <w:tc>
          <w:tcPr>
            <w:tcW w:w="0" w:type="dxa"/>
            <w:vAlign w:val="bottom"/>
          </w:tcPr>
          <w:p>
            <w:pPr>
              <w:spacing w:after="0"/>
              <w:rPr>
                <w:sz w:val="1"/>
                <w:szCs w:val="1"/>
                <w:color w:val="auto"/>
              </w:rPr>
            </w:pPr>
          </w:p>
        </w:tc>
      </w:tr>
      <w:tr>
        <w:trPr>
          <w:trHeight w:val="232"/>
        </w:trPr>
        <w:tc>
          <w:tcPr>
            <w:tcW w:w="3160" w:type="dxa"/>
            <w:vAlign w:val="bottom"/>
          </w:tcPr>
          <w:p>
            <w:pPr>
              <w:ind w:left="80"/>
              <w:spacing w:after="0"/>
              <w:rPr>
                <w:sz w:val="20"/>
                <w:szCs w:val="20"/>
                <w:color w:val="auto"/>
              </w:rPr>
            </w:pPr>
            <w:r>
              <w:rPr>
                <w:rFonts w:ascii="Arial" w:cs="Arial" w:eastAsia="Arial" w:hAnsi="Arial"/>
                <w:sz w:val="18"/>
                <w:szCs w:val="18"/>
                <w:color w:val="auto"/>
              </w:rPr>
              <w:t>Checki, Terrence J.</w:t>
            </w:r>
          </w:p>
        </w:tc>
        <w:tc>
          <w:tcPr>
            <w:tcW w:w="2860" w:type="dxa"/>
            <w:vAlign w:val="bottom"/>
          </w:tcPr>
          <w:p>
            <w:pPr>
              <w:jc w:val="right"/>
              <w:ind w:right="535"/>
              <w:spacing w:after="0"/>
              <w:rPr>
                <w:sz w:val="20"/>
                <w:szCs w:val="20"/>
                <w:color w:val="auto"/>
              </w:rPr>
            </w:pPr>
            <w:r>
              <w:rPr>
                <w:rFonts w:ascii="Arial" w:cs="Arial" w:eastAsia="Arial" w:hAnsi="Arial"/>
                <w:sz w:val="18"/>
                <w:szCs w:val="18"/>
                <w:color w:val="auto"/>
              </w:rPr>
              <w:t>130,000</w:t>
            </w:r>
          </w:p>
        </w:tc>
        <w:tc>
          <w:tcPr>
            <w:tcW w:w="1580" w:type="dxa"/>
            <w:vAlign w:val="bottom"/>
          </w:tcPr>
          <w:p>
            <w:pPr>
              <w:jc w:val="right"/>
              <w:ind w:right="315"/>
              <w:spacing w:after="0"/>
              <w:rPr>
                <w:sz w:val="20"/>
                <w:szCs w:val="20"/>
                <w:color w:val="auto"/>
              </w:rPr>
            </w:pPr>
            <w:r>
              <w:rPr>
                <w:rFonts w:ascii="Arial" w:cs="Arial" w:eastAsia="Arial" w:hAnsi="Arial"/>
                <w:sz w:val="18"/>
                <w:szCs w:val="18"/>
                <w:color w:val="auto"/>
              </w:rPr>
              <w:t>175,050</w:t>
            </w:r>
          </w:p>
        </w:tc>
        <w:tc>
          <w:tcPr>
            <w:tcW w:w="2040" w:type="dxa"/>
            <w:vAlign w:val="bottom"/>
          </w:tcPr>
          <w:p>
            <w:pPr>
              <w:jc w:val="right"/>
              <w:ind w:right="655"/>
              <w:spacing w:after="0"/>
              <w:rPr>
                <w:sz w:val="20"/>
                <w:szCs w:val="20"/>
                <w:color w:val="auto"/>
              </w:rPr>
            </w:pPr>
            <w:r>
              <w:rPr>
                <w:rFonts w:ascii="Arial" w:cs="Arial" w:eastAsia="Arial" w:hAnsi="Arial"/>
                <w:sz w:val="18"/>
                <w:szCs w:val="18"/>
                <w:color w:val="auto"/>
              </w:rPr>
              <w:t>132</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305,182</w:t>
            </w:r>
          </w:p>
        </w:tc>
        <w:tc>
          <w:tcPr>
            <w:tcW w:w="0" w:type="dxa"/>
            <w:vAlign w:val="bottom"/>
          </w:tcPr>
          <w:p>
            <w:pPr>
              <w:spacing w:after="0"/>
              <w:rPr>
                <w:sz w:val="1"/>
                <w:szCs w:val="1"/>
                <w:color w:val="auto"/>
              </w:rPr>
            </w:pPr>
          </w:p>
        </w:tc>
      </w:tr>
      <w:tr>
        <w:trPr>
          <w:trHeight w:val="247"/>
        </w:trPr>
        <w:tc>
          <w:tcPr>
            <w:tcW w:w="3160" w:type="dxa"/>
            <w:vAlign w:val="bottom"/>
            <w:shd w:val="clear" w:color="auto" w:fill="E5E5E5"/>
          </w:tcPr>
          <w:p>
            <w:pPr>
              <w:ind w:left="80"/>
              <w:spacing w:after="0"/>
              <w:rPr>
                <w:sz w:val="20"/>
                <w:szCs w:val="20"/>
                <w:color w:val="auto"/>
              </w:rPr>
            </w:pPr>
            <w:r>
              <w:rPr>
                <w:rFonts w:ascii="Arial" w:cs="Arial" w:eastAsia="Arial" w:hAnsi="Arial"/>
                <w:sz w:val="18"/>
                <w:szCs w:val="18"/>
                <w:color w:val="auto"/>
              </w:rPr>
              <w:t>Coleman, Leonard S.</w:t>
            </w:r>
          </w:p>
        </w:tc>
        <w:tc>
          <w:tcPr>
            <w:tcW w:w="2860" w:type="dxa"/>
            <w:vAlign w:val="bottom"/>
            <w:shd w:val="clear" w:color="auto" w:fill="E5E5E5"/>
          </w:tcPr>
          <w:p>
            <w:pPr>
              <w:jc w:val="right"/>
              <w:ind w:right="535"/>
              <w:spacing w:after="0"/>
              <w:rPr>
                <w:sz w:val="20"/>
                <w:szCs w:val="20"/>
                <w:color w:val="auto"/>
              </w:rPr>
            </w:pPr>
            <w:r>
              <w:rPr>
                <w:rFonts w:ascii="Arial" w:cs="Arial" w:eastAsia="Arial" w:hAnsi="Arial"/>
                <w:sz w:val="18"/>
                <w:szCs w:val="18"/>
                <w:color w:val="auto"/>
              </w:rPr>
              <w:t>118,489</w:t>
            </w:r>
          </w:p>
        </w:tc>
        <w:tc>
          <w:tcPr>
            <w:tcW w:w="1580" w:type="dxa"/>
            <w:vAlign w:val="bottom"/>
            <w:shd w:val="clear" w:color="auto" w:fill="E5E5E5"/>
          </w:tcPr>
          <w:p>
            <w:pPr>
              <w:jc w:val="right"/>
              <w:ind w:right="315"/>
              <w:spacing w:after="0"/>
              <w:rPr>
                <w:sz w:val="20"/>
                <w:szCs w:val="20"/>
                <w:color w:val="auto"/>
              </w:rPr>
            </w:pPr>
            <w:r>
              <w:rPr>
                <w:rFonts w:ascii="Arial" w:cs="Arial" w:eastAsia="Arial" w:hAnsi="Arial"/>
                <w:sz w:val="18"/>
                <w:szCs w:val="18"/>
                <w:color w:val="auto"/>
              </w:rPr>
              <w:t>175,050</w:t>
            </w:r>
          </w:p>
        </w:tc>
        <w:tc>
          <w:tcPr>
            <w:tcW w:w="2040" w:type="dxa"/>
            <w:vAlign w:val="bottom"/>
            <w:shd w:val="clear" w:color="auto" w:fill="E5E5E5"/>
          </w:tcPr>
          <w:p>
            <w:pPr>
              <w:jc w:val="right"/>
              <w:ind w:right="655"/>
              <w:spacing w:after="0"/>
              <w:rPr>
                <w:sz w:val="20"/>
                <w:szCs w:val="20"/>
                <w:color w:val="auto"/>
              </w:rPr>
            </w:pPr>
            <w:r>
              <w:rPr>
                <w:rFonts w:ascii="Arial" w:cs="Arial" w:eastAsia="Arial" w:hAnsi="Arial"/>
                <w:sz w:val="18"/>
                <w:szCs w:val="18"/>
                <w:color w:val="auto"/>
              </w:rPr>
              <w:t>10,941</w:t>
            </w:r>
          </w:p>
        </w:tc>
        <w:tc>
          <w:tcPr>
            <w:tcW w:w="122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304,480</w:t>
            </w:r>
          </w:p>
        </w:tc>
        <w:tc>
          <w:tcPr>
            <w:tcW w:w="0" w:type="dxa"/>
            <w:vAlign w:val="bottom"/>
          </w:tcPr>
          <w:p>
            <w:pPr>
              <w:spacing w:after="0"/>
              <w:rPr>
                <w:sz w:val="1"/>
                <w:szCs w:val="1"/>
                <w:color w:val="auto"/>
              </w:rPr>
            </w:pPr>
          </w:p>
        </w:tc>
      </w:tr>
      <w:tr>
        <w:trPr>
          <w:trHeight w:val="232"/>
        </w:trPr>
        <w:tc>
          <w:tcPr>
            <w:tcW w:w="3160" w:type="dxa"/>
            <w:vAlign w:val="bottom"/>
          </w:tcPr>
          <w:p>
            <w:pPr>
              <w:ind w:left="80"/>
              <w:spacing w:after="0"/>
              <w:rPr>
                <w:sz w:val="20"/>
                <w:szCs w:val="20"/>
                <w:color w:val="auto"/>
              </w:rPr>
            </w:pPr>
            <w:r>
              <w:rPr>
                <w:rFonts w:ascii="Arial" w:cs="Arial" w:eastAsia="Arial" w:hAnsi="Arial"/>
                <w:sz w:val="18"/>
                <w:szCs w:val="18"/>
                <w:color w:val="auto"/>
              </w:rPr>
              <w:t>Holiday, Edith E.</w:t>
            </w:r>
          </w:p>
        </w:tc>
        <w:tc>
          <w:tcPr>
            <w:tcW w:w="2860" w:type="dxa"/>
            <w:vAlign w:val="bottom"/>
          </w:tcPr>
          <w:p>
            <w:pPr>
              <w:jc w:val="right"/>
              <w:ind w:right="535"/>
              <w:spacing w:after="0"/>
              <w:rPr>
                <w:sz w:val="20"/>
                <w:szCs w:val="20"/>
                <w:color w:val="auto"/>
              </w:rPr>
            </w:pPr>
            <w:r>
              <w:rPr>
                <w:rFonts w:ascii="Arial" w:cs="Arial" w:eastAsia="Arial" w:hAnsi="Arial"/>
                <w:sz w:val="18"/>
                <w:szCs w:val="18"/>
                <w:color w:val="auto"/>
              </w:rPr>
              <w:t>130,000</w:t>
            </w:r>
          </w:p>
        </w:tc>
        <w:tc>
          <w:tcPr>
            <w:tcW w:w="1580" w:type="dxa"/>
            <w:vAlign w:val="bottom"/>
          </w:tcPr>
          <w:p>
            <w:pPr>
              <w:jc w:val="right"/>
              <w:ind w:right="315"/>
              <w:spacing w:after="0"/>
              <w:rPr>
                <w:sz w:val="20"/>
                <w:szCs w:val="20"/>
                <w:color w:val="auto"/>
              </w:rPr>
            </w:pPr>
            <w:r>
              <w:rPr>
                <w:rFonts w:ascii="Arial" w:cs="Arial" w:eastAsia="Arial" w:hAnsi="Arial"/>
                <w:sz w:val="18"/>
                <w:szCs w:val="18"/>
                <w:color w:val="auto"/>
              </w:rPr>
              <w:t>175,050</w:t>
            </w:r>
          </w:p>
        </w:tc>
        <w:tc>
          <w:tcPr>
            <w:tcW w:w="2040" w:type="dxa"/>
            <w:vAlign w:val="bottom"/>
          </w:tcPr>
          <w:p>
            <w:pPr>
              <w:jc w:val="right"/>
              <w:ind w:right="655"/>
              <w:spacing w:after="0"/>
              <w:rPr>
                <w:sz w:val="20"/>
                <w:szCs w:val="20"/>
                <w:color w:val="auto"/>
              </w:rPr>
            </w:pPr>
            <w:r>
              <w:rPr>
                <w:rFonts w:ascii="Arial" w:cs="Arial" w:eastAsia="Arial" w:hAnsi="Arial"/>
                <w:sz w:val="18"/>
                <w:szCs w:val="18"/>
                <w:color w:val="auto"/>
              </w:rPr>
              <w:t>132</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305,182</w:t>
            </w:r>
          </w:p>
        </w:tc>
        <w:tc>
          <w:tcPr>
            <w:tcW w:w="0" w:type="dxa"/>
            <w:vAlign w:val="bottom"/>
          </w:tcPr>
          <w:p>
            <w:pPr>
              <w:spacing w:after="0"/>
              <w:rPr>
                <w:sz w:val="1"/>
                <w:szCs w:val="1"/>
                <w:color w:val="auto"/>
              </w:rPr>
            </w:pPr>
          </w:p>
        </w:tc>
      </w:tr>
      <w:tr>
        <w:trPr>
          <w:trHeight w:val="247"/>
        </w:trPr>
        <w:tc>
          <w:tcPr>
            <w:tcW w:w="3160" w:type="dxa"/>
            <w:vAlign w:val="bottom"/>
            <w:shd w:val="clear" w:color="auto" w:fill="E5E5E5"/>
          </w:tcPr>
          <w:p>
            <w:pPr>
              <w:ind w:left="80"/>
              <w:spacing w:after="0"/>
              <w:rPr>
                <w:sz w:val="20"/>
                <w:szCs w:val="20"/>
                <w:color w:val="auto"/>
              </w:rPr>
            </w:pPr>
            <w:r>
              <w:rPr>
                <w:rFonts w:ascii="Arial" w:cs="Arial" w:eastAsia="Arial" w:hAnsi="Arial"/>
                <w:sz w:val="18"/>
                <w:szCs w:val="18"/>
                <w:color w:val="auto"/>
              </w:rPr>
              <w:t>Lavizzo-Mourey, Risa</w:t>
            </w:r>
          </w:p>
        </w:tc>
        <w:tc>
          <w:tcPr>
            <w:tcW w:w="2860" w:type="dxa"/>
            <w:vAlign w:val="bottom"/>
            <w:shd w:val="clear" w:color="auto" w:fill="E5E5E5"/>
          </w:tcPr>
          <w:p>
            <w:pPr>
              <w:jc w:val="right"/>
              <w:ind w:right="535"/>
              <w:spacing w:after="0"/>
              <w:rPr>
                <w:sz w:val="20"/>
                <w:szCs w:val="20"/>
                <w:color w:val="auto"/>
              </w:rPr>
            </w:pPr>
            <w:r>
              <w:rPr>
                <w:rFonts w:ascii="Arial" w:cs="Arial" w:eastAsia="Arial" w:hAnsi="Arial"/>
                <w:sz w:val="18"/>
                <w:szCs w:val="18"/>
                <w:color w:val="auto"/>
              </w:rPr>
              <w:t>130,000</w:t>
            </w:r>
          </w:p>
        </w:tc>
        <w:tc>
          <w:tcPr>
            <w:tcW w:w="1580" w:type="dxa"/>
            <w:vAlign w:val="bottom"/>
            <w:shd w:val="clear" w:color="auto" w:fill="E5E5E5"/>
          </w:tcPr>
          <w:p>
            <w:pPr>
              <w:jc w:val="right"/>
              <w:ind w:right="315"/>
              <w:spacing w:after="0"/>
              <w:rPr>
                <w:sz w:val="20"/>
                <w:szCs w:val="20"/>
                <w:color w:val="auto"/>
              </w:rPr>
            </w:pPr>
            <w:r>
              <w:rPr>
                <w:rFonts w:ascii="Arial" w:cs="Arial" w:eastAsia="Arial" w:hAnsi="Arial"/>
                <w:sz w:val="18"/>
                <w:szCs w:val="18"/>
                <w:color w:val="auto"/>
              </w:rPr>
              <w:t>175,050</w:t>
            </w:r>
          </w:p>
        </w:tc>
        <w:tc>
          <w:tcPr>
            <w:tcW w:w="2040" w:type="dxa"/>
            <w:vAlign w:val="bottom"/>
            <w:shd w:val="clear" w:color="auto" w:fill="E5E5E5"/>
          </w:tcPr>
          <w:p>
            <w:pPr>
              <w:jc w:val="right"/>
              <w:ind w:right="655"/>
              <w:spacing w:after="0"/>
              <w:rPr>
                <w:sz w:val="20"/>
                <w:szCs w:val="20"/>
                <w:color w:val="auto"/>
              </w:rPr>
            </w:pPr>
            <w:r>
              <w:rPr>
                <w:rFonts w:ascii="Arial" w:cs="Arial" w:eastAsia="Arial" w:hAnsi="Arial"/>
                <w:sz w:val="18"/>
                <w:szCs w:val="18"/>
                <w:color w:val="auto"/>
              </w:rPr>
              <w:t>132</w:t>
            </w:r>
          </w:p>
        </w:tc>
        <w:tc>
          <w:tcPr>
            <w:tcW w:w="122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305,182</w:t>
            </w:r>
          </w:p>
        </w:tc>
        <w:tc>
          <w:tcPr>
            <w:tcW w:w="0" w:type="dxa"/>
            <w:vAlign w:val="bottom"/>
          </w:tcPr>
          <w:p>
            <w:pPr>
              <w:spacing w:after="0"/>
              <w:rPr>
                <w:sz w:val="1"/>
                <w:szCs w:val="1"/>
                <w:color w:val="auto"/>
              </w:rPr>
            </w:pPr>
          </w:p>
        </w:tc>
      </w:tr>
      <w:tr>
        <w:trPr>
          <w:trHeight w:val="232"/>
        </w:trPr>
        <w:tc>
          <w:tcPr>
            <w:tcW w:w="3160" w:type="dxa"/>
            <w:vAlign w:val="bottom"/>
          </w:tcPr>
          <w:p>
            <w:pPr>
              <w:ind w:left="80"/>
              <w:spacing w:after="0"/>
              <w:rPr>
                <w:sz w:val="20"/>
                <w:szCs w:val="20"/>
                <w:color w:val="auto"/>
              </w:rPr>
            </w:pPr>
            <w:r>
              <w:rPr>
                <w:rFonts w:ascii="Arial" w:cs="Arial" w:eastAsia="Arial" w:hAnsi="Arial"/>
                <w:sz w:val="18"/>
                <w:szCs w:val="18"/>
                <w:color w:val="auto"/>
              </w:rPr>
              <w:t>Lipschultz, Marc S.</w:t>
            </w:r>
          </w:p>
        </w:tc>
        <w:tc>
          <w:tcPr>
            <w:tcW w:w="2860" w:type="dxa"/>
            <w:vAlign w:val="bottom"/>
          </w:tcPr>
          <w:p>
            <w:pPr>
              <w:jc w:val="right"/>
              <w:ind w:right="535"/>
              <w:spacing w:after="0"/>
              <w:rPr>
                <w:sz w:val="20"/>
                <w:szCs w:val="20"/>
                <w:color w:val="auto"/>
              </w:rPr>
            </w:pPr>
            <w:r>
              <w:rPr>
                <w:rFonts w:ascii="Arial" w:cs="Arial" w:eastAsia="Arial" w:hAnsi="Arial"/>
                <w:sz w:val="18"/>
                <w:szCs w:val="18"/>
                <w:color w:val="auto"/>
              </w:rPr>
              <w:t>115,659</w:t>
            </w:r>
          </w:p>
        </w:tc>
        <w:tc>
          <w:tcPr>
            <w:tcW w:w="1580" w:type="dxa"/>
            <w:vAlign w:val="bottom"/>
          </w:tcPr>
          <w:p>
            <w:pPr>
              <w:jc w:val="right"/>
              <w:ind w:right="315"/>
              <w:spacing w:after="0"/>
              <w:rPr>
                <w:sz w:val="20"/>
                <w:szCs w:val="20"/>
                <w:color w:val="auto"/>
              </w:rPr>
            </w:pPr>
            <w:r>
              <w:rPr>
                <w:rFonts w:ascii="Arial" w:cs="Arial" w:eastAsia="Arial" w:hAnsi="Arial"/>
                <w:sz w:val="18"/>
                <w:szCs w:val="18"/>
                <w:color w:val="auto"/>
              </w:rPr>
              <w:t>175,050</w:t>
            </w:r>
          </w:p>
        </w:tc>
        <w:tc>
          <w:tcPr>
            <w:tcW w:w="2040" w:type="dxa"/>
            <w:vAlign w:val="bottom"/>
          </w:tcPr>
          <w:p>
            <w:pPr>
              <w:jc w:val="right"/>
              <w:ind w:right="655"/>
              <w:spacing w:after="0"/>
              <w:rPr>
                <w:sz w:val="20"/>
                <w:szCs w:val="20"/>
                <w:color w:val="auto"/>
              </w:rPr>
            </w:pPr>
            <w:r>
              <w:rPr>
                <w:rFonts w:ascii="Arial" w:cs="Arial" w:eastAsia="Arial" w:hAnsi="Arial"/>
                <w:sz w:val="18"/>
                <w:szCs w:val="18"/>
                <w:color w:val="auto"/>
              </w:rPr>
              <w:t>10,941</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301,650</w:t>
            </w:r>
          </w:p>
        </w:tc>
        <w:tc>
          <w:tcPr>
            <w:tcW w:w="0" w:type="dxa"/>
            <w:vAlign w:val="bottom"/>
          </w:tcPr>
          <w:p>
            <w:pPr>
              <w:spacing w:after="0"/>
              <w:rPr>
                <w:sz w:val="1"/>
                <w:szCs w:val="1"/>
                <w:color w:val="auto"/>
              </w:rPr>
            </w:pPr>
          </w:p>
        </w:tc>
      </w:tr>
      <w:tr>
        <w:trPr>
          <w:trHeight w:val="247"/>
        </w:trPr>
        <w:tc>
          <w:tcPr>
            <w:tcW w:w="3160" w:type="dxa"/>
            <w:vAlign w:val="bottom"/>
            <w:shd w:val="clear" w:color="auto" w:fill="E5E5E5"/>
          </w:tcPr>
          <w:p>
            <w:pPr>
              <w:ind w:left="80"/>
              <w:spacing w:after="0"/>
              <w:rPr>
                <w:sz w:val="20"/>
                <w:szCs w:val="20"/>
                <w:color w:val="auto"/>
              </w:rPr>
            </w:pPr>
            <w:r>
              <w:rPr>
                <w:rFonts w:ascii="Arial" w:cs="Arial" w:eastAsia="Arial" w:hAnsi="Arial"/>
                <w:sz w:val="18"/>
                <w:szCs w:val="18"/>
                <w:color w:val="auto"/>
              </w:rPr>
              <w:t>McManus, David</w:t>
            </w:r>
          </w:p>
        </w:tc>
        <w:tc>
          <w:tcPr>
            <w:tcW w:w="2860" w:type="dxa"/>
            <w:vAlign w:val="bottom"/>
            <w:shd w:val="clear" w:color="auto" w:fill="E5E5E5"/>
          </w:tcPr>
          <w:p>
            <w:pPr>
              <w:jc w:val="right"/>
              <w:ind w:right="535"/>
              <w:spacing w:after="0"/>
              <w:rPr>
                <w:sz w:val="20"/>
                <w:szCs w:val="20"/>
                <w:color w:val="auto"/>
              </w:rPr>
            </w:pPr>
            <w:r>
              <w:rPr>
                <w:rFonts w:ascii="Arial" w:cs="Arial" w:eastAsia="Arial" w:hAnsi="Arial"/>
                <w:sz w:val="18"/>
                <w:szCs w:val="18"/>
                <w:color w:val="auto"/>
              </w:rPr>
              <w:t>125,000</w:t>
            </w:r>
          </w:p>
        </w:tc>
        <w:tc>
          <w:tcPr>
            <w:tcW w:w="1580" w:type="dxa"/>
            <w:vAlign w:val="bottom"/>
            <w:shd w:val="clear" w:color="auto" w:fill="E5E5E5"/>
          </w:tcPr>
          <w:p>
            <w:pPr>
              <w:jc w:val="right"/>
              <w:ind w:right="315"/>
              <w:spacing w:after="0"/>
              <w:rPr>
                <w:sz w:val="20"/>
                <w:szCs w:val="20"/>
                <w:color w:val="auto"/>
              </w:rPr>
            </w:pPr>
            <w:r>
              <w:rPr>
                <w:rFonts w:ascii="Arial" w:cs="Arial" w:eastAsia="Arial" w:hAnsi="Arial"/>
                <w:sz w:val="18"/>
                <w:szCs w:val="18"/>
                <w:color w:val="auto"/>
              </w:rPr>
              <w:t>175,050</w:t>
            </w:r>
          </w:p>
        </w:tc>
        <w:tc>
          <w:tcPr>
            <w:tcW w:w="2040" w:type="dxa"/>
            <w:vAlign w:val="bottom"/>
            <w:shd w:val="clear" w:color="auto" w:fill="E5E5E5"/>
          </w:tcPr>
          <w:p>
            <w:pPr>
              <w:jc w:val="right"/>
              <w:ind w:right="655"/>
              <w:spacing w:after="0"/>
              <w:rPr>
                <w:sz w:val="20"/>
                <w:szCs w:val="20"/>
                <w:color w:val="auto"/>
              </w:rPr>
            </w:pPr>
            <w:r>
              <w:rPr>
                <w:rFonts w:ascii="Arial" w:cs="Arial" w:eastAsia="Arial" w:hAnsi="Arial"/>
                <w:sz w:val="18"/>
                <w:szCs w:val="18"/>
                <w:color w:val="auto"/>
              </w:rPr>
              <w:t>132</w:t>
            </w:r>
          </w:p>
        </w:tc>
        <w:tc>
          <w:tcPr>
            <w:tcW w:w="122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300,182</w:t>
            </w:r>
          </w:p>
        </w:tc>
        <w:tc>
          <w:tcPr>
            <w:tcW w:w="0" w:type="dxa"/>
            <w:vAlign w:val="bottom"/>
          </w:tcPr>
          <w:p>
            <w:pPr>
              <w:spacing w:after="0"/>
              <w:rPr>
                <w:sz w:val="1"/>
                <w:szCs w:val="1"/>
                <w:color w:val="auto"/>
              </w:rPr>
            </w:pPr>
          </w:p>
        </w:tc>
      </w:tr>
      <w:tr>
        <w:trPr>
          <w:trHeight w:val="232"/>
        </w:trPr>
        <w:tc>
          <w:tcPr>
            <w:tcW w:w="3160" w:type="dxa"/>
            <w:vAlign w:val="bottom"/>
          </w:tcPr>
          <w:p>
            <w:pPr>
              <w:ind w:left="80"/>
              <w:spacing w:after="0"/>
              <w:rPr>
                <w:sz w:val="20"/>
                <w:szCs w:val="20"/>
                <w:color w:val="auto"/>
              </w:rPr>
            </w:pPr>
            <w:r>
              <w:rPr>
                <w:rFonts w:ascii="Arial" w:cs="Arial" w:eastAsia="Arial" w:hAnsi="Arial"/>
                <w:sz w:val="18"/>
                <w:szCs w:val="18"/>
                <w:color w:val="auto"/>
              </w:rPr>
              <w:t>Meyers, Kevin O.</w:t>
            </w:r>
          </w:p>
        </w:tc>
        <w:tc>
          <w:tcPr>
            <w:tcW w:w="2860" w:type="dxa"/>
            <w:vAlign w:val="bottom"/>
          </w:tcPr>
          <w:p>
            <w:pPr>
              <w:jc w:val="right"/>
              <w:ind w:right="535"/>
              <w:spacing w:after="0"/>
              <w:rPr>
                <w:sz w:val="20"/>
                <w:szCs w:val="20"/>
                <w:color w:val="auto"/>
              </w:rPr>
            </w:pPr>
            <w:r>
              <w:rPr>
                <w:rFonts w:ascii="Arial" w:cs="Arial" w:eastAsia="Arial" w:hAnsi="Arial"/>
                <w:sz w:val="18"/>
                <w:szCs w:val="18"/>
                <w:color w:val="auto"/>
              </w:rPr>
              <w:t>145,000</w:t>
            </w:r>
          </w:p>
        </w:tc>
        <w:tc>
          <w:tcPr>
            <w:tcW w:w="1580" w:type="dxa"/>
            <w:vAlign w:val="bottom"/>
          </w:tcPr>
          <w:p>
            <w:pPr>
              <w:jc w:val="right"/>
              <w:ind w:right="315"/>
              <w:spacing w:after="0"/>
              <w:rPr>
                <w:sz w:val="20"/>
                <w:szCs w:val="20"/>
                <w:color w:val="auto"/>
              </w:rPr>
            </w:pPr>
            <w:r>
              <w:rPr>
                <w:rFonts w:ascii="Arial" w:cs="Arial" w:eastAsia="Arial" w:hAnsi="Arial"/>
                <w:sz w:val="18"/>
                <w:szCs w:val="18"/>
                <w:color w:val="auto"/>
              </w:rPr>
              <w:t>175,050</w:t>
            </w:r>
          </w:p>
        </w:tc>
        <w:tc>
          <w:tcPr>
            <w:tcW w:w="2040" w:type="dxa"/>
            <w:vAlign w:val="bottom"/>
          </w:tcPr>
          <w:p>
            <w:pPr>
              <w:jc w:val="right"/>
              <w:ind w:right="655"/>
              <w:spacing w:after="0"/>
              <w:rPr>
                <w:sz w:val="20"/>
                <w:szCs w:val="20"/>
                <w:color w:val="auto"/>
              </w:rPr>
            </w:pPr>
            <w:r>
              <w:rPr>
                <w:rFonts w:ascii="Arial" w:cs="Arial" w:eastAsia="Arial" w:hAnsi="Arial"/>
                <w:sz w:val="18"/>
                <w:szCs w:val="18"/>
                <w:color w:val="auto"/>
              </w:rPr>
              <w:t>1,115</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321,165</w:t>
            </w:r>
          </w:p>
        </w:tc>
        <w:tc>
          <w:tcPr>
            <w:tcW w:w="0" w:type="dxa"/>
            <w:vAlign w:val="bottom"/>
          </w:tcPr>
          <w:p>
            <w:pPr>
              <w:spacing w:after="0"/>
              <w:rPr>
                <w:sz w:val="1"/>
                <w:szCs w:val="1"/>
                <w:color w:val="auto"/>
              </w:rPr>
            </w:pPr>
          </w:p>
        </w:tc>
      </w:tr>
      <w:tr>
        <w:trPr>
          <w:trHeight w:val="247"/>
        </w:trPr>
        <w:tc>
          <w:tcPr>
            <w:tcW w:w="3160" w:type="dxa"/>
            <w:vAlign w:val="bottom"/>
            <w:shd w:val="clear" w:color="auto" w:fill="E5E5E5"/>
          </w:tcPr>
          <w:p>
            <w:pPr>
              <w:ind w:left="80"/>
              <w:spacing w:after="0"/>
              <w:rPr>
                <w:sz w:val="20"/>
                <w:szCs w:val="20"/>
                <w:color w:val="auto"/>
              </w:rPr>
            </w:pPr>
            <w:r>
              <w:rPr>
                <w:rFonts w:ascii="Arial" w:cs="Arial" w:eastAsia="Arial" w:hAnsi="Arial"/>
                <w:sz w:val="18"/>
                <w:szCs w:val="18"/>
                <w:color w:val="auto"/>
              </w:rPr>
              <w:t>Mullin III, John H.</w:t>
            </w:r>
          </w:p>
        </w:tc>
        <w:tc>
          <w:tcPr>
            <w:tcW w:w="2860" w:type="dxa"/>
            <w:vAlign w:val="bottom"/>
            <w:shd w:val="clear" w:color="auto" w:fill="E5E5E5"/>
          </w:tcPr>
          <w:p>
            <w:pPr>
              <w:jc w:val="right"/>
              <w:ind w:right="535"/>
              <w:spacing w:after="0"/>
              <w:rPr>
                <w:sz w:val="20"/>
                <w:szCs w:val="20"/>
                <w:color w:val="auto"/>
              </w:rPr>
            </w:pPr>
            <w:r>
              <w:rPr>
                <w:rFonts w:ascii="Arial" w:cs="Arial" w:eastAsia="Arial" w:hAnsi="Arial"/>
                <w:sz w:val="18"/>
                <w:szCs w:val="18"/>
                <w:color w:val="auto"/>
              </w:rPr>
              <w:t>56,428</w:t>
            </w:r>
          </w:p>
        </w:tc>
        <w:tc>
          <w:tcPr>
            <w:tcW w:w="1580" w:type="dxa"/>
            <w:vAlign w:val="bottom"/>
            <w:shd w:val="clear" w:color="auto" w:fill="E5E5E5"/>
          </w:tcPr>
          <w:p>
            <w:pPr>
              <w:jc w:val="right"/>
              <w:ind w:right="315"/>
              <w:spacing w:after="0"/>
              <w:rPr>
                <w:sz w:val="20"/>
                <w:szCs w:val="20"/>
                <w:color w:val="auto"/>
              </w:rPr>
            </w:pPr>
            <w:r>
              <w:rPr>
                <w:rFonts w:ascii="Arial" w:cs="Arial" w:eastAsia="Arial" w:hAnsi="Arial"/>
                <w:sz w:val="18"/>
                <w:szCs w:val="18"/>
                <w:color w:val="auto"/>
              </w:rPr>
              <w:t>58,693</w:t>
            </w:r>
          </w:p>
        </w:tc>
        <w:tc>
          <w:tcPr>
            <w:tcW w:w="2040" w:type="dxa"/>
            <w:vAlign w:val="bottom"/>
            <w:shd w:val="clear" w:color="auto" w:fill="E5E5E5"/>
          </w:tcPr>
          <w:p>
            <w:pPr>
              <w:jc w:val="right"/>
              <w:ind w:right="655"/>
              <w:spacing w:after="0"/>
              <w:rPr>
                <w:sz w:val="20"/>
                <w:szCs w:val="20"/>
                <w:color w:val="auto"/>
              </w:rPr>
            </w:pPr>
            <w:r>
              <w:rPr>
                <w:rFonts w:ascii="Arial" w:cs="Arial" w:eastAsia="Arial" w:hAnsi="Arial"/>
                <w:sz w:val="18"/>
                <w:szCs w:val="18"/>
                <w:color w:val="auto"/>
              </w:rPr>
              <w:t>557</w:t>
            </w:r>
          </w:p>
        </w:tc>
        <w:tc>
          <w:tcPr>
            <w:tcW w:w="122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115,679</w:t>
            </w:r>
          </w:p>
        </w:tc>
        <w:tc>
          <w:tcPr>
            <w:tcW w:w="0" w:type="dxa"/>
            <w:vAlign w:val="bottom"/>
          </w:tcPr>
          <w:p>
            <w:pPr>
              <w:spacing w:after="0"/>
              <w:rPr>
                <w:sz w:val="1"/>
                <w:szCs w:val="1"/>
                <w:color w:val="auto"/>
              </w:rPr>
            </w:pPr>
          </w:p>
        </w:tc>
      </w:tr>
      <w:tr>
        <w:trPr>
          <w:trHeight w:val="232"/>
        </w:trPr>
        <w:tc>
          <w:tcPr>
            <w:tcW w:w="3160" w:type="dxa"/>
            <w:vAlign w:val="bottom"/>
          </w:tcPr>
          <w:p>
            <w:pPr>
              <w:ind w:left="80"/>
              <w:spacing w:after="0"/>
              <w:rPr>
                <w:sz w:val="20"/>
                <w:szCs w:val="20"/>
                <w:color w:val="auto"/>
              </w:rPr>
            </w:pPr>
            <w:r>
              <w:rPr>
                <w:rFonts w:ascii="Arial" w:cs="Arial" w:eastAsia="Arial" w:hAnsi="Arial"/>
                <w:sz w:val="18"/>
                <w:szCs w:val="18"/>
                <w:color w:val="auto"/>
              </w:rPr>
              <w:t>Quigley, James H.</w:t>
            </w:r>
          </w:p>
        </w:tc>
        <w:tc>
          <w:tcPr>
            <w:tcW w:w="2860" w:type="dxa"/>
            <w:vAlign w:val="bottom"/>
          </w:tcPr>
          <w:p>
            <w:pPr>
              <w:jc w:val="right"/>
              <w:ind w:right="535"/>
              <w:spacing w:after="0"/>
              <w:rPr>
                <w:sz w:val="20"/>
                <w:szCs w:val="20"/>
                <w:color w:val="auto"/>
              </w:rPr>
            </w:pPr>
            <w:r>
              <w:rPr>
                <w:rFonts w:ascii="Arial" w:cs="Arial" w:eastAsia="Arial" w:hAnsi="Arial"/>
                <w:sz w:val="18"/>
                <w:szCs w:val="18"/>
                <w:color w:val="auto"/>
              </w:rPr>
              <w:t>310,000</w:t>
            </w:r>
          </w:p>
        </w:tc>
        <w:tc>
          <w:tcPr>
            <w:tcW w:w="1580" w:type="dxa"/>
            <w:vAlign w:val="bottom"/>
          </w:tcPr>
          <w:p>
            <w:pPr>
              <w:jc w:val="right"/>
              <w:ind w:right="315"/>
              <w:spacing w:after="0"/>
              <w:rPr>
                <w:sz w:val="20"/>
                <w:szCs w:val="20"/>
                <w:color w:val="auto"/>
              </w:rPr>
            </w:pPr>
            <w:r>
              <w:rPr>
                <w:rFonts w:ascii="Arial" w:cs="Arial" w:eastAsia="Arial" w:hAnsi="Arial"/>
                <w:sz w:val="18"/>
                <w:szCs w:val="18"/>
                <w:color w:val="auto"/>
              </w:rPr>
              <w:t>175,050</w:t>
            </w:r>
          </w:p>
        </w:tc>
        <w:tc>
          <w:tcPr>
            <w:tcW w:w="2040" w:type="dxa"/>
            <w:vAlign w:val="bottom"/>
          </w:tcPr>
          <w:p>
            <w:pPr>
              <w:jc w:val="right"/>
              <w:ind w:right="655"/>
              <w:spacing w:after="0"/>
              <w:rPr>
                <w:sz w:val="20"/>
                <w:szCs w:val="20"/>
                <w:color w:val="auto"/>
              </w:rPr>
            </w:pPr>
            <w:r>
              <w:rPr>
                <w:rFonts w:ascii="Arial" w:cs="Arial" w:eastAsia="Arial" w:hAnsi="Arial"/>
                <w:sz w:val="18"/>
                <w:szCs w:val="18"/>
                <w:color w:val="auto"/>
              </w:rPr>
              <w:t>21,750</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506,800</w:t>
            </w:r>
          </w:p>
        </w:tc>
        <w:tc>
          <w:tcPr>
            <w:tcW w:w="0" w:type="dxa"/>
            <w:vAlign w:val="bottom"/>
          </w:tcPr>
          <w:p>
            <w:pPr>
              <w:spacing w:after="0"/>
              <w:rPr>
                <w:sz w:val="1"/>
                <w:szCs w:val="1"/>
                <w:color w:val="auto"/>
              </w:rPr>
            </w:pPr>
          </w:p>
        </w:tc>
      </w:tr>
      <w:tr>
        <w:trPr>
          <w:trHeight w:val="247"/>
        </w:trPr>
        <w:tc>
          <w:tcPr>
            <w:tcW w:w="3160" w:type="dxa"/>
            <w:vAlign w:val="bottom"/>
            <w:shd w:val="clear" w:color="auto" w:fill="E5E5E5"/>
          </w:tcPr>
          <w:p>
            <w:pPr>
              <w:ind w:left="80"/>
              <w:spacing w:after="0"/>
              <w:rPr>
                <w:sz w:val="20"/>
                <w:szCs w:val="20"/>
                <w:color w:val="auto"/>
              </w:rPr>
            </w:pPr>
            <w:r>
              <w:rPr>
                <w:rFonts w:ascii="Arial" w:cs="Arial" w:eastAsia="Arial" w:hAnsi="Arial"/>
                <w:sz w:val="18"/>
                <w:szCs w:val="18"/>
                <w:color w:val="auto"/>
              </w:rPr>
              <w:t>Reynolds, Fredric G.</w:t>
            </w:r>
          </w:p>
        </w:tc>
        <w:tc>
          <w:tcPr>
            <w:tcW w:w="2860" w:type="dxa"/>
            <w:vAlign w:val="bottom"/>
            <w:shd w:val="clear" w:color="auto" w:fill="E5E5E5"/>
          </w:tcPr>
          <w:p>
            <w:pPr>
              <w:jc w:val="right"/>
              <w:ind w:right="535"/>
              <w:spacing w:after="0"/>
              <w:rPr>
                <w:sz w:val="20"/>
                <w:szCs w:val="20"/>
                <w:color w:val="auto"/>
              </w:rPr>
            </w:pPr>
            <w:r>
              <w:rPr>
                <w:rFonts w:ascii="Arial" w:cs="Arial" w:eastAsia="Arial" w:hAnsi="Arial"/>
                <w:sz w:val="18"/>
                <w:szCs w:val="18"/>
                <w:color w:val="auto"/>
              </w:rPr>
              <w:t>160,000</w:t>
            </w:r>
          </w:p>
        </w:tc>
        <w:tc>
          <w:tcPr>
            <w:tcW w:w="1580" w:type="dxa"/>
            <w:vAlign w:val="bottom"/>
            <w:shd w:val="clear" w:color="auto" w:fill="E5E5E5"/>
          </w:tcPr>
          <w:p>
            <w:pPr>
              <w:jc w:val="right"/>
              <w:ind w:right="315"/>
              <w:spacing w:after="0"/>
              <w:rPr>
                <w:sz w:val="20"/>
                <w:szCs w:val="20"/>
                <w:color w:val="auto"/>
              </w:rPr>
            </w:pPr>
            <w:r>
              <w:rPr>
                <w:rFonts w:ascii="Arial" w:cs="Arial" w:eastAsia="Arial" w:hAnsi="Arial"/>
                <w:sz w:val="18"/>
                <w:szCs w:val="18"/>
                <w:color w:val="auto"/>
              </w:rPr>
              <w:t>175,050</w:t>
            </w:r>
          </w:p>
        </w:tc>
        <w:tc>
          <w:tcPr>
            <w:tcW w:w="2040" w:type="dxa"/>
            <w:vAlign w:val="bottom"/>
            <w:shd w:val="clear" w:color="auto" w:fill="E5E5E5"/>
          </w:tcPr>
          <w:p>
            <w:pPr>
              <w:jc w:val="right"/>
              <w:ind w:right="655"/>
              <w:spacing w:after="0"/>
              <w:rPr>
                <w:sz w:val="20"/>
                <w:szCs w:val="20"/>
                <w:color w:val="auto"/>
              </w:rPr>
            </w:pPr>
            <w:r>
              <w:rPr>
                <w:rFonts w:ascii="Arial" w:cs="Arial" w:eastAsia="Arial" w:hAnsi="Arial"/>
                <w:sz w:val="18"/>
                <w:szCs w:val="18"/>
                <w:color w:val="auto"/>
              </w:rPr>
              <w:t>1,115</w:t>
            </w:r>
          </w:p>
        </w:tc>
        <w:tc>
          <w:tcPr>
            <w:tcW w:w="122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336,165</w:t>
            </w:r>
          </w:p>
        </w:tc>
        <w:tc>
          <w:tcPr>
            <w:tcW w:w="0" w:type="dxa"/>
            <w:vAlign w:val="bottom"/>
          </w:tcPr>
          <w:p>
            <w:pPr>
              <w:spacing w:after="0"/>
              <w:rPr>
                <w:sz w:val="1"/>
                <w:szCs w:val="1"/>
                <w:color w:val="auto"/>
              </w:rPr>
            </w:pPr>
          </w:p>
        </w:tc>
      </w:tr>
      <w:tr>
        <w:trPr>
          <w:trHeight w:val="225"/>
        </w:trPr>
        <w:tc>
          <w:tcPr>
            <w:tcW w:w="3160" w:type="dxa"/>
            <w:vAlign w:val="bottom"/>
          </w:tcPr>
          <w:p>
            <w:pPr>
              <w:ind w:left="80"/>
              <w:spacing w:after="0"/>
              <w:rPr>
                <w:sz w:val="20"/>
                <w:szCs w:val="20"/>
                <w:color w:val="auto"/>
              </w:rPr>
            </w:pPr>
            <w:r>
              <w:rPr>
                <w:rFonts w:ascii="Arial" w:cs="Arial" w:eastAsia="Arial" w:hAnsi="Arial"/>
                <w:sz w:val="18"/>
                <w:szCs w:val="18"/>
                <w:color w:val="auto"/>
              </w:rPr>
              <w:t>Schrader, William G.</w:t>
            </w:r>
          </w:p>
        </w:tc>
        <w:tc>
          <w:tcPr>
            <w:tcW w:w="2860" w:type="dxa"/>
            <w:vAlign w:val="bottom"/>
          </w:tcPr>
          <w:p>
            <w:pPr>
              <w:jc w:val="right"/>
              <w:ind w:right="535"/>
              <w:spacing w:after="0"/>
              <w:rPr>
                <w:sz w:val="20"/>
                <w:szCs w:val="20"/>
                <w:color w:val="auto"/>
              </w:rPr>
            </w:pPr>
            <w:r>
              <w:rPr>
                <w:rFonts w:ascii="Arial" w:cs="Arial" w:eastAsia="Arial" w:hAnsi="Arial"/>
                <w:sz w:val="18"/>
                <w:szCs w:val="18"/>
                <w:color w:val="auto"/>
              </w:rPr>
              <w:t>140,000</w:t>
            </w:r>
          </w:p>
        </w:tc>
        <w:tc>
          <w:tcPr>
            <w:tcW w:w="1580" w:type="dxa"/>
            <w:vAlign w:val="bottom"/>
          </w:tcPr>
          <w:p>
            <w:pPr>
              <w:jc w:val="right"/>
              <w:ind w:right="315"/>
              <w:spacing w:after="0"/>
              <w:rPr>
                <w:sz w:val="20"/>
                <w:szCs w:val="20"/>
                <w:color w:val="auto"/>
              </w:rPr>
            </w:pPr>
            <w:r>
              <w:rPr>
                <w:rFonts w:ascii="Arial" w:cs="Arial" w:eastAsia="Arial" w:hAnsi="Arial"/>
                <w:sz w:val="18"/>
                <w:szCs w:val="18"/>
                <w:color w:val="auto"/>
              </w:rPr>
              <w:t>175,050</w:t>
            </w:r>
          </w:p>
        </w:tc>
        <w:tc>
          <w:tcPr>
            <w:tcW w:w="2040" w:type="dxa"/>
            <w:vAlign w:val="bottom"/>
          </w:tcPr>
          <w:p>
            <w:pPr>
              <w:jc w:val="right"/>
              <w:ind w:right="655"/>
              <w:spacing w:after="0"/>
              <w:rPr>
                <w:sz w:val="20"/>
                <w:szCs w:val="20"/>
                <w:color w:val="auto"/>
              </w:rPr>
            </w:pPr>
            <w:r>
              <w:rPr>
                <w:rFonts w:ascii="Arial" w:cs="Arial" w:eastAsia="Arial" w:hAnsi="Arial"/>
                <w:sz w:val="18"/>
                <w:szCs w:val="18"/>
                <w:color w:val="auto"/>
              </w:rPr>
              <w:t>1,115</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316,165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9525</wp:posOffset>
            </wp:positionV>
            <wp:extent cx="68935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10" w:lineRule="exact"/>
        <w:rPr>
          <w:sz w:val="20"/>
          <w:szCs w:val="20"/>
          <w:color w:val="auto"/>
        </w:rPr>
      </w:pPr>
    </w:p>
    <w:p>
      <w:pPr>
        <w:jc w:val="both"/>
        <w:ind w:left="600" w:hanging="314"/>
        <w:spacing w:after="0" w:line="246" w:lineRule="auto"/>
        <w:tabs>
          <w:tab w:leader="none" w:pos="6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Stock awards consist of 3,403 common shares granted to non-employee directors on February 28, 2017, which were fully vested on the grant date. The aggregate grant date value for 2017 stock awards was computed in accordance with Financial Accounting Standards Board Accounting Standards Codification Topic 718 (“ASC 718”). Mr. Mullin received pro-rated awards based on his departure on June 7, 2017 as director, which equaled 1,141 common shares.</w:t>
      </w:r>
    </w:p>
    <w:p>
      <w:pPr>
        <w:spacing w:after="0" w:line="110" w:lineRule="exact"/>
        <w:rPr>
          <w:rFonts w:ascii="Arial" w:cs="Arial" w:eastAsia="Arial" w:hAnsi="Arial"/>
          <w:sz w:val="16"/>
          <w:szCs w:val="16"/>
          <w:color w:val="auto"/>
        </w:rPr>
      </w:pPr>
    </w:p>
    <w:p>
      <w:pPr>
        <w:jc w:val="both"/>
        <w:ind w:left="600" w:hanging="314"/>
        <w:spacing w:after="0" w:line="248" w:lineRule="auto"/>
        <w:tabs>
          <w:tab w:leader="none" w:pos="6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Amounts in this column consist of annual life insurance premiums for each director and, (i) medical and dental benefits of $10,809 for Messrs. Coleman and Lipschultz and $21,618 for Mr. Quigley and, (ii) dental benefits of $984 for Messrs. Chase, Meyers, Reynolds and Schrader and $492 for Mr. Mullin.</w:t>
      </w:r>
    </w:p>
    <w:p>
      <w:pPr>
        <w:spacing w:after="0" w:line="172" w:lineRule="exact"/>
        <w:rPr>
          <w:sz w:val="20"/>
          <w:szCs w:val="20"/>
          <w:color w:val="auto"/>
        </w:rPr>
      </w:pPr>
    </w:p>
    <w:p>
      <w:pPr>
        <w:jc w:val="both"/>
        <w:ind w:left="280"/>
        <w:spacing w:after="0" w:line="232" w:lineRule="auto"/>
        <w:rPr>
          <w:sz w:val="20"/>
          <w:szCs w:val="20"/>
          <w:color w:val="auto"/>
        </w:rPr>
      </w:pPr>
      <w:r>
        <w:rPr>
          <w:rFonts w:ascii="Arial" w:cs="Arial" w:eastAsia="Arial" w:hAnsi="Arial"/>
          <w:sz w:val="18"/>
          <w:szCs w:val="18"/>
          <w:color w:val="auto"/>
        </w:rPr>
        <w:t>Each director who was not an employee of the company or any of its subsidiaries receives an annual cash retainer of $110,000 for membership on the board of directors and the independent chairman of the board receives an additional annual cash retainer of $185,000. Directors receive an additional annual cash fee of $ 25,000 for service on the audit committee and $10,000 for service on each of the other committees of the board of directors on which such director serves. The chairperson of the audit committee receives an annual cash fee of $30,000 and the chairperson of each of the other board committees receives an annual cash fee of $15,000. Directors serving on the EHS subcommittee receive an additional annual cash fee of $5,000 and the chairperson of the EHS subcommittee receives an annual cash fee of $10,000. In addition, each non-employee director receives shares of fully vested common stock constituting approximately $175,000 in value on the date of award. These awards are made from shares purchased by the company in the open market. For 2017, Messrs. Mullin, Coleman and Lipschultz received pro-rated board and committee retainers based on their length of service on the board and committees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90170</wp:posOffset>
            </wp:positionV>
            <wp:extent cx="405765" cy="2451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215" w:lineRule="exact"/>
        <w:rPr>
          <w:sz w:val="20"/>
          <w:szCs w:val="20"/>
          <w:color w:val="auto"/>
        </w:rPr>
      </w:pPr>
    </w:p>
    <w:tbl>
      <w:tblPr>
        <w:tblLayout w:type="fixed"/>
        <w:tblInd w:w="9140" w:type="dxa"/>
        <w:tblCellMar>
          <w:top w:w="0" w:type="dxa"/>
          <w:left w:w="0" w:type="dxa"/>
          <w:bottom w:w="0" w:type="dxa"/>
          <w:right w:w="0" w:type="dxa"/>
        </w:tblCellMar>
      </w:tblPr>
      <w:tr>
        <w:trPr>
          <w:trHeight w:val="188"/>
        </w:trPr>
        <w:tc>
          <w:tcPr>
            <w:tcW w:w="1680" w:type="dxa"/>
            <w:vAlign w:val="bottom"/>
          </w:tcPr>
          <w:p>
            <w:pPr>
              <w:spacing w:after="0"/>
              <w:rPr>
                <w:sz w:val="20"/>
                <w:szCs w:val="20"/>
                <w:color w:val="auto"/>
              </w:rPr>
            </w:pPr>
            <w:r>
              <w:rPr>
                <w:rFonts w:ascii="Arial" w:cs="Arial" w:eastAsia="Arial" w:hAnsi="Arial"/>
                <w:sz w:val="12"/>
                <w:szCs w:val="12"/>
                <w:b w:val="1"/>
                <w:bCs w:val="1"/>
                <w:color w:val="666666"/>
              </w:rPr>
              <w:t>2018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007549"/>
              </w:rPr>
              <w:t>19</w:t>
            </w:r>
          </w:p>
        </w:tc>
      </w:tr>
    </w:tbl>
    <w:p>
      <w:pPr>
        <w:sectPr>
          <w:pgSz w:w="11900" w:h="16838" w:orient="portrait"/>
          <w:cols w:equalWidth="0" w:num="1">
            <w:col w:w="11140"/>
          </w:cols>
          <w:pgMar w:left="240" w:top="454" w:right="5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80"/>
        <w:spacing w:after="0"/>
        <w:rPr>
          <w:sz w:val="20"/>
          <w:szCs w:val="20"/>
          <w:color w:val="auto"/>
        </w:rPr>
      </w:pPr>
      <w:r>
        <w:rPr>
          <w:rFonts w:ascii="Arial" w:cs="Arial" w:eastAsia="Arial" w:hAnsi="Arial"/>
          <w:sz w:val="39"/>
          <w:szCs w:val="39"/>
          <w:color w:val="007549"/>
        </w:rPr>
        <w:t>EXECUTIVE COMPENSATION</w:t>
      </w:r>
    </w:p>
    <w:p>
      <w:pPr>
        <w:spacing w:after="0" w:line="182"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333333"/>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63500</wp:posOffset>
            </wp:positionV>
            <wp:extent cx="68935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173" w:lineRule="exact"/>
        <w:rPr>
          <w:sz w:val="20"/>
          <w:szCs w:val="20"/>
          <w:color w:val="auto"/>
        </w:rPr>
      </w:pPr>
    </w:p>
    <w:p>
      <w:pPr>
        <w:jc w:val="both"/>
        <w:ind w:left="280"/>
        <w:spacing w:after="0" w:line="235" w:lineRule="auto"/>
        <w:rPr>
          <w:sz w:val="20"/>
          <w:szCs w:val="20"/>
          <w:color w:val="auto"/>
        </w:rPr>
      </w:pPr>
      <w:r>
        <w:rPr>
          <w:rFonts w:ascii="Arial" w:cs="Arial" w:eastAsia="Arial" w:hAnsi="Arial"/>
          <w:sz w:val="18"/>
          <w:szCs w:val="18"/>
          <w:color w:val="auto"/>
        </w:rPr>
        <w:t>This Compensation Discussion and Analysis (“CD&amp;A”) explains the key elements of our executive compensation program and 2017 compensation decisions for our named executive officers (“NEOs”). The compensation and management development committee of our board of directors (the “compensation committee” or the “committee”), with input from its independent compensation consultant, oversees these programs and determines compensation for our NEOs.</w:t>
      </w:r>
    </w:p>
    <w:p>
      <w:pPr>
        <w:spacing w:after="0" w:line="16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 fiscal year 2017, our NEOs were:</w:t>
      </w:r>
    </w:p>
    <w:p>
      <w:pPr>
        <w:spacing w:after="0" w:line="90" w:lineRule="exact"/>
        <w:rPr>
          <w:sz w:val="20"/>
          <w:szCs w:val="20"/>
          <w:color w:val="auto"/>
        </w:rPr>
      </w:pPr>
    </w:p>
    <w:p>
      <w:pPr>
        <w:ind w:left="400"/>
        <w:spacing w:after="0"/>
        <w:tabs>
          <w:tab w:leader="none" w:pos="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b w:val="1"/>
          <w:bCs w:val="1"/>
          <w:color w:val="007549"/>
        </w:rPr>
        <w:t>John B. Hess</w:t>
      </w:r>
      <w:r>
        <w:rPr>
          <w:rFonts w:ascii="Arial" w:cs="Arial" w:eastAsia="Arial" w:hAnsi="Arial"/>
          <w:sz w:val="17"/>
          <w:szCs w:val="17"/>
          <w:color w:val="000000"/>
        </w:rPr>
        <w:t>, Chief Executive Officer (“CEO”)</w:t>
      </w:r>
    </w:p>
    <w:p>
      <w:pPr>
        <w:spacing w:after="0" w:line="112" w:lineRule="exact"/>
        <w:rPr>
          <w:sz w:val="20"/>
          <w:szCs w:val="20"/>
          <w:color w:val="auto"/>
        </w:rPr>
      </w:pPr>
    </w:p>
    <w:p>
      <w:pPr>
        <w:ind w:left="400"/>
        <w:spacing w:after="0"/>
        <w:tabs>
          <w:tab w:leader="none" w:pos="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b w:val="1"/>
          <w:bCs w:val="1"/>
          <w:color w:val="007549"/>
        </w:rPr>
        <w:t>Gregory P. Hill</w:t>
      </w:r>
      <w:r>
        <w:rPr>
          <w:rFonts w:ascii="Arial" w:cs="Arial" w:eastAsia="Arial" w:hAnsi="Arial"/>
          <w:sz w:val="17"/>
          <w:szCs w:val="17"/>
          <w:color w:val="000000"/>
        </w:rPr>
        <w:t>, Chief Operating Officer and President of Exploration and Production (“COO”)</w:t>
      </w:r>
    </w:p>
    <w:p>
      <w:pPr>
        <w:spacing w:after="0" w:line="112" w:lineRule="exact"/>
        <w:rPr>
          <w:sz w:val="20"/>
          <w:szCs w:val="20"/>
          <w:color w:val="auto"/>
        </w:rPr>
      </w:pPr>
    </w:p>
    <w:p>
      <w:pPr>
        <w:ind w:left="400"/>
        <w:spacing w:after="0"/>
        <w:tabs>
          <w:tab w:leader="none" w:pos="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b w:val="1"/>
          <w:bCs w:val="1"/>
          <w:color w:val="007549"/>
        </w:rPr>
        <w:t>Timothy B. Goodell</w:t>
      </w:r>
      <w:r>
        <w:rPr>
          <w:rFonts w:ascii="Arial" w:cs="Arial" w:eastAsia="Arial" w:hAnsi="Arial"/>
          <w:sz w:val="17"/>
          <w:szCs w:val="17"/>
          <w:color w:val="000000"/>
        </w:rPr>
        <w:t>, Senior Vice President, General Counsel and Corporate Secretary</w:t>
      </w:r>
    </w:p>
    <w:p>
      <w:pPr>
        <w:spacing w:after="0" w:line="112" w:lineRule="exact"/>
        <w:rPr>
          <w:sz w:val="20"/>
          <w:szCs w:val="20"/>
          <w:color w:val="auto"/>
        </w:rPr>
      </w:pPr>
    </w:p>
    <w:p>
      <w:pPr>
        <w:ind w:left="400"/>
        <w:spacing w:after="0"/>
        <w:tabs>
          <w:tab w:leader="none" w:pos="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b w:val="1"/>
          <w:bCs w:val="1"/>
          <w:color w:val="007549"/>
        </w:rPr>
        <w:t>John P. Rielly</w:t>
      </w:r>
      <w:r>
        <w:rPr>
          <w:rFonts w:ascii="Arial" w:cs="Arial" w:eastAsia="Arial" w:hAnsi="Arial"/>
          <w:sz w:val="17"/>
          <w:szCs w:val="17"/>
          <w:color w:val="000000"/>
        </w:rPr>
        <w:t>, Senior Vice President and Chief Financial Officer (“CFO”)</w:t>
      </w:r>
    </w:p>
    <w:p>
      <w:pPr>
        <w:spacing w:after="0" w:line="112" w:lineRule="exact"/>
        <w:rPr>
          <w:sz w:val="20"/>
          <w:szCs w:val="20"/>
          <w:color w:val="auto"/>
        </w:rPr>
      </w:pPr>
    </w:p>
    <w:p>
      <w:pPr>
        <w:ind w:left="400"/>
        <w:spacing w:after="0"/>
        <w:tabs>
          <w:tab w:leader="none" w:pos="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b w:val="1"/>
          <w:bCs w:val="1"/>
          <w:color w:val="007549"/>
        </w:rPr>
        <w:t>Michael R. Turner</w:t>
      </w:r>
      <w:r>
        <w:rPr>
          <w:rFonts w:ascii="Arial" w:cs="Arial" w:eastAsia="Arial" w:hAnsi="Arial"/>
          <w:sz w:val="17"/>
          <w:szCs w:val="17"/>
          <w:color w:val="000000"/>
        </w:rPr>
        <w:t>, Senior Vice President, Global Production</w:t>
      </w:r>
    </w:p>
    <w:p>
      <w:pPr>
        <w:spacing w:after="0" w:line="196"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007549"/>
        </w:rPr>
        <w:t>CD&amp;A Table of Contents</w:t>
      </w:r>
    </w:p>
    <w:p>
      <w:pPr>
        <w:spacing w:after="0" w:line="250" w:lineRule="exact"/>
        <w:rPr>
          <w:sz w:val="20"/>
          <w:szCs w:val="20"/>
          <w:color w:val="auto"/>
        </w:rPr>
      </w:pPr>
    </w:p>
    <w:tbl>
      <w:tblPr>
        <w:tblLayout w:type="fixed"/>
        <w:tblInd w:w="1170" w:type="dxa"/>
        <w:tblCellMar>
          <w:top w:w="0" w:type="dxa"/>
          <w:left w:w="0" w:type="dxa"/>
          <w:bottom w:w="0" w:type="dxa"/>
          <w:right w:w="0" w:type="dxa"/>
        </w:tblCellMar>
      </w:tblPr>
      <w:tr>
        <w:trPr>
          <w:trHeight w:val="186"/>
        </w:trPr>
        <w:tc>
          <w:tcPr>
            <w:tcW w:w="220" w:type="dxa"/>
            <w:vAlign w:val="bottom"/>
            <w:tcBorders>
              <w:top w:val="single" w:sz="8" w:color="auto"/>
              <w:left w:val="single" w:sz="8" w:color="auto"/>
              <w:bottom w:val="single" w:sz="8" w:color="E5E5E5"/>
            </w:tcBorders>
            <w:shd w:val="clear" w:color="auto" w:fill="E5E5E5"/>
          </w:tcPr>
          <w:p>
            <w:pPr>
              <w:spacing w:after="0"/>
              <w:rPr>
                <w:sz w:val="16"/>
                <w:szCs w:val="16"/>
                <w:color w:val="auto"/>
              </w:rPr>
            </w:pPr>
          </w:p>
        </w:tc>
        <w:tc>
          <w:tcPr>
            <w:tcW w:w="1580" w:type="dxa"/>
            <w:vAlign w:val="bottom"/>
            <w:tcBorders>
              <w:top w:val="single" w:sz="8" w:color="auto"/>
              <w:bottom w:val="single" w:sz="8" w:color="0000EE"/>
            </w:tcBorders>
            <w:gridSpan w:val="4"/>
            <w:shd w:val="clear" w:color="auto" w:fill="E5E5E5"/>
          </w:tcPr>
          <w:p>
            <w:pPr>
              <w:spacing w:after="0" w:line="186" w:lineRule="exact"/>
              <w:rPr>
                <w:rFonts w:ascii="Arial" w:cs="Arial" w:eastAsia="Arial" w:hAnsi="Arial"/>
                <w:sz w:val="18"/>
                <w:szCs w:val="18"/>
                <w:color w:val="0000EE"/>
                <w:w w:val="97"/>
              </w:rPr>
            </w:pPr>
            <w:hyperlink w:anchor="page32">
              <w:r>
                <w:rPr>
                  <w:rFonts w:ascii="Arial" w:cs="Arial" w:eastAsia="Arial" w:hAnsi="Arial"/>
                  <w:sz w:val="18"/>
                  <w:szCs w:val="18"/>
                  <w:color w:val="0000EE"/>
                  <w:w w:val="97"/>
                </w:rPr>
                <w:t>Executive Summary</w:t>
              </w:r>
            </w:hyperlink>
          </w:p>
        </w:tc>
        <w:tc>
          <w:tcPr>
            <w:tcW w:w="5960" w:type="dxa"/>
            <w:vAlign w:val="bottom"/>
            <w:tcBorders>
              <w:top w:val="single" w:sz="8" w:color="auto"/>
              <w:bottom w:val="single" w:sz="8" w:color="E5E5E5"/>
            </w:tcBorders>
            <w:gridSpan w:val="13"/>
            <w:shd w:val="clear" w:color="auto" w:fill="E5E5E5"/>
          </w:tcPr>
          <w:p>
            <w:pPr>
              <w:spacing w:after="0"/>
              <w:rPr>
                <w:sz w:val="16"/>
                <w:szCs w:val="16"/>
                <w:color w:val="auto"/>
              </w:rPr>
            </w:pPr>
          </w:p>
        </w:tc>
        <w:tc>
          <w:tcPr>
            <w:tcW w:w="1380" w:type="dxa"/>
            <w:vAlign w:val="bottom"/>
            <w:tcBorders>
              <w:top w:val="single" w:sz="8" w:color="auto"/>
              <w:bottom w:val="single" w:sz="8" w:color="E5E5E5"/>
              <w:right w:val="single" w:sz="8" w:color="auto"/>
            </w:tcBorders>
            <w:shd w:val="clear" w:color="auto" w:fill="E5E5E5"/>
          </w:tcPr>
          <w:p>
            <w:pPr>
              <w:jc w:val="right"/>
              <w:ind w:right="211"/>
              <w:spacing w:after="0" w:line="186" w:lineRule="exact"/>
              <w:rPr>
                <w:sz w:val="20"/>
                <w:szCs w:val="20"/>
                <w:color w:val="auto"/>
              </w:rPr>
            </w:pPr>
            <w:r>
              <w:rPr>
                <w:rFonts w:ascii="Arial" w:cs="Arial" w:eastAsia="Arial" w:hAnsi="Arial"/>
                <w:sz w:val="18"/>
                <w:szCs w:val="18"/>
                <w:color w:val="auto"/>
              </w:rPr>
              <w:t>20</w:t>
            </w:r>
          </w:p>
        </w:tc>
      </w:tr>
      <w:tr>
        <w:trPr>
          <w:trHeight w:val="180"/>
        </w:trPr>
        <w:tc>
          <w:tcPr>
            <w:tcW w:w="220" w:type="dxa"/>
            <w:vAlign w:val="bottom"/>
            <w:tcBorders>
              <w:left w:val="single" w:sz="8" w:color="auto"/>
            </w:tcBorders>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7340" w:type="dxa"/>
            <w:vAlign w:val="bottom"/>
            <w:gridSpan w:val="16"/>
            <w:shd w:val="clear" w:color="auto" w:fill="E5E5E5"/>
          </w:tcPr>
          <w:p>
            <w:pPr>
              <w:spacing w:after="0" w:line="180" w:lineRule="exact"/>
              <w:rPr>
                <w:rFonts w:ascii="Arial" w:cs="Arial" w:eastAsia="Arial" w:hAnsi="Arial"/>
                <w:sz w:val="18"/>
                <w:szCs w:val="18"/>
                <w:color w:val="0000EE"/>
              </w:rPr>
            </w:pPr>
            <w:hyperlink w:anchor="page33">
              <w:r>
                <w:rPr>
                  <w:rFonts w:ascii="Arial" w:cs="Arial" w:eastAsia="Arial" w:hAnsi="Arial"/>
                  <w:sz w:val="18"/>
                  <w:szCs w:val="18"/>
                  <w:color w:val="0000EE"/>
                </w:rPr>
                <w:t>Compensation Actions in 2017</w:t>
              </w:r>
            </w:hyperlink>
          </w:p>
        </w:tc>
        <w:tc>
          <w:tcPr>
            <w:tcW w:w="1380" w:type="dxa"/>
            <w:vAlign w:val="bottom"/>
            <w:tcBorders>
              <w:right w:val="single" w:sz="8" w:color="auto"/>
            </w:tcBorders>
            <w:shd w:val="clear" w:color="auto" w:fill="E5E5E5"/>
          </w:tcPr>
          <w:p>
            <w:pPr>
              <w:jc w:val="right"/>
              <w:ind w:right="211"/>
              <w:spacing w:after="0" w:line="180" w:lineRule="exact"/>
              <w:rPr>
                <w:sz w:val="20"/>
                <w:szCs w:val="20"/>
                <w:color w:val="auto"/>
              </w:rPr>
            </w:pPr>
            <w:r>
              <w:rPr>
                <w:rFonts w:ascii="Arial" w:cs="Arial" w:eastAsia="Arial" w:hAnsi="Arial"/>
                <w:sz w:val="18"/>
                <w:szCs w:val="18"/>
                <w:color w:val="auto"/>
              </w:rPr>
              <w:t>21</w:t>
            </w:r>
          </w:p>
        </w:tc>
      </w:tr>
      <w:tr>
        <w:trPr>
          <w:trHeight w:val="20"/>
        </w:trPr>
        <w:tc>
          <w:tcPr>
            <w:tcW w:w="220" w:type="dxa"/>
            <w:vAlign w:val="bottom"/>
            <w:tcBorders>
              <w:left w:val="single" w:sz="8" w:color="auto"/>
            </w:tcBorders>
            <w:shd w:val="clear" w:color="auto" w:fill="E5E5E5"/>
          </w:tcPr>
          <w:p>
            <w:pPr>
              <w:spacing w:after="0" w:line="20" w:lineRule="exact"/>
              <w:rPr>
                <w:sz w:val="1"/>
                <w:szCs w:val="1"/>
                <w:color w:val="auto"/>
              </w:rPr>
            </w:pPr>
          </w:p>
        </w:tc>
        <w:tc>
          <w:tcPr>
            <w:tcW w:w="200" w:type="dxa"/>
            <w:vAlign w:val="bottom"/>
            <w:shd w:val="clear" w:color="auto" w:fill="E5E5E5"/>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Borders>
              <w:right w:val="single" w:sz="8" w:color="E5E5E5"/>
            </w:tcBorders>
            <w:shd w:val="clear" w:color="auto" w:fill="0000EE"/>
          </w:tcPr>
          <w:p>
            <w:pPr>
              <w:spacing w:after="0" w:line="20" w:lineRule="exact"/>
              <w:rPr>
                <w:sz w:val="1"/>
                <w:szCs w:val="1"/>
                <w:color w:val="auto"/>
              </w:rPr>
            </w:pPr>
          </w:p>
        </w:tc>
        <w:tc>
          <w:tcPr>
            <w:tcW w:w="340" w:type="dxa"/>
            <w:vAlign w:val="bottom"/>
            <w:shd w:val="clear" w:color="auto" w:fill="E5E5E5"/>
          </w:tcPr>
          <w:p>
            <w:pPr>
              <w:spacing w:after="0" w:line="20" w:lineRule="exact"/>
              <w:rPr>
                <w:sz w:val="1"/>
                <w:szCs w:val="1"/>
                <w:color w:val="auto"/>
              </w:rPr>
            </w:pPr>
          </w:p>
        </w:tc>
        <w:tc>
          <w:tcPr>
            <w:tcW w:w="220" w:type="dxa"/>
            <w:vAlign w:val="bottom"/>
            <w:shd w:val="clear" w:color="auto" w:fill="E5E5E5"/>
          </w:tcPr>
          <w:p>
            <w:pPr>
              <w:spacing w:after="0" w:line="20" w:lineRule="exact"/>
              <w:rPr>
                <w:sz w:val="1"/>
                <w:szCs w:val="1"/>
                <w:color w:val="auto"/>
              </w:rPr>
            </w:pPr>
          </w:p>
        </w:tc>
        <w:tc>
          <w:tcPr>
            <w:tcW w:w="380" w:type="dxa"/>
            <w:vAlign w:val="bottom"/>
            <w:shd w:val="clear" w:color="auto" w:fill="E5E5E5"/>
          </w:tcPr>
          <w:p>
            <w:pPr>
              <w:spacing w:after="0" w:line="20" w:lineRule="exact"/>
              <w:rPr>
                <w:sz w:val="1"/>
                <w:szCs w:val="1"/>
                <w:color w:val="auto"/>
              </w:rPr>
            </w:pPr>
          </w:p>
        </w:tc>
        <w:tc>
          <w:tcPr>
            <w:tcW w:w="1260" w:type="dxa"/>
            <w:vAlign w:val="bottom"/>
            <w:shd w:val="clear" w:color="auto" w:fill="E5E5E5"/>
          </w:tcPr>
          <w:p>
            <w:pPr>
              <w:spacing w:after="0" w:line="20" w:lineRule="exact"/>
              <w:rPr>
                <w:sz w:val="1"/>
                <w:szCs w:val="1"/>
                <w:color w:val="auto"/>
              </w:rPr>
            </w:pPr>
          </w:p>
        </w:tc>
        <w:tc>
          <w:tcPr>
            <w:tcW w:w="20" w:type="dxa"/>
            <w:vAlign w:val="bottom"/>
            <w:shd w:val="clear" w:color="auto" w:fill="E5E5E5"/>
          </w:tcPr>
          <w:p>
            <w:pPr>
              <w:spacing w:after="0" w:line="20" w:lineRule="exact"/>
              <w:rPr>
                <w:sz w:val="1"/>
                <w:szCs w:val="1"/>
                <w:color w:val="auto"/>
              </w:rPr>
            </w:pPr>
          </w:p>
        </w:tc>
        <w:tc>
          <w:tcPr>
            <w:tcW w:w="1100" w:type="dxa"/>
            <w:vAlign w:val="bottom"/>
            <w:shd w:val="clear" w:color="auto" w:fill="E5E5E5"/>
          </w:tcPr>
          <w:p>
            <w:pPr>
              <w:spacing w:after="0" w:line="20" w:lineRule="exact"/>
              <w:rPr>
                <w:sz w:val="1"/>
                <w:szCs w:val="1"/>
                <w:color w:val="auto"/>
              </w:rPr>
            </w:pPr>
          </w:p>
        </w:tc>
        <w:tc>
          <w:tcPr>
            <w:tcW w:w="280" w:type="dxa"/>
            <w:vAlign w:val="bottom"/>
            <w:shd w:val="clear" w:color="auto" w:fill="E5E5E5"/>
          </w:tcPr>
          <w:p>
            <w:pPr>
              <w:spacing w:after="0" w:line="20" w:lineRule="exact"/>
              <w:rPr>
                <w:sz w:val="1"/>
                <w:szCs w:val="1"/>
                <w:color w:val="auto"/>
              </w:rPr>
            </w:pPr>
          </w:p>
        </w:tc>
        <w:tc>
          <w:tcPr>
            <w:tcW w:w="400" w:type="dxa"/>
            <w:vAlign w:val="bottom"/>
            <w:shd w:val="clear" w:color="auto" w:fill="E5E5E5"/>
          </w:tcPr>
          <w:p>
            <w:pPr>
              <w:spacing w:after="0" w:line="20" w:lineRule="exact"/>
              <w:rPr>
                <w:sz w:val="1"/>
                <w:szCs w:val="1"/>
                <w:color w:val="auto"/>
              </w:rPr>
            </w:pPr>
          </w:p>
        </w:tc>
        <w:tc>
          <w:tcPr>
            <w:tcW w:w="900" w:type="dxa"/>
            <w:vAlign w:val="bottom"/>
            <w:shd w:val="clear" w:color="auto" w:fill="E5E5E5"/>
          </w:tcPr>
          <w:p>
            <w:pPr>
              <w:spacing w:after="0" w:line="20" w:lineRule="exact"/>
              <w:rPr>
                <w:sz w:val="1"/>
                <w:szCs w:val="1"/>
                <w:color w:val="auto"/>
              </w:rPr>
            </w:pPr>
          </w:p>
        </w:tc>
        <w:tc>
          <w:tcPr>
            <w:tcW w:w="1380" w:type="dxa"/>
            <w:vAlign w:val="bottom"/>
            <w:tcBorders>
              <w:right w:val="single" w:sz="8" w:color="auto"/>
            </w:tcBorders>
            <w:shd w:val="clear" w:color="auto" w:fill="E5E5E5"/>
          </w:tcPr>
          <w:p>
            <w:pPr>
              <w:spacing w:after="0" w:line="20" w:lineRule="exact"/>
              <w:rPr>
                <w:sz w:val="1"/>
                <w:szCs w:val="1"/>
                <w:color w:val="auto"/>
              </w:rPr>
            </w:pPr>
          </w:p>
        </w:tc>
      </w:tr>
      <w:tr>
        <w:trPr>
          <w:trHeight w:val="180"/>
        </w:trPr>
        <w:tc>
          <w:tcPr>
            <w:tcW w:w="220" w:type="dxa"/>
            <w:vAlign w:val="bottom"/>
            <w:tcBorders>
              <w:left w:val="single" w:sz="8" w:color="auto"/>
            </w:tcBorders>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7340" w:type="dxa"/>
            <w:vAlign w:val="bottom"/>
            <w:gridSpan w:val="16"/>
            <w:shd w:val="clear" w:color="auto" w:fill="E5E5E5"/>
          </w:tcPr>
          <w:p>
            <w:pPr>
              <w:spacing w:after="0" w:line="180" w:lineRule="exact"/>
              <w:rPr>
                <w:rFonts w:ascii="Arial" w:cs="Arial" w:eastAsia="Arial" w:hAnsi="Arial"/>
                <w:sz w:val="18"/>
                <w:szCs w:val="18"/>
                <w:color w:val="0000EE"/>
              </w:rPr>
            </w:pPr>
            <w:hyperlink w:anchor="page33">
              <w:r>
                <w:rPr>
                  <w:rFonts w:ascii="Arial" w:cs="Arial" w:eastAsia="Arial" w:hAnsi="Arial"/>
                  <w:sz w:val="18"/>
                  <w:szCs w:val="18"/>
                  <w:color w:val="0000EE"/>
                </w:rPr>
                <w:t>Compensation Actions in 2018 for the CEO</w:t>
              </w:r>
            </w:hyperlink>
          </w:p>
        </w:tc>
        <w:tc>
          <w:tcPr>
            <w:tcW w:w="1380" w:type="dxa"/>
            <w:vAlign w:val="bottom"/>
            <w:tcBorders>
              <w:right w:val="single" w:sz="8" w:color="auto"/>
            </w:tcBorders>
            <w:shd w:val="clear" w:color="auto" w:fill="E5E5E5"/>
          </w:tcPr>
          <w:p>
            <w:pPr>
              <w:jc w:val="right"/>
              <w:ind w:right="211"/>
              <w:spacing w:after="0" w:line="180" w:lineRule="exact"/>
              <w:rPr>
                <w:sz w:val="20"/>
                <w:szCs w:val="20"/>
                <w:color w:val="auto"/>
              </w:rPr>
            </w:pPr>
            <w:r>
              <w:rPr>
                <w:rFonts w:ascii="Arial" w:cs="Arial" w:eastAsia="Arial" w:hAnsi="Arial"/>
                <w:sz w:val="18"/>
                <w:szCs w:val="18"/>
                <w:color w:val="auto"/>
              </w:rPr>
              <w:t>21</w:t>
            </w:r>
          </w:p>
        </w:tc>
      </w:tr>
      <w:tr>
        <w:trPr>
          <w:trHeight w:val="180"/>
        </w:trPr>
        <w:tc>
          <w:tcPr>
            <w:tcW w:w="220" w:type="dxa"/>
            <w:vAlign w:val="bottom"/>
            <w:tcBorders>
              <w:top w:val="single" w:sz="8" w:color="E5E5E5"/>
              <w:left w:val="single" w:sz="8" w:color="auto"/>
              <w:bottom w:val="single" w:sz="8" w:color="E5E5E5"/>
            </w:tcBorders>
            <w:shd w:val="clear" w:color="auto" w:fill="E5E5E5"/>
          </w:tcPr>
          <w:p>
            <w:pPr>
              <w:spacing w:after="0"/>
              <w:rPr>
                <w:sz w:val="15"/>
                <w:szCs w:val="15"/>
                <w:color w:val="auto"/>
              </w:rPr>
            </w:pPr>
          </w:p>
        </w:tc>
        <w:tc>
          <w:tcPr>
            <w:tcW w:w="200" w:type="dxa"/>
            <w:vAlign w:val="bottom"/>
            <w:tcBorders>
              <w:top w:val="single" w:sz="8" w:color="E5E5E5"/>
              <w:bottom w:val="single" w:sz="8" w:color="E5E5E5"/>
            </w:tcBorders>
            <w:shd w:val="clear" w:color="auto" w:fill="E5E5E5"/>
          </w:tcPr>
          <w:p>
            <w:pPr>
              <w:spacing w:after="0"/>
              <w:rPr>
                <w:sz w:val="15"/>
                <w:szCs w:val="15"/>
                <w:color w:val="auto"/>
              </w:rPr>
            </w:pPr>
          </w:p>
        </w:tc>
        <w:tc>
          <w:tcPr>
            <w:tcW w:w="2780" w:type="dxa"/>
            <w:vAlign w:val="bottom"/>
            <w:tcBorders>
              <w:top w:val="single" w:sz="8" w:color="0000EE"/>
              <w:bottom w:val="single" w:sz="8" w:color="0000EE"/>
            </w:tcBorders>
            <w:gridSpan w:val="8"/>
            <w:shd w:val="clear" w:color="auto" w:fill="E5E5E5"/>
          </w:tcPr>
          <w:p>
            <w:pPr>
              <w:spacing w:after="0" w:line="180" w:lineRule="exact"/>
              <w:rPr>
                <w:rFonts w:ascii="Arial" w:cs="Arial" w:eastAsia="Arial" w:hAnsi="Arial"/>
                <w:sz w:val="18"/>
                <w:szCs w:val="18"/>
                <w:color w:val="0000EE"/>
                <w:w w:val="97"/>
              </w:rPr>
            </w:pPr>
            <w:hyperlink w:anchor="page33">
              <w:r>
                <w:rPr>
                  <w:rFonts w:ascii="Arial" w:cs="Arial" w:eastAsia="Arial" w:hAnsi="Arial"/>
                  <w:sz w:val="18"/>
                  <w:szCs w:val="18"/>
                  <w:color w:val="0000EE"/>
                  <w:w w:val="97"/>
                </w:rPr>
                <w:t>Summary of Business and Strategy</w:t>
              </w:r>
            </w:hyperlink>
          </w:p>
        </w:tc>
        <w:tc>
          <w:tcPr>
            <w:tcW w:w="600" w:type="dxa"/>
            <w:vAlign w:val="bottom"/>
            <w:tcBorders>
              <w:top w:val="single" w:sz="8" w:color="0000EE"/>
              <w:bottom w:val="single" w:sz="8" w:color="E5E5E5"/>
            </w:tcBorders>
            <w:gridSpan w:val="2"/>
            <w:shd w:val="clear" w:color="auto" w:fill="E5E5E5"/>
          </w:tcPr>
          <w:p>
            <w:pPr>
              <w:spacing w:after="0"/>
              <w:rPr>
                <w:sz w:val="15"/>
                <w:szCs w:val="15"/>
                <w:color w:val="auto"/>
              </w:rPr>
            </w:pPr>
          </w:p>
        </w:tc>
        <w:tc>
          <w:tcPr>
            <w:tcW w:w="3960" w:type="dxa"/>
            <w:vAlign w:val="bottom"/>
            <w:tcBorders>
              <w:top w:val="single" w:sz="8" w:color="E5E5E5"/>
              <w:bottom w:val="single" w:sz="8" w:color="E5E5E5"/>
            </w:tcBorders>
            <w:gridSpan w:val="6"/>
            <w:shd w:val="clear" w:color="auto" w:fill="E5E5E5"/>
          </w:tcPr>
          <w:p>
            <w:pPr>
              <w:spacing w:after="0"/>
              <w:rPr>
                <w:sz w:val="15"/>
                <w:szCs w:val="15"/>
                <w:color w:val="auto"/>
              </w:rPr>
            </w:pPr>
          </w:p>
        </w:tc>
        <w:tc>
          <w:tcPr>
            <w:tcW w:w="1380" w:type="dxa"/>
            <w:vAlign w:val="bottom"/>
            <w:tcBorders>
              <w:top w:val="single" w:sz="8" w:color="E5E5E5"/>
              <w:bottom w:val="single" w:sz="8" w:color="E5E5E5"/>
              <w:right w:val="single" w:sz="8" w:color="auto"/>
            </w:tcBorders>
            <w:shd w:val="clear" w:color="auto" w:fill="E5E5E5"/>
          </w:tcPr>
          <w:p>
            <w:pPr>
              <w:jc w:val="right"/>
              <w:ind w:right="211"/>
              <w:spacing w:after="0" w:line="180" w:lineRule="exact"/>
              <w:rPr>
                <w:sz w:val="20"/>
                <w:szCs w:val="20"/>
                <w:color w:val="auto"/>
              </w:rPr>
            </w:pPr>
            <w:r>
              <w:rPr>
                <w:rFonts w:ascii="Arial" w:cs="Arial" w:eastAsia="Arial" w:hAnsi="Arial"/>
                <w:sz w:val="18"/>
                <w:szCs w:val="18"/>
                <w:color w:val="auto"/>
              </w:rPr>
              <w:t>21</w:t>
            </w:r>
          </w:p>
        </w:tc>
      </w:tr>
      <w:tr>
        <w:trPr>
          <w:trHeight w:val="180"/>
        </w:trPr>
        <w:tc>
          <w:tcPr>
            <w:tcW w:w="220" w:type="dxa"/>
            <w:vAlign w:val="bottom"/>
            <w:tcBorders>
              <w:left w:val="single" w:sz="8" w:color="auto"/>
              <w:bottom w:val="single" w:sz="8" w:color="E5E5E5"/>
            </w:tcBorders>
            <w:shd w:val="clear" w:color="auto" w:fill="E5E5E5"/>
          </w:tcPr>
          <w:p>
            <w:pPr>
              <w:spacing w:after="0"/>
              <w:rPr>
                <w:sz w:val="15"/>
                <w:szCs w:val="15"/>
                <w:color w:val="auto"/>
              </w:rPr>
            </w:pPr>
          </w:p>
        </w:tc>
        <w:tc>
          <w:tcPr>
            <w:tcW w:w="200" w:type="dxa"/>
            <w:vAlign w:val="bottom"/>
            <w:tcBorders>
              <w:bottom w:val="single" w:sz="8" w:color="E5E5E5"/>
            </w:tcBorders>
            <w:shd w:val="clear" w:color="auto" w:fill="E5E5E5"/>
          </w:tcPr>
          <w:p>
            <w:pPr>
              <w:spacing w:after="0"/>
              <w:rPr>
                <w:sz w:val="15"/>
                <w:szCs w:val="15"/>
                <w:color w:val="auto"/>
              </w:rPr>
            </w:pPr>
          </w:p>
        </w:tc>
        <w:tc>
          <w:tcPr>
            <w:tcW w:w="1860" w:type="dxa"/>
            <w:vAlign w:val="bottom"/>
            <w:tcBorders>
              <w:bottom w:val="single" w:sz="8" w:color="0000EE"/>
            </w:tcBorders>
            <w:gridSpan w:val="5"/>
            <w:shd w:val="clear" w:color="auto" w:fill="E5E5E5"/>
          </w:tcPr>
          <w:p>
            <w:pPr>
              <w:spacing w:after="0" w:line="180" w:lineRule="exact"/>
              <w:rPr>
                <w:rFonts w:ascii="Arial" w:cs="Arial" w:eastAsia="Arial" w:hAnsi="Arial"/>
                <w:sz w:val="18"/>
                <w:szCs w:val="18"/>
                <w:color w:val="0000EE"/>
                <w:w w:val="97"/>
              </w:rPr>
            </w:pPr>
            <w:hyperlink w:anchor="page34">
              <w:r>
                <w:rPr>
                  <w:rFonts w:ascii="Arial" w:cs="Arial" w:eastAsia="Arial" w:hAnsi="Arial"/>
                  <w:sz w:val="18"/>
                  <w:szCs w:val="18"/>
                  <w:color w:val="0000EE"/>
                  <w:w w:val="97"/>
                </w:rPr>
                <w:t>Corporate Performance</w:t>
              </w:r>
            </w:hyperlink>
          </w:p>
        </w:tc>
        <w:tc>
          <w:tcPr>
            <w:tcW w:w="5480" w:type="dxa"/>
            <w:vAlign w:val="bottom"/>
            <w:tcBorders>
              <w:bottom w:val="single" w:sz="8" w:color="E5E5E5"/>
            </w:tcBorders>
            <w:gridSpan w:val="11"/>
            <w:shd w:val="clear" w:color="auto" w:fill="E5E5E5"/>
          </w:tcPr>
          <w:p>
            <w:pPr>
              <w:spacing w:after="0"/>
              <w:rPr>
                <w:sz w:val="15"/>
                <w:szCs w:val="15"/>
                <w:color w:val="auto"/>
              </w:rPr>
            </w:pPr>
          </w:p>
        </w:tc>
        <w:tc>
          <w:tcPr>
            <w:tcW w:w="1380" w:type="dxa"/>
            <w:vAlign w:val="bottom"/>
            <w:tcBorders>
              <w:bottom w:val="single" w:sz="8" w:color="E5E5E5"/>
              <w:right w:val="single" w:sz="8" w:color="auto"/>
            </w:tcBorders>
            <w:shd w:val="clear" w:color="auto" w:fill="E5E5E5"/>
          </w:tcPr>
          <w:p>
            <w:pPr>
              <w:jc w:val="right"/>
              <w:ind w:right="211"/>
              <w:spacing w:after="0" w:line="180" w:lineRule="exact"/>
              <w:rPr>
                <w:sz w:val="20"/>
                <w:szCs w:val="20"/>
                <w:color w:val="auto"/>
              </w:rPr>
            </w:pPr>
            <w:r>
              <w:rPr>
                <w:rFonts w:ascii="Arial" w:cs="Arial" w:eastAsia="Arial" w:hAnsi="Arial"/>
                <w:sz w:val="18"/>
                <w:szCs w:val="18"/>
                <w:color w:val="auto"/>
              </w:rPr>
              <w:t>22</w:t>
            </w:r>
          </w:p>
        </w:tc>
      </w:tr>
      <w:tr>
        <w:trPr>
          <w:trHeight w:val="180"/>
        </w:trPr>
        <w:tc>
          <w:tcPr>
            <w:tcW w:w="220" w:type="dxa"/>
            <w:vAlign w:val="bottom"/>
            <w:tcBorders>
              <w:left w:val="single" w:sz="8" w:color="auto"/>
              <w:bottom w:val="single" w:sz="8" w:color="E5E5E5"/>
            </w:tcBorders>
            <w:shd w:val="clear" w:color="auto" w:fill="E5E5E5"/>
          </w:tcPr>
          <w:p>
            <w:pPr>
              <w:spacing w:after="0"/>
              <w:rPr>
                <w:sz w:val="15"/>
                <w:szCs w:val="15"/>
                <w:color w:val="auto"/>
              </w:rPr>
            </w:pPr>
          </w:p>
        </w:tc>
        <w:tc>
          <w:tcPr>
            <w:tcW w:w="200" w:type="dxa"/>
            <w:vAlign w:val="bottom"/>
            <w:tcBorders>
              <w:bottom w:val="single" w:sz="8" w:color="E5E5E5"/>
            </w:tcBorders>
            <w:shd w:val="clear" w:color="auto" w:fill="E5E5E5"/>
          </w:tcPr>
          <w:p>
            <w:pPr>
              <w:spacing w:after="0"/>
              <w:rPr>
                <w:sz w:val="15"/>
                <w:szCs w:val="15"/>
                <w:color w:val="auto"/>
              </w:rPr>
            </w:pPr>
          </w:p>
        </w:tc>
        <w:tc>
          <w:tcPr>
            <w:tcW w:w="4640" w:type="dxa"/>
            <w:vAlign w:val="bottom"/>
            <w:tcBorders>
              <w:bottom w:val="single" w:sz="8" w:color="0000EE"/>
            </w:tcBorders>
            <w:gridSpan w:val="11"/>
            <w:shd w:val="clear" w:color="auto" w:fill="E5E5E5"/>
          </w:tcPr>
          <w:p>
            <w:pPr>
              <w:spacing w:after="0" w:line="180" w:lineRule="exact"/>
              <w:rPr>
                <w:rFonts w:ascii="Arial" w:cs="Arial" w:eastAsia="Arial" w:hAnsi="Arial"/>
                <w:sz w:val="18"/>
                <w:szCs w:val="18"/>
                <w:color w:val="0000EE"/>
                <w:w w:val="98"/>
              </w:rPr>
            </w:pPr>
            <w:hyperlink w:anchor="page35">
              <w:r>
                <w:rPr>
                  <w:rFonts w:ascii="Arial" w:cs="Arial" w:eastAsia="Arial" w:hAnsi="Arial"/>
                  <w:sz w:val="18"/>
                  <w:szCs w:val="18"/>
                  <w:color w:val="0000EE"/>
                  <w:w w:val="98"/>
                </w:rPr>
                <w:t>Summary of Hess’ 2017 Executive Compensation Program</w:t>
              </w:r>
            </w:hyperlink>
          </w:p>
        </w:tc>
        <w:tc>
          <w:tcPr>
            <w:tcW w:w="2700" w:type="dxa"/>
            <w:vAlign w:val="bottom"/>
            <w:tcBorders>
              <w:bottom w:val="single" w:sz="8" w:color="E5E5E5"/>
            </w:tcBorders>
            <w:gridSpan w:val="5"/>
            <w:shd w:val="clear" w:color="auto" w:fill="E5E5E5"/>
          </w:tcPr>
          <w:p>
            <w:pPr>
              <w:spacing w:after="0"/>
              <w:rPr>
                <w:sz w:val="15"/>
                <w:szCs w:val="15"/>
                <w:color w:val="auto"/>
              </w:rPr>
            </w:pPr>
          </w:p>
        </w:tc>
        <w:tc>
          <w:tcPr>
            <w:tcW w:w="1380" w:type="dxa"/>
            <w:vAlign w:val="bottom"/>
            <w:tcBorders>
              <w:bottom w:val="single" w:sz="8" w:color="E5E5E5"/>
              <w:right w:val="single" w:sz="8" w:color="auto"/>
            </w:tcBorders>
            <w:shd w:val="clear" w:color="auto" w:fill="E5E5E5"/>
          </w:tcPr>
          <w:p>
            <w:pPr>
              <w:jc w:val="right"/>
              <w:ind w:right="211"/>
              <w:spacing w:after="0" w:line="180" w:lineRule="exact"/>
              <w:rPr>
                <w:sz w:val="20"/>
                <w:szCs w:val="20"/>
                <w:color w:val="auto"/>
              </w:rPr>
            </w:pPr>
            <w:r>
              <w:rPr>
                <w:rFonts w:ascii="Arial" w:cs="Arial" w:eastAsia="Arial" w:hAnsi="Arial"/>
                <w:sz w:val="18"/>
                <w:szCs w:val="18"/>
                <w:color w:val="auto"/>
              </w:rPr>
              <w:t>23</w:t>
            </w:r>
          </w:p>
        </w:tc>
      </w:tr>
      <w:tr>
        <w:trPr>
          <w:trHeight w:val="180"/>
        </w:trPr>
        <w:tc>
          <w:tcPr>
            <w:tcW w:w="220" w:type="dxa"/>
            <w:vAlign w:val="bottom"/>
            <w:tcBorders>
              <w:left w:val="single" w:sz="8" w:color="auto"/>
            </w:tcBorders>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7340" w:type="dxa"/>
            <w:vAlign w:val="bottom"/>
            <w:gridSpan w:val="16"/>
            <w:shd w:val="clear" w:color="auto" w:fill="E5E5E5"/>
          </w:tcPr>
          <w:p>
            <w:pPr>
              <w:spacing w:after="0" w:line="180" w:lineRule="exact"/>
              <w:rPr>
                <w:rFonts w:ascii="Arial" w:cs="Arial" w:eastAsia="Arial" w:hAnsi="Arial"/>
                <w:sz w:val="18"/>
                <w:szCs w:val="18"/>
                <w:color w:val="0000EE"/>
              </w:rPr>
            </w:pPr>
            <w:hyperlink w:anchor="page35">
              <w:r>
                <w:rPr>
                  <w:rFonts w:ascii="Arial" w:cs="Arial" w:eastAsia="Arial" w:hAnsi="Arial"/>
                  <w:sz w:val="18"/>
                  <w:szCs w:val="18"/>
                  <w:color w:val="0000EE"/>
                </w:rPr>
                <w:t>Pay Mix</w:t>
              </w:r>
            </w:hyperlink>
          </w:p>
        </w:tc>
        <w:tc>
          <w:tcPr>
            <w:tcW w:w="1380" w:type="dxa"/>
            <w:vAlign w:val="bottom"/>
            <w:tcBorders>
              <w:right w:val="single" w:sz="8" w:color="auto"/>
            </w:tcBorders>
            <w:shd w:val="clear" w:color="auto" w:fill="E5E5E5"/>
          </w:tcPr>
          <w:p>
            <w:pPr>
              <w:jc w:val="right"/>
              <w:ind w:right="211"/>
              <w:spacing w:after="0" w:line="180" w:lineRule="exact"/>
              <w:rPr>
                <w:sz w:val="20"/>
                <w:szCs w:val="20"/>
                <w:color w:val="auto"/>
              </w:rPr>
            </w:pPr>
            <w:r>
              <w:rPr>
                <w:rFonts w:ascii="Arial" w:cs="Arial" w:eastAsia="Arial" w:hAnsi="Arial"/>
                <w:sz w:val="18"/>
                <w:szCs w:val="18"/>
                <w:color w:val="auto"/>
              </w:rPr>
              <w:t>23</w:t>
            </w:r>
          </w:p>
        </w:tc>
      </w:tr>
      <w:tr>
        <w:trPr>
          <w:trHeight w:val="20"/>
        </w:trPr>
        <w:tc>
          <w:tcPr>
            <w:tcW w:w="220" w:type="dxa"/>
            <w:vAlign w:val="bottom"/>
            <w:tcBorders>
              <w:left w:val="single" w:sz="8" w:color="auto"/>
            </w:tcBorders>
            <w:shd w:val="clear" w:color="auto" w:fill="E5E5E5"/>
          </w:tcPr>
          <w:p>
            <w:pPr>
              <w:spacing w:after="0" w:line="20" w:lineRule="exact"/>
              <w:rPr>
                <w:sz w:val="1"/>
                <w:szCs w:val="1"/>
                <w:color w:val="auto"/>
              </w:rPr>
            </w:pPr>
          </w:p>
        </w:tc>
        <w:tc>
          <w:tcPr>
            <w:tcW w:w="200" w:type="dxa"/>
            <w:vAlign w:val="bottom"/>
            <w:shd w:val="clear" w:color="auto" w:fill="E5E5E5"/>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E5E5E5"/>
          </w:tcPr>
          <w:p>
            <w:pPr>
              <w:spacing w:after="0" w:line="20" w:lineRule="exact"/>
              <w:rPr>
                <w:sz w:val="1"/>
                <w:szCs w:val="1"/>
                <w:color w:val="auto"/>
              </w:rPr>
            </w:pPr>
          </w:p>
        </w:tc>
        <w:tc>
          <w:tcPr>
            <w:tcW w:w="800" w:type="dxa"/>
            <w:vAlign w:val="bottom"/>
            <w:gridSpan w:val="2"/>
            <w:shd w:val="clear" w:color="auto" w:fill="E5E5E5"/>
          </w:tcPr>
          <w:p>
            <w:pPr>
              <w:spacing w:after="0" w:line="20" w:lineRule="exact"/>
              <w:rPr>
                <w:sz w:val="1"/>
                <w:szCs w:val="1"/>
                <w:color w:val="auto"/>
              </w:rPr>
            </w:pPr>
          </w:p>
        </w:tc>
        <w:tc>
          <w:tcPr>
            <w:tcW w:w="800" w:type="dxa"/>
            <w:vAlign w:val="bottom"/>
            <w:gridSpan w:val="2"/>
            <w:shd w:val="clear" w:color="auto" w:fill="E5E5E5"/>
          </w:tcPr>
          <w:p>
            <w:pPr>
              <w:spacing w:after="0" w:line="20" w:lineRule="exact"/>
              <w:rPr>
                <w:sz w:val="1"/>
                <w:szCs w:val="1"/>
                <w:color w:val="auto"/>
              </w:rPr>
            </w:pPr>
          </w:p>
        </w:tc>
        <w:tc>
          <w:tcPr>
            <w:tcW w:w="120" w:type="dxa"/>
            <w:vAlign w:val="bottom"/>
            <w:tcBorders>
              <w:right w:val="single" w:sz="8" w:color="E5E5E5"/>
            </w:tcBorders>
            <w:shd w:val="clear" w:color="auto" w:fill="E5E5E5"/>
          </w:tcPr>
          <w:p>
            <w:pPr>
              <w:spacing w:after="0" w:line="20" w:lineRule="exact"/>
              <w:rPr>
                <w:sz w:val="1"/>
                <w:szCs w:val="1"/>
                <w:color w:val="auto"/>
              </w:rPr>
            </w:pPr>
          </w:p>
        </w:tc>
        <w:tc>
          <w:tcPr>
            <w:tcW w:w="560" w:type="dxa"/>
            <w:vAlign w:val="bottom"/>
            <w:gridSpan w:val="2"/>
            <w:shd w:val="clear" w:color="auto" w:fill="E5E5E5"/>
          </w:tcPr>
          <w:p>
            <w:pPr>
              <w:spacing w:after="0" w:line="20" w:lineRule="exact"/>
              <w:rPr>
                <w:sz w:val="1"/>
                <w:szCs w:val="1"/>
                <w:color w:val="auto"/>
              </w:rPr>
            </w:pPr>
          </w:p>
        </w:tc>
        <w:tc>
          <w:tcPr>
            <w:tcW w:w="1660" w:type="dxa"/>
            <w:vAlign w:val="bottom"/>
            <w:gridSpan w:val="3"/>
            <w:shd w:val="clear" w:color="auto" w:fill="E5E5E5"/>
          </w:tcPr>
          <w:p>
            <w:pPr>
              <w:spacing w:after="0" w:line="20" w:lineRule="exact"/>
              <w:rPr>
                <w:sz w:val="1"/>
                <w:szCs w:val="1"/>
                <w:color w:val="auto"/>
              </w:rPr>
            </w:pPr>
          </w:p>
        </w:tc>
        <w:tc>
          <w:tcPr>
            <w:tcW w:w="1100" w:type="dxa"/>
            <w:vAlign w:val="bottom"/>
            <w:shd w:val="clear" w:color="auto" w:fill="E5E5E5"/>
          </w:tcPr>
          <w:p>
            <w:pPr>
              <w:spacing w:after="0" w:line="20" w:lineRule="exact"/>
              <w:rPr>
                <w:sz w:val="1"/>
                <w:szCs w:val="1"/>
                <w:color w:val="auto"/>
              </w:rPr>
            </w:pPr>
          </w:p>
        </w:tc>
        <w:tc>
          <w:tcPr>
            <w:tcW w:w="280" w:type="dxa"/>
            <w:vAlign w:val="bottom"/>
            <w:shd w:val="clear" w:color="auto" w:fill="E5E5E5"/>
          </w:tcPr>
          <w:p>
            <w:pPr>
              <w:spacing w:after="0" w:line="20" w:lineRule="exact"/>
              <w:rPr>
                <w:sz w:val="1"/>
                <w:szCs w:val="1"/>
                <w:color w:val="auto"/>
              </w:rPr>
            </w:pPr>
          </w:p>
        </w:tc>
        <w:tc>
          <w:tcPr>
            <w:tcW w:w="400" w:type="dxa"/>
            <w:vAlign w:val="bottom"/>
            <w:shd w:val="clear" w:color="auto" w:fill="E5E5E5"/>
          </w:tcPr>
          <w:p>
            <w:pPr>
              <w:spacing w:after="0" w:line="20" w:lineRule="exact"/>
              <w:rPr>
                <w:sz w:val="1"/>
                <w:szCs w:val="1"/>
                <w:color w:val="auto"/>
              </w:rPr>
            </w:pPr>
          </w:p>
        </w:tc>
        <w:tc>
          <w:tcPr>
            <w:tcW w:w="900" w:type="dxa"/>
            <w:vAlign w:val="bottom"/>
            <w:shd w:val="clear" w:color="auto" w:fill="E5E5E5"/>
          </w:tcPr>
          <w:p>
            <w:pPr>
              <w:spacing w:after="0" w:line="20" w:lineRule="exact"/>
              <w:rPr>
                <w:sz w:val="1"/>
                <w:szCs w:val="1"/>
                <w:color w:val="auto"/>
              </w:rPr>
            </w:pPr>
          </w:p>
        </w:tc>
        <w:tc>
          <w:tcPr>
            <w:tcW w:w="1380" w:type="dxa"/>
            <w:vAlign w:val="bottom"/>
            <w:tcBorders>
              <w:right w:val="single" w:sz="8" w:color="auto"/>
            </w:tcBorders>
            <w:shd w:val="clear" w:color="auto" w:fill="E5E5E5"/>
          </w:tcPr>
          <w:p>
            <w:pPr>
              <w:spacing w:after="0" w:line="20" w:lineRule="exact"/>
              <w:rPr>
                <w:sz w:val="1"/>
                <w:szCs w:val="1"/>
                <w:color w:val="auto"/>
              </w:rPr>
            </w:pPr>
          </w:p>
        </w:tc>
      </w:tr>
      <w:tr>
        <w:trPr>
          <w:trHeight w:val="180"/>
        </w:trPr>
        <w:tc>
          <w:tcPr>
            <w:tcW w:w="220" w:type="dxa"/>
            <w:vAlign w:val="bottom"/>
            <w:tcBorders>
              <w:left w:val="single" w:sz="8" w:color="auto"/>
              <w:bottom w:val="single" w:sz="8" w:color="E5E5E5"/>
            </w:tcBorders>
            <w:shd w:val="clear" w:color="auto" w:fill="E5E5E5"/>
          </w:tcPr>
          <w:p>
            <w:pPr>
              <w:spacing w:after="0"/>
              <w:rPr>
                <w:sz w:val="15"/>
                <w:szCs w:val="15"/>
                <w:color w:val="auto"/>
              </w:rPr>
            </w:pPr>
          </w:p>
        </w:tc>
        <w:tc>
          <w:tcPr>
            <w:tcW w:w="200" w:type="dxa"/>
            <w:vAlign w:val="bottom"/>
            <w:tcBorders>
              <w:bottom w:val="single" w:sz="8" w:color="E5E5E5"/>
            </w:tcBorders>
            <w:shd w:val="clear" w:color="auto" w:fill="E5E5E5"/>
          </w:tcPr>
          <w:p>
            <w:pPr>
              <w:spacing w:after="0"/>
              <w:rPr>
                <w:sz w:val="15"/>
                <w:szCs w:val="15"/>
                <w:color w:val="auto"/>
              </w:rPr>
            </w:pPr>
          </w:p>
        </w:tc>
        <w:tc>
          <w:tcPr>
            <w:tcW w:w="4660" w:type="dxa"/>
            <w:vAlign w:val="bottom"/>
            <w:tcBorders>
              <w:bottom w:val="single" w:sz="8" w:color="0000EE"/>
            </w:tcBorders>
            <w:gridSpan w:val="12"/>
            <w:shd w:val="clear" w:color="auto" w:fill="E5E5E5"/>
          </w:tcPr>
          <w:p>
            <w:pPr>
              <w:spacing w:after="0" w:line="180" w:lineRule="exact"/>
              <w:rPr>
                <w:rFonts w:ascii="Arial" w:cs="Arial" w:eastAsia="Arial" w:hAnsi="Arial"/>
                <w:sz w:val="18"/>
                <w:szCs w:val="18"/>
                <w:color w:val="0000EE"/>
                <w:w w:val="98"/>
              </w:rPr>
            </w:pPr>
            <w:hyperlink w:anchor="page36">
              <w:r>
                <w:rPr>
                  <w:rFonts w:ascii="Arial" w:cs="Arial" w:eastAsia="Arial" w:hAnsi="Arial"/>
                  <w:sz w:val="18"/>
                  <w:szCs w:val="18"/>
                  <w:color w:val="0000EE"/>
                  <w:w w:val="98"/>
                </w:rPr>
                <w:t>Pay vs. Performance Alignment - Realizable Compensation</w:t>
              </w:r>
            </w:hyperlink>
          </w:p>
        </w:tc>
        <w:tc>
          <w:tcPr>
            <w:tcW w:w="2680" w:type="dxa"/>
            <w:vAlign w:val="bottom"/>
            <w:tcBorders>
              <w:bottom w:val="single" w:sz="8" w:color="E5E5E5"/>
            </w:tcBorders>
            <w:gridSpan w:val="4"/>
            <w:shd w:val="clear" w:color="auto" w:fill="E5E5E5"/>
          </w:tcPr>
          <w:p>
            <w:pPr>
              <w:spacing w:after="0"/>
              <w:rPr>
                <w:sz w:val="15"/>
                <w:szCs w:val="15"/>
                <w:color w:val="auto"/>
              </w:rPr>
            </w:pPr>
          </w:p>
        </w:tc>
        <w:tc>
          <w:tcPr>
            <w:tcW w:w="1380" w:type="dxa"/>
            <w:vAlign w:val="bottom"/>
            <w:tcBorders>
              <w:bottom w:val="single" w:sz="8" w:color="E5E5E5"/>
              <w:right w:val="single" w:sz="8" w:color="auto"/>
            </w:tcBorders>
            <w:shd w:val="clear" w:color="auto" w:fill="E5E5E5"/>
          </w:tcPr>
          <w:p>
            <w:pPr>
              <w:jc w:val="right"/>
              <w:ind w:right="211"/>
              <w:spacing w:after="0" w:line="180" w:lineRule="exact"/>
              <w:rPr>
                <w:sz w:val="20"/>
                <w:szCs w:val="20"/>
                <w:color w:val="auto"/>
              </w:rPr>
            </w:pPr>
            <w:r>
              <w:rPr>
                <w:rFonts w:ascii="Arial" w:cs="Arial" w:eastAsia="Arial" w:hAnsi="Arial"/>
                <w:sz w:val="18"/>
                <w:szCs w:val="18"/>
                <w:color w:val="auto"/>
              </w:rPr>
              <w:t>24</w:t>
            </w:r>
          </w:p>
        </w:tc>
      </w:tr>
      <w:tr>
        <w:trPr>
          <w:trHeight w:val="180"/>
        </w:trPr>
        <w:tc>
          <w:tcPr>
            <w:tcW w:w="220" w:type="dxa"/>
            <w:vAlign w:val="bottom"/>
            <w:tcBorders>
              <w:left w:val="single" w:sz="8" w:color="auto"/>
            </w:tcBorders>
            <w:shd w:val="clear" w:color="auto" w:fill="E5E5E5"/>
          </w:tcPr>
          <w:p>
            <w:pPr>
              <w:spacing w:after="0"/>
              <w:rPr>
                <w:sz w:val="15"/>
                <w:szCs w:val="15"/>
                <w:color w:val="auto"/>
              </w:rPr>
            </w:pPr>
          </w:p>
        </w:tc>
        <w:tc>
          <w:tcPr>
            <w:tcW w:w="7540" w:type="dxa"/>
            <w:vAlign w:val="bottom"/>
            <w:gridSpan w:val="17"/>
            <w:shd w:val="clear" w:color="auto" w:fill="E5E5E5"/>
          </w:tcPr>
          <w:p>
            <w:pPr>
              <w:spacing w:after="0" w:line="180" w:lineRule="exact"/>
              <w:rPr>
                <w:rFonts w:ascii="Arial" w:cs="Arial" w:eastAsia="Arial" w:hAnsi="Arial"/>
                <w:sz w:val="18"/>
                <w:szCs w:val="18"/>
                <w:color w:val="0000EE"/>
              </w:rPr>
            </w:pPr>
            <w:hyperlink w:anchor="page37">
              <w:r>
                <w:rPr>
                  <w:rFonts w:ascii="Arial" w:cs="Arial" w:eastAsia="Arial" w:hAnsi="Arial"/>
                  <w:sz w:val="18"/>
                  <w:szCs w:val="18"/>
                  <w:color w:val="0000EE"/>
                </w:rPr>
                <w:t>2017 Stockholder Engagement and Response to Low Oil Price Environment</w:t>
              </w:r>
            </w:hyperlink>
          </w:p>
        </w:tc>
        <w:tc>
          <w:tcPr>
            <w:tcW w:w="1380" w:type="dxa"/>
            <w:vAlign w:val="bottom"/>
            <w:tcBorders>
              <w:right w:val="single" w:sz="8" w:color="auto"/>
            </w:tcBorders>
            <w:shd w:val="clear" w:color="auto" w:fill="E5E5E5"/>
          </w:tcPr>
          <w:p>
            <w:pPr>
              <w:jc w:val="right"/>
              <w:ind w:right="211"/>
              <w:spacing w:after="0" w:line="180" w:lineRule="exact"/>
              <w:rPr>
                <w:sz w:val="20"/>
                <w:szCs w:val="20"/>
                <w:color w:val="auto"/>
              </w:rPr>
            </w:pPr>
            <w:r>
              <w:rPr>
                <w:rFonts w:ascii="Arial" w:cs="Arial" w:eastAsia="Arial" w:hAnsi="Arial"/>
                <w:sz w:val="18"/>
                <w:szCs w:val="18"/>
                <w:color w:val="auto"/>
              </w:rPr>
              <w:t>25</w:t>
            </w:r>
          </w:p>
        </w:tc>
      </w:tr>
      <w:tr>
        <w:trPr>
          <w:trHeight w:val="20"/>
        </w:trPr>
        <w:tc>
          <w:tcPr>
            <w:tcW w:w="220" w:type="dxa"/>
            <w:vAlign w:val="bottom"/>
            <w:tcBorders>
              <w:left w:val="single" w:sz="8" w:color="auto"/>
            </w:tcBorders>
            <w:shd w:val="clear" w:color="auto" w:fill="E5E5E5"/>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760" w:type="dxa"/>
            <w:vAlign w:val="bottom"/>
            <w:gridSpan w:val="4"/>
            <w:shd w:val="clear" w:color="auto" w:fill="0000EE"/>
          </w:tcPr>
          <w:p>
            <w:pPr>
              <w:spacing w:after="0" w:line="20" w:lineRule="exact"/>
              <w:rPr>
                <w:sz w:val="1"/>
                <w:szCs w:val="1"/>
                <w:color w:val="auto"/>
              </w:rPr>
            </w:pPr>
          </w:p>
        </w:tc>
        <w:tc>
          <w:tcPr>
            <w:tcW w:w="280" w:type="dxa"/>
            <w:vAlign w:val="bottom"/>
            <w:shd w:val="clear" w:color="auto" w:fill="E5E5E5"/>
          </w:tcPr>
          <w:p>
            <w:pPr>
              <w:spacing w:after="0" w:line="20" w:lineRule="exact"/>
              <w:rPr>
                <w:sz w:val="1"/>
                <w:szCs w:val="1"/>
                <w:color w:val="auto"/>
              </w:rPr>
            </w:pPr>
          </w:p>
        </w:tc>
        <w:tc>
          <w:tcPr>
            <w:tcW w:w="400" w:type="dxa"/>
            <w:vAlign w:val="bottom"/>
            <w:shd w:val="clear" w:color="auto" w:fill="E5E5E5"/>
          </w:tcPr>
          <w:p>
            <w:pPr>
              <w:spacing w:after="0" w:line="20" w:lineRule="exact"/>
              <w:rPr>
                <w:sz w:val="1"/>
                <w:szCs w:val="1"/>
                <w:color w:val="auto"/>
              </w:rPr>
            </w:pPr>
          </w:p>
        </w:tc>
        <w:tc>
          <w:tcPr>
            <w:tcW w:w="900" w:type="dxa"/>
            <w:vAlign w:val="bottom"/>
            <w:shd w:val="clear" w:color="auto" w:fill="E5E5E5"/>
          </w:tcPr>
          <w:p>
            <w:pPr>
              <w:spacing w:after="0" w:line="20" w:lineRule="exact"/>
              <w:rPr>
                <w:sz w:val="1"/>
                <w:szCs w:val="1"/>
                <w:color w:val="auto"/>
              </w:rPr>
            </w:pPr>
          </w:p>
        </w:tc>
        <w:tc>
          <w:tcPr>
            <w:tcW w:w="1380" w:type="dxa"/>
            <w:vAlign w:val="bottom"/>
            <w:tcBorders>
              <w:right w:val="single" w:sz="8" w:color="auto"/>
            </w:tcBorders>
            <w:shd w:val="clear" w:color="auto" w:fill="E5E5E5"/>
          </w:tcPr>
          <w:p>
            <w:pPr>
              <w:spacing w:after="0" w:line="20" w:lineRule="exact"/>
              <w:rPr>
                <w:sz w:val="1"/>
                <w:szCs w:val="1"/>
                <w:color w:val="auto"/>
              </w:rPr>
            </w:pPr>
          </w:p>
        </w:tc>
      </w:tr>
      <w:tr>
        <w:trPr>
          <w:trHeight w:val="180"/>
        </w:trPr>
        <w:tc>
          <w:tcPr>
            <w:tcW w:w="220" w:type="dxa"/>
            <w:vAlign w:val="bottom"/>
            <w:tcBorders>
              <w:left w:val="single" w:sz="8" w:color="auto"/>
            </w:tcBorders>
            <w:shd w:val="clear" w:color="auto" w:fill="E5E5E5"/>
          </w:tcPr>
          <w:p>
            <w:pPr>
              <w:spacing w:after="0"/>
              <w:rPr>
                <w:sz w:val="15"/>
                <w:szCs w:val="15"/>
                <w:color w:val="auto"/>
              </w:rPr>
            </w:pPr>
          </w:p>
        </w:tc>
        <w:tc>
          <w:tcPr>
            <w:tcW w:w="7540" w:type="dxa"/>
            <w:vAlign w:val="bottom"/>
            <w:gridSpan w:val="17"/>
            <w:shd w:val="clear" w:color="auto" w:fill="E5E5E5"/>
          </w:tcPr>
          <w:p>
            <w:pPr>
              <w:spacing w:after="0" w:line="180" w:lineRule="exact"/>
              <w:rPr>
                <w:rFonts w:ascii="Arial" w:cs="Arial" w:eastAsia="Arial" w:hAnsi="Arial"/>
                <w:sz w:val="18"/>
                <w:szCs w:val="18"/>
                <w:color w:val="0000EE"/>
              </w:rPr>
            </w:pPr>
            <w:hyperlink w:anchor="page37">
              <w:r>
                <w:rPr>
                  <w:rFonts w:ascii="Arial" w:cs="Arial" w:eastAsia="Arial" w:hAnsi="Arial"/>
                  <w:sz w:val="18"/>
                  <w:szCs w:val="18"/>
                  <w:color w:val="0000EE"/>
                </w:rPr>
                <w:t>Compensation Program Key Practices Promote Alignment with Stockholder Interests</w:t>
              </w:r>
            </w:hyperlink>
          </w:p>
        </w:tc>
        <w:tc>
          <w:tcPr>
            <w:tcW w:w="1380" w:type="dxa"/>
            <w:vAlign w:val="bottom"/>
            <w:tcBorders>
              <w:right w:val="single" w:sz="8" w:color="auto"/>
            </w:tcBorders>
            <w:shd w:val="clear" w:color="auto" w:fill="E5E5E5"/>
          </w:tcPr>
          <w:p>
            <w:pPr>
              <w:jc w:val="right"/>
              <w:ind w:right="211"/>
              <w:spacing w:after="0" w:line="180" w:lineRule="exact"/>
              <w:rPr>
                <w:sz w:val="20"/>
                <w:szCs w:val="20"/>
                <w:color w:val="auto"/>
              </w:rPr>
            </w:pPr>
            <w:r>
              <w:rPr>
                <w:rFonts w:ascii="Arial" w:cs="Arial" w:eastAsia="Arial" w:hAnsi="Arial"/>
                <w:sz w:val="18"/>
                <w:szCs w:val="18"/>
                <w:color w:val="auto"/>
              </w:rPr>
              <w:t>25</w:t>
            </w:r>
          </w:p>
        </w:tc>
      </w:tr>
      <w:tr>
        <w:trPr>
          <w:trHeight w:val="180"/>
        </w:trPr>
        <w:tc>
          <w:tcPr>
            <w:tcW w:w="220" w:type="dxa"/>
            <w:vAlign w:val="bottom"/>
            <w:tcBorders>
              <w:top w:val="single" w:sz="8" w:color="E5E5E5"/>
              <w:left w:val="single" w:sz="8" w:color="auto"/>
              <w:bottom w:val="single" w:sz="8" w:color="E5E5E5"/>
            </w:tcBorders>
            <w:shd w:val="clear" w:color="auto" w:fill="E5E5E5"/>
          </w:tcPr>
          <w:p>
            <w:pPr>
              <w:spacing w:after="0"/>
              <w:rPr>
                <w:sz w:val="15"/>
                <w:szCs w:val="15"/>
                <w:color w:val="auto"/>
              </w:rPr>
            </w:pPr>
          </w:p>
        </w:tc>
        <w:tc>
          <w:tcPr>
            <w:tcW w:w="3200" w:type="dxa"/>
            <w:vAlign w:val="bottom"/>
            <w:tcBorders>
              <w:top w:val="single" w:sz="8" w:color="0000EE"/>
              <w:bottom w:val="single" w:sz="8" w:color="0000EE"/>
            </w:tcBorders>
            <w:gridSpan w:val="10"/>
            <w:shd w:val="clear" w:color="auto" w:fill="E5E5E5"/>
          </w:tcPr>
          <w:p>
            <w:pPr>
              <w:spacing w:after="0" w:line="180" w:lineRule="exact"/>
              <w:rPr>
                <w:rFonts w:ascii="Arial" w:cs="Arial" w:eastAsia="Arial" w:hAnsi="Arial"/>
                <w:sz w:val="18"/>
                <w:szCs w:val="18"/>
                <w:color w:val="0000EE"/>
                <w:w w:val="98"/>
              </w:rPr>
            </w:pPr>
            <w:hyperlink w:anchor="page38">
              <w:r>
                <w:rPr>
                  <w:rFonts w:ascii="Arial" w:cs="Arial" w:eastAsia="Arial" w:hAnsi="Arial"/>
                  <w:sz w:val="18"/>
                  <w:szCs w:val="18"/>
                  <w:color w:val="0000EE"/>
                  <w:w w:val="98"/>
                </w:rPr>
                <w:t>Compensation Objective and Philosophy</w:t>
              </w:r>
            </w:hyperlink>
          </w:p>
        </w:tc>
        <w:tc>
          <w:tcPr>
            <w:tcW w:w="3440" w:type="dxa"/>
            <w:vAlign w:val="bottom"/>
            <w:tcBorders>
              <w:top w:val="single" w:sz="8" w:color="0000EE"/>
              <w:bottom w:val="single" w:sz="8" w:color="E5E5E5"/>
            </w:tcBorders>
            <w:gridSpan w:val="6"/>
            <w:shd w:val="clear" w:color="auto" w:fill="E5E5E5"/>
          </w:tcPr>
          <w:p>
            <w:pPr>
              <w:spacing w:after="0"/>
              <w:rPr>
                <w:sz w:val="15"/>
                <w:szCs w:val="15"/>
                <w:color w:val="auto"/>
              </w:rPr>
            </w:pPr>
          </w:p>
        </w:tc>
        <w:tc>
          <w:tcPr>
            <w:tcW w:w="900" w:type="dxa"/>
            <w:vAlign w:val="bottom"/>
            <w:tcBorders>
              <w:top w:val="single" w:sz="8" w:color="E5E5E5"/>
              <w:bottom w:val="single" w:sz="8" w:color="E5E5E5"/>
            </w:tcBorders>
            <w:shd w:val="clear" w:color="auto" w:fill="E5E5E5"/>
          </w:tcPr>
          <w:p>
            <w:pPr>
              <w:spacing w:after="0"/>
              <w:rPr>
                <w:sz w:val="15"/>
                <w:szCs w:val="15"/>
                <w:color w:val="auto"/>
              </w:rPr>
            </w:pPr>
          </w:p>
        </w:tc>
        <w:tc>
          <w:tcPr>
            <w:tcW w:w="1380" w:type="dxa"/>
            <w:vAlign w:val="bottom"/>
            <w:tcBorders>
              <w:top w:val="single" w:sz="8" w:color="E5E5E5"/>
              <w:bottom w:val="single" w:sz="8" w:color="E5E5E5"/>
              <w:right w:val="single" w:sz="8" w:color="auto"/>
            </w:tcBorders>
            <w:shd w:val="clear" w:color="auto" w:fill="E5E5E5"/>
          </w:tcPr>
          <w:p>
            <w:pPr>
              <w:jc w:val="right"/>
              <w:ind w:right="211"/>
              <w:spacing w:after="0" w:line="180" w:lineRule="exact"/>
              <w:rPr>
                <w:sz w:val="20"/>
                <w:szCs w:val="20"/>
                <w:color w:val="auto"/>
              </w:rPr>
            </w:pPr>
            <w:r>
              <w:rPr>
                <w:rFonts w:ascii="Arial" w:cs="Arial" w:eastAsia="Arial" w:hAnsi="Arial"/>
                <w:sz w:val="18"/>
                <w:szCs w:val="18"/>
                <w:color w:val="auto"/>
              </w:rPr>
              <w:t>26</w:t>
            </w:r>
          </w:p>
        </w:tc>
      </w:tr>
      <w:tr>
        <w:trPr>
          <w:trHeight w:val="180"/>
        </w:trPr>
        <w:tc>
          <w:tcPr>
            <w:tcW w:w="220" w:type="dxa"/>
            <w:vAlign w:val="bottom"/>
            <w:tcBorders>
              <w:left w:val="single" w:sz="8" w:color="auto"/>
            </w:tcBorders>
            <w:shd w:val="clear" w:color="auto" w:fill="E5E5E5"/>
          </w:tcPr>
          <w:p>
            <w:pPr>
              <w:spacing w:after="0"/>
              <w:rPr>
                <w:sz w:val="15"/>
                <w:szCs w:val="15"/>
                <w:color w:val="auto"/>
              </w:rPr>
            </w:pPr>
          </w:p>
        </w:tc>
        <w:tc>
          <w:tcPr>
            <w:tcW w:w="7540" w:type="dxa"/>
            <w:vAlign w:val="bottom"/>
            <w:gridSpan w:val="17"/>
            <w:shd w:val="clear" w:color="auto" w:fill="E5E5E5"/>
          </w:tcPr>
          <w:p>
            <w:pPr>
              <w:spacing w:after="0" w:line="180" w:lineRule="exact"/>
              <w:rPr>
                <w:rFonts w:ascii="Arial" w:cs="Arial" w:eastAsia="Arial" w:hAnsi="Arial"/>
                <w:sz w:val="18"/>
                <w:szCs w:val="18"/>
                <w:color w:val="0000EE"/>
              </w:rPr>
            </w:pPr>
            <w:hyperlink w:anchor="page38">
              <w:r>
                <w:rPr>
                  <w:rFonts w:ascii="Arial" w:cs="Arial" w:eastAsia="Arial" w:hAnsi="Arial"/>
                  <w:sz w:val="18"/>
                  <w:szCs w:val="18"/>
                  <w:color w:val="0000EE"/>
                </w:rPr>
                <w:t>2017 Total Direct Compensation</w:t>
              </w:r>
            </w:hyperlink>
          </w:p>
        </w:tc>
        <w:tc>
          <w:tcPr>
            <w:tcW w:w="1380" w:type="dxa"/>
            <w:vAlign w:val="bottom"/>
            <w:tcBorders>
              <w:right w:val="single" w:sz="8" w:color="auto"/>
            </w:tcBorders>
            <w:shd w:val="clear" w:color="auto" w:fill="E5E5E5"/>
          </w:tcPr>
          <w:p>
            <w:pPr>
              <w:jc w:val="right"/>
              <w:ind w:right="211"/>
              <w:spacing w:after="0" w:line="180" w:lineRule="exact"/>
              <w:rPr>
                <w:sz w:val="20"/>
                <w:szCs w:val="20"/>
                <w:color w:val="auto"/>
              </w:rPr>
            </w:pPr>
            <w:r>
              <w:rPr>
                <w:rFonts w:ascii="Arial" w:cs="Arial" w:eastAsia="Arial" w:hAnsi="Arial"/>
                <w:sz w:val="18"/>
                <w:szCs w:val="18"/>
                <w:color w:val="auto"/>
              </w:rPr>
              <w:t>26</w:t>
            </w:r>
          </w:p>
        </w:tc>
      </w:tr>
      <w:tr>
        <w:trPr>
          <w:trHeight w:val="180"/>
        </w:trPr>
        <w:tc>
          <w:tcPr>
            <w:tcW w:w="220" w:type="dxa"/>
            <w:vAlign w:val="bottom"/>
            <w:tcBorders>
              <w:top w:val="single" w:sz="8" w:color="E5E5E5"/>
              <w:left w:val="single" w:sz="8" w:color="auto"/>
              <w:bottom w:val="single" w:sz="8" w:color="E5E5E5"/>
            </w:tcBorders>
            <w:shd w:val="clear" w:color="auto" w:fill="E5E5E5"/>
          </w:tcPr>
          <w:p>
            <w:pPr>
              <w:spacing w:after="0"/>
              <w:rPr>
                <w:sz w:val="15"/>
                <w:szCs w:val="15"/>
                <w:color w:val="auto"/>
              </w:rPr>
            </w:pPr>
          </w:p>
        </w:tc>
        <w:tc>
          <w:tcPr>
            <w:tcW w:w="920" w:type="dxa"/>
            <w:vAlign w:val="bottom"/>
            <w:tcBorders>
              <w:top w:val="single" w:sz="8" w:color="0000EE"/>
              <w:bottom w:val="single" w:sz="8" w:color="0000EE"/>
            </w:tcBorders>
            <w:gridSpan w:val="3"/>
            <w:shd w:val="clear" w:color="auto" w:fill="E5E5E5"/>
          </w:tcPr>
          <w:p>
            <w:pPr>
              <w:spacing w:after="0" w:line="180" w:lineRule="exact"/>
              <w:rPr>
                <w:rFonts w:ascii="Arial" w:cs="Arial" w:eastAsia="Arial" w:hAnsi="Arial"/>
                <w:sz w:val="18"/>
                <w:szCs w:val="18"/>
                <w:color w:val="0000EE"/>
                <w:w w:val="96"/>
              </w:rPr>
            </w:pPr>
            <w:hyperlink w:anchor="page45">
              <w:r>
                <w:rPr>
                  <w:rFonts w:ascii="Arial" w:cs="Arial" w:eastAsia="Arial" w:hAnsi="Arial"/>
                  <w:sz w:val="18"/>
                  <w:szCs w:val="18"/>
                  <w:color w:val="0000EE"/>
                  <w:w w:val="96"/>
                </w:rPr>
                <w:t>Peer Group</w:t>
              </w:r>
            </w:hyperlink>
          </w:p>
        </w:tc>
        <w:tc>
          <w:tcPr>
            <w:tcW w:w="1600" w:type="dxa"/>
            <w:vAlign w:val="bottom"/>
            <w:tcBorders>
              <w:top w:val="single" w:sz="8" w:color="0000EE"/>
              <w:bottom w:val="single" w:sz="8" w:color="E5E5E5"/>
            </w:tcBorders>
            <w:gridSpan w:val="4"/>
            <w:shd w:val="clear" w:color="auto" w:fill="E5E5E5"/>
          </w:tcPr>
          <w:p>
            <w:pPr>
              <w:spacing w:after="0"/>
              <w:rPr>
                <w:sz w:val="15"/>
                <w:szCs w:val="15"/>
                <w:color w:val="auto"/>
              </w:rPr>
            </w:pPr>
          </w:p>
        </w:tc>
        <w:tc>
          <w:tcPr>
            <w:tcW w:w="5020" w:type="dxa"/>
            <w:vAlign w:val="bottom"/>
            <w:tcBorders>
              <w:top w:val="single" w:sz="8" w:color="E5E5E5"/>
              <w:bottom w:val="single" w:sz="8" w:color="E5E5E5"/>
            </w:tcBorders>
            <w:gridSpan w:val="10"/>
            <w:shd w:val="clear" w:color="auto" w:fill="E5E5E5"/>
          </w:tcPr>
          <w:p>
            <w:pPr>
              <w:spacing w:after="0"/>
              <w:rPr>
                <w:sz w:val="15"/>
                <w:szCs w:val="15"/>
                <w:color w:val="auto"/>
              </w:rPr>
            </w:pPr>
          </w:p>
        </w:tc>
        <w:tc>
          <w:tcPr>
            <w:tcW w:w="1380" w:type="dxa"/>
            <w:vAlign w:val="bottom"/>
            <w:tcBorders>
              <w:top w:val="single" w:sz="8" w:color="E5E5E5"/>
              <w:bottom w:val="single" w:sz="8" w:color="E5E5E5"/>
              <w:right w:val="single" w:sz="8" w:color="auto"/>
            </w:tcBorders>
            <w:shd w:val="clear" w:color="auto" w:fill="E5E5E5"/>
          </w:tcPr>
          <w:p>
            <w:pPr>
              <w:jc w:val="right"/>
              <w:ind w:right="211"/>
              <w:spacing w:after="0" w:line="180" w:lineRule="exact"/>
              <w:rPr>
                <w:sz w:val="20"/>
                <w:szCs w:val="20"/>
                <w:color w:val="auto"/>
              </w:rPr>
            </w:pPr>
            <w:r>
              <w:rPr>
                <w:rFonts w:ascii="Arial" w:cs="Arial" w:eastAsia="Arial" w:hAnsi="Arial"/>
                <w:sz w:val="18"/>
                <w:szCs w:val="18"/>
                <w:color w:val="auto"/>
              </w:rPr>
              <w:t>33</w:t>
            </w:r>
          </w:p>
        </w:tc>
      </w:tr>
      <w:tr>
        <w:trPr>
          <w:trHeight w:val="180"/>
        </w:trPr>
        <w:tc>
          <w:tcPr>
            <w:tcW w:w="220" w:type="dxa"/>
            <w:vAlign w:val="bottom"/>
            <w:tcBorders>
              <w:left w:val="single" w:sz="8" w:color="auto"/>
              <w:bottom w:val="single" w:sz="8" w:color="E5E5E5"/>
            </w:tcBorders>
            <w:shd w:val="clear" w:color="auto" w:fill="E5E5E5"/>
          </w:tcPr>
          <w:p>
            <w:pPr>
              <w:spacing w:after="0"/>
              <w:rPr>
                <w:sz w:val="15"/>
                <w:szCs w:val="15"/>
                <w:color w:val="auto"/>
              </w:rPr>
            </w:pPr>
          </w:p>
        </w:tc>
        <w:tc>
          <w:tcPr>
            <w:tcW w:w="6240" w:type="dxa"/>
            <w:vAlign w:val="bottom"/>
            <w:tcBorders>
              <w:bottom w:val="single" w:sz="8" w:color="0000EE"/>
            </w:tcBorders>
            <w:gridSpan w:val="15"/>
            <w:shd w:val="clear" w:color="auto" w:fill="E5E5E5"/>
          </w:tcPr>
          <w:p>
            <w:pPr>
              <w:spacing w:after="0" w:line="180" w:lineRule="exact"/>
              <w:rPr>
                <w:rFonts w:ascii="Arial" w:cs="Arial" w:eastAsia="Arial" w:hAnsi="Arial"/>
                <w:sz w:val="18"/>
                <w:szCs w:val="18"/>
                <w:color w:val="0000EE"/>
                <w:w w:val="98"/>
              </w:rPr>
            </w:pPr>
            <w:hyperlink w:anchor="page45">
              <w:r>
                <w:rPr>
                  <w:rFonts w:ascii="Arial" w:cs="Arial" w:eastAsia="Arial" w:hAnsi="Arial"/>
                  <w:sz w:val="18"/>
                  <w:szCs w:val="18"/>
                  <w:color w:val="0000EE"/>
                  <w:w w:val="98"/>
                </w:rPr>
                <w:t>Process for Determining Compensation and Role of Compensation Consultants</w:t>
              </w:r>
            </w:hyperlink>
          </w:p>
        </w:tc>
        <w:tc>
          <w:tcPr>
            <w:tcW w:w="1300" w:type="dxa"/>
            <w:vAlign w:val="bottom"/>
            <w:tcBorders>
              <w:bottom w:val="single" w:sz="8" w:color="E5E5E5"/>
            </w:tcBorders>
            <w:gridSpan w:val="2"/>
            <w:shd w:val="clear" w:color="auto" w:fill="E5E5E5"/>
          </w:tcPr>
          <w:p>
            <w:pPr>
              <w:spacing w:after="0"/>
              <w:rPr>
                <w:sz w:val="15"/>
                <w:szCs w:val="15"/>
                <w:color w:val="auto"/>
              </w:rPr>
            </w:pPr>
          </w:p>
        </w:tc>
        <w:tc>
          <w:tcPr>
            <w:tcW w:w="1380" w:type="dxa"/>
            <w:vAlign w:val="bottom"/>
            <w:tcBorders>
              <w:bottom w:val="single" w:sz="8" w:color="E5E5E5"/>
              <w:right w:val="single" w:sz="8" w:color="auto"/>
            </w:tcBorders>
            <w:shd w:val="clear" w:color="auto" w:fill="E5E5E5"/>
          </w:tcPr>
          <w:p>
            <w:pPr>
              <w:jc w:val="right"/>
              <w:ind w:right="211"/>
              <w:spacing w:after="0" w:line="180" w:lineRule="exact"/>
              <w:rPr>
                <w:sz w:val="20"/>
                <w:szCs w:val="20"/>
                <w:color w:val="auto"/>
              </w:rPr>
            </w:pPr>
            <w:r>
              <w:rPr>
                <w:rFonts w:ascii="Arial" w:cs="Arial" w:eastAsia="Arial" w:hAnsi="Arial"/>
                <w:sz w:val="18"/>
                <w:szCs w:val="18"/>
                <w:color w:val="auto"/>
              </w:rPr>
              <w:t>33</w:t>
            </w:r>
          </w:p>
        </w:tc>
      </w:tr>
      <w:tr>
        <w:trPr>
          <w:trHeight w:val="180"/>
        </w:trPr>
        <w:tc>
          <w:tcPr>
            <w:tcW w:w="220" w:type="dxa"/>
            <w:vAlign w:val="bottom"/>
            <w:tcBorders>
              <w:left w:val="single" w:sz="8" w:color="auto"/>
              <w:bottom w:val="single" w:sz="8" w:color="E5E5E5"/>
            </w:tcBorders>
            <w:shd w:val="clear" w:color="auto" w:fill="E5E5E5"/>
          </w:tcPr>
          <w:p>
            <w:pPr>
              <w:spacing w:after="0"/>
              <w:rPr>
                <w:sz w:val="15"/>
                <w:szCs w:val="15"/>
                <w:color w:val="auto"/>
              </w:rPr>
            </w:pPr>
          </w:p>
        </w:tc>
        <w:tc>
          <w:tcPr>
            <w:tcW w:w="1720" w:type="dxa"/>
            <w:vAlign w:val="bottom"/>
            <w:tcBorders>
              <w:bottom w:val="single" w:sz="8" w:color="0000EE"/>
            </w:tcBorders>
            <w:gridSpan w:val="5"/>
            <w:shd w:val="clear" w:color="auto" w:fill="E5E5E5"/>
          </w:tcPr>
          <w:p>
            <w:pPr>
              <w:spacing w:after="0" w:line="180" w:lineRule="exact"/>
              <w:rPr>
                <w:rFonts w:ascii="Arial" w:cs="Arial" w:eastAsia="Arial" w:hAnsi="Arial"/>
                <w:sz w:val="18"/>
                <w:szCs w:val="18"/>
                <w:color w:val="0000EE"/>
                <w:w w:val="97"/>
              </w:rPr>
            </w:pPr>
            <w:hyperlink w:anchor="page45">
              <w:r>
                <w:rPr>
                  <w:rFonts w:ascii="Arial" w:cs="Arial" w:eastAsia="Arial" w:hAnsi="Arial"/>
                  <w:sz w:val="18"/>
                  <w:szCs w:val="18"/>
                  <w:color w:val="0000EE"/>
                  <w:w w:val="97"/>
                </w:rPr>
                <w:t>Additional Information</w:t>
              </w:r>
            </w:hyperlink>
          </w:p>
        </w:tc>
        <w:tc>
          <w:tcPr>
            <w:tcW w:w="5820" w:type="dxa"/>
            <w:vAlign w:val="bottom"/>
            <w:tcBorders>
              <w:bottom w:val="single" w:sz="8" w:color="E5E5E5"/>
            </w:tcBorders>
            <w:gridSpan w:val="12"/>
            <w:shd w:val="clear" w:color="auto" w:fill="E5E5E5"/>
          </w:tcPr>
          <w:p>
            <w:pPr>
              <w:spacing w:after="0"/>
              <w:rPr>
                <w:sz w:val="15"/>
                <w:szCs w:val="15"/>
                <w:color w:val="auto"/>
              </w:rPr>
            </w:pPr>
          </w:p>
        </w:tc>
        <w:tc>
          <w:tcPr>
            <w:tcW w:w="1380" w:type="dxa"/>
            <w:vAlign w:val="bottom"/>
            <w:tcBorders>
              <w:bottom w:val="single" w:sz="8" w:color="E5E5E5"/>
              <w:right w:val="single" w:sz="8" w:color="auto"/>
            </w:tcBorders>
            <w:shd w:val="clear" w:color="auto" w:fill="E5E5E5"/>
          </w:tcPr>
          <w:p>
            <w:pPr>
              <w:jc w:val="right"/>
              <w:ind w:right="211"/>
              <w:spacing w:after="0" w:line="180" w:lineRule="exact"/>
              <w:rPr>
                <w:sz w:val="20"/>
                <w:szCs w:val="20"/>
                <w:color w:val="auto"/>
              </w:rPr>
            </w:pPr>
            <w:r>
              <w:rPr>
                <w:rFonts w:ascii="Arial" w:cs="Arial" w:eastAsia="Arial" w:hAnsi="Arial"/>
                <w:sz w:val="18"/>
                <w:szCs w:val="18"/>
                <w:color w:val="auto"/>
              </w:rPr>
              <w:t>33</w:t>
            </w:r>
          </w:p>
        </w:tc>
      </w:tr>
      <w:tr>
        <w:trPr>
          <w:trHeight w:val="220"/>
        </w:trPr>
        <w:tc>
          <w:tcPr>
            <w:tcW w:w="220" w:type="dxa"/>
            <w:vAlign w:val="bottom"/>
            <w:tcBorders>
              <w:left w:val="single" w:sz="8" w:color="auto"/>
              <w:bottom w:val="single" w:sz="8" w:color="auto"/>
            </w:tcBorders>
            <w:shd w:val="clear" w:color="auto" w:fill="E5E5E5"/>
          </w:tcPr>
          <w:p>
            <w:pPr>
              <w:spacing w:after="0"/>
              <w:rPr>
                <w:sz w:val="19"/>
                <w:szCs w:val="19"/>
                <w:color w:val="auto"/>
              </w:rPr>
            </w:pPr>
          </w:p>
        </w:tc>
        <w:tc>
          <w:tcPr>
            <w:tcW w:w="7540" w:type="dxa"/>
            <w:vAlign w:val="bottom"/>
            <w:tcBorders>
              <w:bottom w:val="single" w:sz="8" w:color="auto"/>
            </w:tcBorders>
            <w:gridSpan w:val="17"/>
            <w:shd w:val="clear" w:color="auto" w:fill="E5E5E5"/>
          </w:tcPr>
          <w:p>
            <w:pPr>
              <w:spacing w:after="0" w:line="180" w:lineRule="exact"/>
              <w:rPr>
                <w:rFonts w:ascii="Arial" w:cs="Arial" w:eastAsia="Arial" w:hAnsi="Arial"/>
                <w:sz w:val="18"/>
                <w:szCs w:val="18"/>
                <w:color w:val="0000EE"/>
              </w:rPr>
            </w:pPr>
            <w:hyperlink w:anchor="page48">
              <w:r>
                <w:rPr>
                  <w:rFonts w:ascii="Arial" w:cs="Arial" w:eastAsia="Arial" w:hAnsi="Arial"/>
                  <w:sz w:val="18"/>
                  <w:szCs w:val="18"/>
                  <w:color w:val="0000EE"/>
                </w:rPr>
                <w:t>Compensation Committee Report</w:t>
              </w:r>
            </w:hyperlink>
          </w:p>
        </w:tc>
        <w:tc>
          <w:tcPr>
            <w:tcW w:w="1380" w:type="dxa"/>
            <w:vAlign w:val="bottom"/>
            <w:tcBorders>
              <w:bottom w:val="single" w:sz="8" w:color="auto"/>
              <w:right w:val="single" w:sz="8" w:color="auto"/>
            </w:tcBorders>
            <w:shd w:val="clear" w:color="auto" w:fill="E5E5E5"/>
          </w:tcPr>
          <w:p>
            <w:pPr>
              <w:jc w:val="right"/>
              <w:ind w:right="211"/>
              <w:spacing w:after="0" w:line="180" w:lineRule="exact"/>
              <w:rPr>
                <w:sz w:val="20"/>
                <w:szCs w:val="20"/>
                <w:color w:val="auto"/>
              </w:rPr>
            </w:pPr>
            <w:r>
              <w:rPr>
                <w:rFonts w:ascii="Arial" w:cs="Arial" w:eastAsia="Arial" w:hAnsi="Arial"/>
                <w:sz w:val="18"/>
                <w:szCs w:val="18"/>
                <w:color w:val="auto"/>
              </w:rPr>
              <w:t>36</w:t>
            </w:r>
          </w:p>
        </w:tc>
      </w:tr>
    </w:tbl>
    <w:p>
      <w:pPr>
        <w:spacing w:after="0" w:line="180"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007549"/>
        </w:rPr>
        <w:t>Executive Summary</w:t>
      </w:r>
    </w:p>
    <w:p>
      <w:pPr>
        <w:spacing w:after="0" w:line="96" w:lineRule="exact"/>
        <w:rPr>
          <w:sz w:val="20"/>
          <w:szCs w:val="20"/>
          <w:color w:val="auto"/>
        </w:rPr>
      </w:pPr>
    </w:p>
    <w:p>
      <w:pPr>
        <w:jc w:val="both"/>
        <w:ind w:left="280"/>
        <w:spacing w:after="0" w:line="233" w:lineRule="auto"/>
        <w:rPr>
          <w:sz w:val="20"/>
          <w:szCs w:val="20"/>
          <w:color w:val="auto"/>
        </w:rPr>
      </w:pPr>
      <w:r>
        <w:rPr>
          <w:rFonts w:ascii="Arial" w:cs="Arial" w:eastAsia="Arial" w:hAnsi="Arial"/>
          <w:sz w:val="18"/>
          <w:szCs w:val="18"/>
          <w:color w:val="auto"/>
        </w:rPr>
        <w:t>Our compensation program is focused on building long-term value in an industry where oil and gas reserves are depleted annually and a significant portion of financial and stock price performance, especially over shorter time periods, is driven by oil price and other macroeconomic factors over which management has limited, if any, control. It is critical we maintain and grow our resource base in a capital disciplined manner while ensuring our cost of production is low enough to generate returns for our stockholders in the current oil price environment. The board believes that our compensation program should set short-term targets that lead to long-term success and long-term targets based on shareholder returns, which we believe is the most effective measure of long-term value creation currently available. As a result, our annual incentive plan is designed to maintain an annual focus on management’s day-to-day efforts on outcomes largely within its control, with a strong emphasis on formulaic enterprise results. Our long-term incentive plan focuses on longer term objectives, including stockholder value creation and alignment of management with stockholder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1820545</wp:posOffset>
            </wp:positionH>
            <wp:positionV relativeFrom="paragraph">
              <wp:posOffset>85725</wp:posOffset>
            </wp:positionV>
            <wp:extent cx="405765" cy="2451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215" w:lineRule="exact"/>
        <w:rPr>
          <w:sz w:val="20"/>
          <w:szCs w:val="20"/>
          <w:color w:val="auto"/>
        </w:rPr>
      </w:pPr>
    </w:p>
    <w:p>
      <w:pPr>
        <w:ind w:left="760" w:hanging="474"/>
        <w:spacing w:after="0"/>
        <w:tabs>
          <w:tab w:leader="none" w:pos="760" w:val="left"/>
        </w:tabs>
        <w:numPr>
          <w:ilvl w:val="0"/>
          <w:numId w:val="43"/>
        </w:numPr>
        <w:rPr>
          <w:rFonts w:ascii="Arial" w:cs="Arial" w:eastAsia="Arial" w:hAnsi="Arial"/>
          <w:sz w:val="14"/>
          <w:szCs w:val="14"/>
          <w:b w:val="1"/>
          <w:bCs w:val="1"/>
          <w:color w:val="007549"/>
        </w:rPr>
      </w:pPr>
      <w:r>
        <w:rPr>
          <w:rFonts w:ascii="Arial" w:cs="Arial" w:eastAsia="Arial" w:hAnsi="Arial"/>
          <w:sz w:val="12"/>
          <w:szCs w:val="12"/>
          <w:b w:val="1"/>
          <w:bCs w:val="1"/>
          <w:color w:val="666666"/>
        </w:rPr>
        <w:t>2018 PROXY STATEMENT</w:t>
      </w:r>
    </w:p>
    <w:p>
      <w:pPr>
        <w:sectPr>
          <w:pgSz w:w="11900" w:h="16838" w:orient="portrait"/>
          <w:cols w:equalWidth="0" w:num="1">
            <w:col w:w="11140"/>
          </w:cols>
          <w:pgMar w:left="240" w:top="454" w:right="5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6020"/>
        <w:spacing w:after="0"/>
        <w:rPr>
          <w:sz w:val="20"/>
          <w:szCs w:val="20"/>
          <w:color w:val="auto"/>
        </w:rPr>
      </w:pPr>
      <w:r>
        <w:rPr>
          <w:rFonts w:ascii="Arial" w:cs="Arial" w:eastAsia="Arial" w:hAnsi="Arial"/>
          <w:sz w:val="15"/>
          <w:szCs w:val="15"/>
          <w:b w:val="1"/>
          <w:bCs w:val="1"/>
          <w:color w:val="007549"/>
        </w:rPr>
        <w:t xml:space="preserve">Executive Compensation </w:t>
      </w:r>
      <w:r>
        <w:rPr>
          <w:rFonts w:ascii="Arial" w:cs="Arial" w:eastAsia="Arial" w:hAnsi="Arial"/>
          <w:sz w:val="15"/>
          <w:szCs w:val="15"/>
          <w:b w:val="1"/>
          <w:bCs w:val="1"/>
          <w:color w:val="000000"/>
        </w:rPr>
        <w:t>+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62230</wp:posOffset>
            </wp:positionV>
            <wp:extent cx="68935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255" w:lineRule="exact"/>
        <w:rPr>
          <w:sz w:val="20"/>
          <w:szCs w:val="20"/>
          <w:color w:val="auto"/>
        </w:rPr>
      </w:pPr>
    </w:p>
    <w:p>
      <w:pPr>
        <w:jc w:val="both"/>
        <w:ind w:left="280"/>
        <w:spacing w:after="0" w:line="263" w:lineRule="auto"/>
        <w:rPr>
          <w:sz w:val="20"/>
          <w:szCs w:val="20"/>
          <w:color w:val="auto"/>
        </w:rPr>
      </w:pPr>
      <w:r>
        <w:rPr>
          <w:rFonts w:ascii="Arial" w:cs="Arial" w:eastAsia="Arial" w:hAnsi="Arial"/>
          <w:sz w:val="18"/>
          <w:szCs w:val="18"/>
          <w:b w:val="1"/>
          <w:bCs w:val="1"/>
          <w:i w:val="1"/>
          <w:iCs w:val="1"/>
          <w:color w:val="007549"/>
        </w:rPr>
        <w:t xml:space="preserve">Compensation Actions in 2017. </w:t>
      </w:r>
      <w:r>
        <w:rPr>
          <w:rFonts w:ascii="Arial" w:cs="Arial" w:eastAsia="Arial" w:hAnsi="Arial"/>
          <w:sz w:val="18"/>
          <w:szCs w:val="18"/>
          <w:color w:val="000000"/>
        </w:rPr>
        <w:t>In light of the commodity price environment, the compensation and management development</w:t>
      </w:r>
      <w:r>
        <w:rPr>
          <w:rFonts w:ascii="Arial" w:cs="Arial" w:eastAsia="Arial" w:hAnsi="Arial"/>
          <w:sz w:val="18"/>
          <w:szCs w:val="18"/>
          <w:b w:val="1"/>
          <w:bCs w:val="1"/>
          <w:i w:val="1"/>
          <w:iCs w:val="1"/>
          <w:color w:val="007549"/>
        </w:rPr>
        <w:t xml:space="preserve"> </w:t>
      </w:r>
      <w:r>
        <w:rPr>
          <w:rFonts w:ascii="Arial" w:cs="Arial" w:eastAsia="Arial" w:hAnsi="Arial"/>
          <w:sz w:val="18"/>
          <w:szCs w:val="18"/>
          <w:color w:val="000000"/>
        </w:rPr>
        <w:t>committee took the following compensation actions:</w:t>
      </w:r>
    </w:p>
    <w:p>
      <w:pPr>
        <w:spacing w:after="0" w:line="181" w:lineRule="exact"/>
        <w:rPr>
          <w:sz w:val="20"/>
          <w:szCs w:val="20"/>
          <w:color w:val="auto"/>
        </w:rPr>
      </w:pPr>
    </w:p>
    <w:tbl>
      <w:tblPr>
        <w:tblLayout w:type="fixed"/>
        <w:tblInd w:w="280" w:type="dxa"/>
        <w:tblCellMar>
          <w:top w:w="0" w:type="dxa"/>
          <w:left w:w="0" w:type="dxa"/>
          <w:bottom w:w="0" w:type="dxa"/>
          <w:right w:w="0" w:type="dxa"/>
        </w:tblCellMar>
      </w:tblPr>
      <w:tr>
        <w:trPr>
          <w:trHeight w:val="213"/>
        </w:trPr>
        <w:tc>
          <w:tcPr>
            <w:tcW w:w="2080" w:type="dxa"/>
            <w:vAlign w:val="bottom"/>
            <w:tcBorders>
              <w:right w:val="single" w:sz="8" w:color="007549"/>
            </w:tcBorders>
            <w:shd w:val="clear" w:color="auto" w:fill="007549"/>
          </w:tcPr>
          <w:p>
            <w:pPr>
              <w:ind w:left="160"/>
              <w:spacing w:after="0"/>
              <w:rPr>
                <w:sz w:val="20"/>
                <w:szCs w:val="20"/>
                <w:color w:val="auto"/>
              </w:rPr>
            </w:pPr>
            <w:r>
              <w:rPr>
                <w:rFonts w:ascii="Arial" w:cs="Arial" w:eastAsia="Arial" w:hAnsi="Arial"/>
                <w:sz w:val="14"/>
                <w:szCs w:val="14"/>
                <w:b w:val="1"/>
                <w:bCs w:val="1"/>
                <w:color w:val="FFFFFF"/>
              </w:rPr>
              <w:t>Key Compensation Actions</w:t>
            </w:r>
          </w:p>
        </w:tc>
        <w:tc>
          <w:tcPr>
            <w:tcW w:w="4580" w:type="dxa"/>
            <w:vAlign w:val="bottom"/>
            <w:tcBorders>
              <w:right w:val="single" w:sz="8" w:color="007549"/>
            </w:tcBorders>
            <w:shd w:val="clear" w:color="auto" w:fill="007549"/>
          </w:tcPr>
          <w:p>
            <w:pPr>
              <w:spacing w:after="0"/>
              <w:rPr>
                <w:sz w:val="18"/>
                <w:szCs w:val="18"/>
                <w:color w:val="auto"/>
              </w:rPr>
            </w:pPr>
          </w:p>
        </w:tc>
        <w:tc>
          <w:tcPr>
            <w:tcW w:w="4200" w:type="dxa"/>
            <w:vAlign w:val="bottom"/>
            <w:shd w:val="clear" w:color="auto" w:fill="007549"/>
          </w:tcPr>
          <w:p>
            <w:pPr>
              <w:ind w:left="1820"/>
              <w:spacing w:after="0"/>
              <w:rPr>
                <w:sz w:val="20"/>
                <w:szCs w:val="20"/>
                <w:color w:val="auto"/>
              </w:rPr>
            </w:pPr>
            <w:r>
              <w:rPr>
                <w:rFonts w:ascii="Arial" w:cs="Arial" w:eastAsia="Arial" w:hAnsi="Arial"/>
                <w:sz w:val="14"/>
                <w:szCs w:val="14"/>
                <w:b w:val="1"/>
                <w:bCs w:val="1"/>
                <w:color w:val="FFFFFF"/>
              </w:rPr>
              <w:t>Rationale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80" w:type="dxa"/>
            <w:vAlign w:val="bottom"/>
            <w:tcBorders>
              <w:right w:val="single" w:sz="8" w:color="007549"/>
            </w:tcBorders>
            <w:vMerge w:val="restart"/>
            <w:shd w:val="clear" w:color="auto" w:fill="E5E5E5"/>
          </w:tcPr>
          <w:p>
            <w:pPr>
              <w:ind w:left="140"/>
              <w:spacing w:after="0"/>
              <w:rPr>
                <w:sz w:val="20"/>
                <w:szCs w:val="20"/>
                <w:color w:val="auto"/>
              </w:rPr>
            </w:pPr>
            <w:r>
              <w:rPr>
                <w:rFonts w:ascii="Arial" w:cs="Arial" w:eastAsia="Arial" w:hAnsi="Arial"/>
                <w:sz w:val="18"/>
                <w:szCs w:val="18"/>
                <w:b w:val="1"/>
                <w:bCs w:val="1"/>
                <w:color w:val="auto"/>
              </w:rPr>
              <w:t>Salary</w:t>
            </w:r>
          </w:p>
        </w:tc>
        <w:tc>
          <w:tcPr>
            <w:tcW w:w="4580" w:type="dxa"/>
            <w:vAlign w:val="bottom"/>
            <w:tcBorders>
              <w:right w:val="single" w:sz="8" w:color="007549"/>
            </w:tcBorders>
          </w:tcPr>
          <w:p>
            <w:pPr>
              <w:ind w:left="100"/>
              <w:spacing w:after="0" w:line="199" w:lineRule="exact"/>
              <w:rPr>
                <w:sz w:val="20"/>
                <w:szCs w:val="20"/>
                <w:color w:val="auto"/>
              </w:rPr>
            </w:pPr>
            <w:r>
              <w:rPr>
                <w:rFonts w:ascii="Arial" w:cs="Arial" w:eastAsia="Arial" w:hAnsi="Arial"/>
                <w:sz w:val="18"/>
                <w:szCs w:val="18"/>
                <w:color w:val="auto"/>
              </w:rPr>
              <w:t>NEO salaries held flat since 2014 with one exception</w:t>
            </w:r>
          </w:p>
        </w:tc>
        <w:tc>
          <w:tcPr>
            <w:tcW w:w="4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2080" w:type="dxa"/>
            <w:vAlign w:val="bottom"/>
            <w:tcBorders>
              <w:right w:val="single" w:sz="8" w:color="007549"/>
            </w:tcBorders>
            <w:vMerge w:val="continue"/>
            <w:shd w:val="clear" w:color="auto" w:fill="E5E5E5"/>
          </w:tcPr>
          <w:p>
            <w:pPr>
              <w:spacing w:after="0"/>
              <w:rPr>
                <w:sz w:val="9"/>
                <w:szCs w:val="9"/>
                <w:color w:val="auto"/>
              </w:rPr>
            </w:pPr>
          </w:p>
        </w:tc>
        <w:tc>
          <w:tcPr>
            <w:tcW w:w="4580" w:type="dxa"/>
            <w:vAlign w:val="bottom"/>
            <w:tcBorders>
              <w:right w:val="single" w:sz="8" w:color="007549"/>
            </w:tcBorders>
            <w:vMerge w:val="restart"/>
          </w:tcPr>
          <w:p>
            <w:pPr>
              <w:ind w:left="100"/>
              <w:spacing w:after="0" w:line="201" w:lineRule="exact"/>
              <w:rPr>
                <w:sz w:val="20"/>
                <w:szCs w:val="20"/>
                <w:color w:val="auto"/>
              </w:rPr>
            </w:pPr>
            <w:r>
              <w:rPr>
                <w:rFonts w:ascii="Arial" w:cs="Arial" w:eastAsia="Arial" w:hAnsi="Arial"/>
                <w:sz w:val="18"/>
                <w:szCs w:val="18"/>
                <w:color w:val="auto"/>
              </w:rPr>
              <w:t>in 2017 for an increase in job responsibilities</w:t>
            </w:r>
          </w:p>
        </w:tc>
        <w:tc>
          <w:tcPr>
            <w:tcW w:w="4220" w:type="dxa"/>
            <w:vAlign w:val="bottom"/>
            <w:gridSpan w:val="2"/>
            <w:vMerge w:val="restart"/>
          </w:tcPr>
          <w:p>
            <w:pPr>
              <w:ind w:left="100"/>
              <w:spacing w:after="0" w:line="201" w:lineRule="exact"/>
              <w:rPr>
                <w:sz w:val="20"/>
                <w:szCs w:val="20"/>
                <w:color w:val="auto"/>
              </w:rPr>
            </w:pPr>
            <w:r>
              <w:rPr>
                <w:rFonts w:ascii="Arial" w:cs="Arial" w:eastAsia="Arial" w:hAnsi="Arial"/>
                <w:sz w:val="18"/>
                <w:szCs w:val="18"/>
                <w:color w:val="auto"/>
              </w:rPr>
              <w:t>Reviewed annually and consider: external market,</w:t>
            </w:r>
          </w:p>
        </w:tc>
        <w:tc>
          <w:tcPr>
            <w:tcW w:w="0" w:type="dxa"/>
            <w:vAlign w:val="bottom"/>
          </w:tcPr>
          <w:p>
            <w:pPr>
              <w:spacing w:after="0"/>
              <w:rPr>
                <w:sz w:val="1"/>
                <w:szCs w:val="1"/>
                <w:color w:val="auto"/>
              </w:rPr>
            </w:pPr>
          </w:p>
        </w:tc>
      </w:tr>
      <w:tr>
        <w:trPr>
          <w:trHeight w:val="94"/>
        </w:trPr>
        <w:tc>
          <w:tcPr>
            <w:tcW w:w="2080" w:type="dxa"/>
            <w:vAlign w:val="bottom"/>
            <w:tcBorders>
              <w:bottom w:val="single" w:sz="8" w:color="007549"/>
              <w:right w:val="single" w:sz="8" w:color="007549"/>
            </w:tcBorders>
            <w:shd w:val="clear" w:color="auto" w:fill="E5E5E5"/>
          </w:tcPr>
          <w:p>
            <w:pPr>
              <w:spacing w:after="0"/>
              <w:rPr>
                <w:sz w:val="8"/>
                <w:szCs w:val="8"/>
                <w:color w:val="auto"/>
              </w:rPr>
            </w:pPr>
          </w:p>
        </w:tc>
        <w:tc>
          <w:tcPr>
            <w:tcW w:w="4580" w:type="dxa"/>
            <w:vAlign w:val="bottom"/>
            <w:tcBorders>
              <w:bottom w:val="single" w:sz="8" w:color="007549"/>
              <w:right w:val="single" w:sz="8" w:color="007549"/>
            </w:tcBorders>
            <w:vMerge w:val="continue"/>
          </w:tcPr>
          <w:p>
            <w:pPr>
              <w:spacing w:after="0"/>
              <w:rPr>
                <w:sz w:val="8"/>
                <w:szCs w:val="8"/>
                <w:color w:val="auto"/>
              </w:rPr>
            </w:pPr>
          </w:p>
        </w:tc>
        <w:tc>
          <w:tcPr>
            <w:tcW w:w="42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2080" w:type="dxa"/>
            <w:vAlign w:val="bottom"/>
            <w:tcBorders>
              <w:right w:val="single" w:sz="8" w:color="007549"/>
            </w:tcBorders>
            <w:shd w:val="clear" w:color="auto" w:fill="E5E5E5"/>
          </w:tcPr>
          <w:p>
            <w:pPr>
              <w:ind w:left="140"/>
              <w:spacing w:after="0" w:line="192" w:lineRule="exact"/>
              <w:rPr>
                <w:sz w:val="20"/>
                <w:szCs w:val="20"/>
                <w:color w:val="auto"/>
              </w:rPr>
            </w:pPr>
            <w:r>
              <w:rPr>
                <w:rFonts w:ascii="Arial" w:cs="Arial" w:eastAsia="Arial" w:hAnsi="Arial"/>
                <w:sz w:val="18"/>
                <w:szCs w:val="18"/>
                <w:b w:val="1"/>
                <w:bCs w:val="1"/>
                <w:color w:val="auto"/>
              </w:rPr>
              <w:t>AIP Targets</w:t>
            </w:r>
          </w:p>
        </w:tc>
        <w:tc>
          <w:tcPr>
            <w:tcW w:w="4580" w:type="dxa"/>
            <w:vAlign w:val="bottom"/>
            <w:tcBorders>
              <w:right w:val="single" w:sz="8" w:color="007549"/>
            </w:tcBorders>
          </w:tcPr>
          <w:p>
            <w:pPr>
              <w:ind w:left="100"/>
              <w:spacing w:after="0" w:line="192" w:lineRule="exact"/>
              <w:rPr>
                <w:sz w:val="20"/>
                <w:szCs w:val="20"/>
                <w:color w:val="auto"/>
              </w:rPr>
            </w:pPr>
            <w:r>
              <w:rPr>
                <w:rFonts w:ascii="Arial" w:cs="Arial" w:eastAsia="Arial" w:hAnsi="Arial"/>
                <w:sz w:val="18"/>
                <w:szCs w:val="18"/>
                <w:color w:val="auto"/>
              </w:rPr>
              <w:t>NEO annual incentive plan (“AIP”) target percentages</w:t>
            </w:r>
          </w:p>
        </w:tc>
        <w:tc>
          <w:tcPr>
            <w:tcW w:w="4220" w:type="dxa"/>
            <w:vAlign w:val="bottom"/>
            <w:gridSpan w:val="2"/>
          </w:tcPr>
          <w:p>
            <w:pPr>
              <w:ind w:left="100"/>
              <w:spacing w:after="0" w:line="192" w:lineRule="exact"/>
              <w:rPr>
                <w:sz w:val="20"/>
                <w:szCs w:val="20"/>
                <w:color w:val="auto"/>
              </w:rPr>
            </w:pPr>
            <w:r>
              <w:rPr>
                <w:rFonts w:ascii="Arial" w:cs="Arial" w:eastAsia="Arial" w:hAnsi="Arial"/>
                <w:sz w:val="18"/>
                <w:szCs w:val="18"/>
                <w:color w:val="auto"/>
              </w:rPr>
              <w:t>internal  equity,  compensation  philosophy,  job</w:t>
            </w:r>
          </w:p>
        </w:tc>
        <w:tc>
          <w:tcPr>
            <w:tcW w:w="0" w:type="dxa"/>
            <w:vAlign w:val="bottom"/>
          </w:tcPr>
          <w:p>
            <w:pPr>
              <w:spacing w:after="0"/>
              <w:rPr>
                <w:sz w:val="1"/>
                <w:szCs w:val="1"/>
                <w:color w:val="auto"/>
              </w:rPr>
            </w:pPr>
          </w:p>
        </w:tc>
      </w:tr>
      <w:tr>
        <w:trPr>
          <w:trHeight w:val="200"/>
        </w:trPr>
        <w:tc>
          <w:tcPr>
            <w:tcW w:w="2080" w:type="dxa"/>
            <w:vAlign w:val="bottom"/>
            <w:tcBorders>
              <w:bottom w:val="single" w:sz="8" w:color="007549"/>
              <w:right w:val="single" w:sz="8" w:color="007549"/>
            </w:tcBorders>
            <w:shd w:val="clear" w:color="auto" w:fill="E5E5E5"/>
          </w:tcPr>
          <w:p>
            <w:pPr>
              <w:spacing w:after="0"/>
              <w:rPr>
                <w:sz w:val="17"/>
                <w:szCs w:val="17"/>
                <w:color w:val="auto"/>
              </w:rPr>
            </w:pPr>
          </w:p>
        </w:tc>
        <w:tc>
          <w:tcPr>
            <w:tcW w:w="4580" w:type="dxa"/>
            <w:vAlign w:val="bottom"/>
            <w:tcBorders>
              <w:bottom w:val="single" w:sz="8" w:color="007549"/>
              <w:right w:val="single" w:sz="8" w:color="007549"/>
            </w:tcBorders>
          </w:tcPr>
          <w:p>
            <w:pPr>
              <w:ind w:left="100"/>
              <w:spacing w:after="0" w:line="200" w:lineRule="exact"/>
              <w:rPr>
                <w:sz w:val="20"/>
                <w:szCs w:val="20"/>
                <w:color w:val="auto"/>
              </w:rPr>
            </w:pPr>
            <w:r>
              <w:rPr>
                <w:rFonts w:ascii="Arial" w:cs="Arial" w:eastAsia="Arial" w:hAnsi="Arial"/>
                <w:sz w:val="18"/>
                <w:szCs w:val="18"/>
                <w:color w:val="auto"/>
              </w:rPr>
              <w:t>held flat</w:t>
            </w:r>
          </w:p>
        </w:tc>
        <w:tc>
          <w:tcPr>
            <w:tcW w:w="4220" w:type="dxa"/>
            <w:vAlign w:val="bottom"/>
            <w:gridSpan w:val="2"/>
          </w:tcPr>
          <w:p>
            <w:pPr>
              <w:ind w:left="100"/>
              <w:spacing w:after="0" w:line="200" w:lineRule="exact"/>
              <w:rPr>
                <w:sz w:val="20"/>
                <w:szCs w:val="20"/>
                <w:color w:val="auto"/>
              </w:rPr>
            </w:pPr>
            <w:r>
              <w:rPr>
                <w:rFonts w:ascii="Arial" w:cs="Arial" w:eastAsia="Arial" w:hAnsi="Arial"/>
                <w:sz w:val="18"/>
                <w:szCs w:val="18"/>
                <w:color w:val="auto"/>
              </w:rPr>
              <w:t>responsibilities,  experience  level,  and  individual</w:t>
            </w:r>
          </w:p>
        </w:tc>
        <w:tc>
          <w:tcPr>
            <w:tcW w:w="0" w:type="dxa"/>
            <w:vAlign w:val="bottom"/>
          </w:tcPr>
          <w:p>
            <w:pPr>
              <w:spacing w:after="0"/>
              <w:rPr>
                <w:sz w:val="1"/>
                <w:szCs w:val="1"/>
                <w:color w:val="auto"/>
              </w:rPr>
            </w:pPr>
          </w:p>
        </w:tc>
      </w:tr>
      <w:tr>
        <w:trPr>
          <w:trHeight w:val="193"/>
        </w:trPr>
        <w:tc>
          <w:tcPr>
            <w:tcW w:w="2080" w:type="dxa"/>
            <w:vAlign w:val="bottom"/>
            <w:tcBorders>
              <w:right w:val="single" w:sz="8" w:color="007549"/>
            </w:tcBorders>
            <w:shd w:val="clear" w:color="auto" w:fill="E5E5E5"/>
          </w:tcPr>
          <w:p>
            <w:pPr>
              <w:ind w:left="140"/>
              <w:spacing w:after="0" w:line="193" w:lineRule="exact"/>
              <w:rPr>
                <w:sz w:val="20"/>
                <w:szCs w:val="20"/>
                <w:color w:val="auto"/>
              </w:rPr>
            </w:pPr>
            <w:r>
              <w:rPr>
                <w:rFonts w:ascii="Arial" w:cs="Arial" w:eastAsia="Arial" w:hAnsi="Arial"/>
                <w:sz w:val="18"/>
                <w:szCs w:val="18"/>
                <w:b w:val="1"/>
                <w:bCs w:val="1"/>
                <w:color w:val="auto"/>
              </w:rPr>
              <w:t>2017 LTI Grants</w:t>
            </w:r>
          </w:p>
        </w:tc>
        <w:tc>
          <w:tcPr>
            <w:tcW w:w="4580" w:type="dxa"/>
            <w:vAlign w:val="bottom"/>
            <w:tcBorders>
              <w:right w:val="single" w:sz="8" w:color="007549"/>
            </w:tcBorders>
          </w:tcPr>
          <w:p>
            <w:pPr>
              <w:ind w:left="100"/>
              <w:spacing w:after="0" w:line="193" w:lineRule="exact"/>
              <w:rPr>
                <w:sz w:val="20"/>
                <w:szCs w:val="20"/>
                <w:color w:val="auto"/>
              </w:rPr>
            </w:pPr>
            <w:r>
              <w:rPr>
                <w:rFonts w:ascii="Arial" w:cs="Arial" w:eastAsia="Arial" w:hAnsi="Arial"/>
                <w:sz w:val="18"/>
                <w:szCs w:val="18"/>
                <w:color w:val="auto"/>
              </w:rPr>
              <w:t>CEO long-term incentive (“LTI”) grant reduced by 10%</w:t>
            </w:r>
          </w:p>
        </w:tc>
        <w:tc>
          <w:tcPr>
            <w:tcW w:w="4220" w:type="dxa"/>
            <w:vAlign w:val="bottom"/>
            <w:gridSpan w:val="2"/>
          </w:tcPr>
          <w:p>
            <w:pPr>
              <w:ind w:left="100"/>
              <w:spacing w:after="0" w:line="193" w:lineRule="exact"/>
              <w:rPr>
                <w:sz w:val="20"/>
                <w:szCs w:val="20"/>
                <w:color w:val="auto"/>
              </w:rPr>
            </w:pPr>
            <w:r>
              <w:rPr>
                <w:rFonts w:ascii="Arial" w:cs="Arial" w:eastAsia="Arial" w:hAnsi="Arial"/>
                <w:sz w:val="18"/>
                <w:szCs w:val="18"/>
                <w:color w:val="auto"/>
              </w:rPr>
              <w:t>performance</w:t>
            </w:r>
          </w:p>
        </w:tc>
        <w:tc>
          <w:tcPr>
            <w:tcW w:w="0" w:type="dxa"/>
            <w:vAlign w:val="bottom"/>
          </w:tcPr>
          <w:p>
            <w:pPr>
              <w:spacing w:after="0"/>
              <w:rPr>
                <w:sz w:val="1"/>
                <w:szCs w:val="1"/>
                <w:color w:val="auto"/>
              </w:rPr>
            </w:pPr>
          </w:p>
        </w:tc>
      </w:tr>
      <w:tr>
        <w:trPr>
          <w:trHeight w:val="200"/>
        </w:trPr>
        <w:tc>
          <w:tcPr>
            <w:tcW w:w="2080" w:type="dxa"/>
            <w:vAlign w:val="bottom"/>
            <w:tcBorders>
              <w:bottom w:val="single" w:sz="8" w:color="007549"/>
              <w:right w:val="single" w:sz="8" w:color="007549"/>
            </w:tcBorders>
            <w:shd w:val="clear" w:color="auto" w:fill="E5E5E5"/>
          </w:tcPr>
          <w:p>
            <w:pPr>
              <w:spacing w:after="0"/>
              <w:rPr>
                <w:sz w:val="17"/>
                <w:szCs w:val="17"/>
                <w:color w:val="auto"/>
              </w:rPr>
            </w:pPr>
          </w:p>
        </w:tc>
        <w:tc>
          <w:tcPr>
            <w:tcW w:w="4580" w:type="dxa"/>
            <w:vAlign w:val="bottom"/>
            <w:tcBorders>
              <w:bottom w:val="single" w:sz="8" w:color="007549"/>
              <w:right w:val="single" w:sz="8" w:color="007549"/>
            </w:tcBorders>
          </w:tcPr>
          <w:p>
            <w:pPr>
              <w:ind w:left="100"/>
              <w:spacing w:after="0" w:line="201" w:lineRule="exact"/>
              <w:rPr>
                <w:sz w:val="20"/>
                <w:szCs w:val="20"/>
                <w:color w:val="auto"/>
              </w:rPr>
            </w:pPr>
            <w:r>
              <w:rPr>
                <w:rFonts w:ascii="Arial" w:cs="Arial" w:eastAsia="Arial" w:hAnsi="Arial"/>
                <w:sz w:val="18"/>
                <w:szCs w:val="18"/>
                <w:color w:val="auto"/>
              </w:rPr>
              <w:t>from target</w:t>
            </w:r>
          </w:p>
        </w:tc>
        <w:tc>
          <w:tcPr>
            <w:tcW w:w="4200" w:type="dxa"/>
            <w:vAlign w:val="bottom"/>
            <w:tcBorders>
              <w:bottom w:val="single" w:sz="8" w:color="007549"/>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80" w:type="dxa"/>
            <w:vAlign w:val="bottom"/>
            <w:tcBorders>
              <w:right w:val="single" w:sz="8" w:color="007549"/>
            </w:tcBorders>
            <w:vMerge w:val="restart"/>
            <w:shd w:val="clear" w:color="auto" w:fill="E5E5E5"/>
          </w:tcPr>
          <w:p>
            <w:pPr>
              <w:ind w:left="140"/>
              <w:spacing w:after="0"/>
              <w:rPr>
                <w:sz w:val="20"/>
                <w:szCs w:val="20"/>
                <w:color w:val="auto"/>
              </w:rPr>
            </w:pPr>
            <w:r>
              <w:rPr>
                <w:rFonts w:ascii="Arial" w:cs="Arial" w:eastAsia="Arial" w:hAnsi="Arial"/>
                <w:sz w:val="18"/>
                <w:szCs w:val="18"/>
                <w:b w:val="1"/>
                <w:bCs w:val="1"/>
                <w:color w:val="auto"/>
              </w:rPr>
              <w:t>2017 AIP Payout</w:t>
            </w:r>
          </w:p>
        </w:tc>
        <w:tc>
          <w:tcPr>
            <w:tcW w:w="4580" w:type="dxa"/>
            <w:vAlign w:val="bottom"/>
            <w:tcBorders>
              <w:right w:val="single" w:sz="8" w:color="007549"/>
            </w:tcBorders>
          </w:tcPr>
          <w:p>
            <w:pPr>
              <w:spacing w:after="0"/>
              <w:rPr>
                <w:sz w:val="16"/>
                <w:szCs w:val="16"/>
                <w:color w:val="auto"/>
              </w:rPr>
            </w:pPr>
          </w:p>
        </w:tc>
        <w:tc>
          <w:tcPr>
            <w:tcW w:w="4200" w:type="dxa"/>
            <w:vAlign w:val="bottom"/>
          </w:tcPr>
          <w:p>
            <w:pPr>
              <w:ind w:left="100"/>
              <w:spacing w:after="0" w:line="192" w:lineRule="exact"/>
              <w:rPr>
                <w:sz w:val="20"/>
                <w:szCs w:val="20"/>
                <w:color w:val="auto"/>
              </w:rPr>
            </w:pPr>
            <w:r>
              <w:rPr>
                <w:rFonts w:ascii="Arial" w:cs="Arial" w:eastAsia="Arial" w:hAnsi="Arial"/>
                <w:sz w:val="18"/>
                <w:szCs w:val="18"/>
                <w:color w:val="auto"/>
              </w:rPr>
              <w:t>Final  enterprise  performance  results  of  annual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80" w:type="dxa"/>
            <w:vAlign w:val="bottom"/>
            <w:tcBorders>
              <w:right w:val="single" w:sz="8" w:color="007549"/>
            </w:tcBorders>
            <w:vMerge w:val="continue"/>
            <w:shd w:val="clear" w:color="auto" w:fill="E5E5E5"/>
          </w:tcPr>
          <w:p>
            <w:pPr>
              <w:spacing w:after="0"/>
              <w:rPr>
                <w:sz w:val="17"/>
                <w:szCs w:val="17"/>
                <w:color w:val="auto"/>
              </w:rPr>
            </w:pPr>
          </w:p>
        </w:tc>
        <w:tc>
          <w:tcPr>
            <w:tcW w:w="4580" w:type="dxa"/>
            <w:vAlign w:val="bottom"/>
            <w:tcBorders>
              <w:right w:val="single" w:sz="8" w:color="007549"/>
            </w:tcBorders>
          </w:tcPr>
          <w:p>
            <w:pPr>
              <w:ind w:left="100"/>
              <w:spacing w:after="0" w:line="200" w:lineRule="exact"/>
              <w:rPr>
                <w:sz w:val="20"/>
                <w:szCs w:val="20"/>
                <w:color w:val="auto"/>
              </w:rPr>
            </w:pPr>
            <w:r>
              <w:rPr>
                <w:rFonts w:ascii="Arial" w:cs="Arial" w:eastAsia="Arial" w:hAnsi="Arial"/>
                <w:sz w:val="18"/>
                <w:szCs w:val="18"/>
                <w:color w:val="auto"/>
              </w:rPr>
              <w:t>119.7%</w:t>
            </w:r>
          </w:p>
        </w:tc>
        <w:tc>
          <w:tcPr>
            <w:tcW w:w="4220" w:type="dxa"/>
            <w:vAlign w:val="bottom"/>
            <w:gridSpan w:val="2"/>
          </w:tcPr>
          <w:p>
            <w:pPr>
              <w:ind w:left="100"/>
              <w:spacing w:after="0" w:line="200" w:lineRule="exact"/>
              <w:rPr>
                <w:sz w:val="20"/>
                <w:szCs w:val="20"/>
                <w:color w:val="auto"/>
              </w:rPr>
            </w:pPr>
            <w:r>
              <w:rPr>
                <w:rFonts w:ascii="Arial" w:cs="Arial" w:eastAsia="Arial" w:hAnsi="Arial"/>
                <w:sz w:val="18"/>
                <w:szCs w:val="18"/>
                <w:color w:val="auto"/>
              </w:rPr>
              <w:t>goals; no adjustments for individual performance,</w:t>
            </w:r>
          </w:p>
        </w:tc>
        <w:tc>
          <w:tcPr>
            <w:tcW w:w="0" w:type="dxa"/>
            <w:vAlign w:val="bottom"/>
          </w:tcPr>
          <w:p>
            <w:pPr>
              <w:spacing w:after="0"/>
              <w:rPr>
                <w:sz w:val="1"/>
                <w:szCs w:val="1"/>
                <w:color w:val="auto"/>
              </w:rPr>
            </w:pPr>
          </w:p>
        </w:tc>
      </w:tr>
      <w:tr>
        <w:trPr>
          <w:trHeight w:val="200"/>
        </w:trPr>
        <w:tc>
          <w:tcPr>
            <w:tcW w:w="2080" w:type="dxa"/>
            <w:vAlign w:val="bottom"/>
            <w:tcBorders>
              <w:right w:val="single" w:sz="8" w:color="007549"/>
            </w:tcBorders>
            <w:shd w:val="clear" w:color="auto" w:fill="E5E5E5"/>
          </w:tcPr>
          <w:p>
            <w:pPr>
              <w:spacing w:after="0"/>
              <w:rPr>
                <w:sz w:val="17"/>
                <w:szCs w:val="17"/>
                <w:color w:val="auto"/>
              </w:rPr>
            </w:pPr>
          </w:p>
        </w:tc>
        <w:tc>
          <w:tcPr>
            <w:tcW w:w="4580" w:type="dxa"/>
            <w:vAlign w:val="bottom"/>
            <w:tcBorders>
              <w:right w:val="single" w:sz="8" w:color="007549"/>
            </w:tcBorders>
          </w:tcPr>
          <w:p>
            <w:pPr>
              <w:spacing w:after="0"/>
              <w:rPr>
                <w:sz w:val="17"/>
                <w:szCs w:val="17"/>
                <w:color w:val="auto"/>
              </w:rPr>
            </w:pPr>
          </w:p>
        </w:tc>
        <w:tc>
          <w:tcPr>
            <w:tcW w:w="42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which met or exceeded expectations</w:t>
            </w:r>
          </w:p>
        </w:tc>
        <w:tc>
          <w:tcPr>
            <w:tcW w:w="0" w:type="dxa"/>
            <w:vAlign w:val="bottom"/>
          </w:tcPr>
          <w:p>
            <w:pPr>
              <w:spacing w:after="0"/>
              <w:rPr>
                <w:sz w:val="1"/>
                <w:szCs w:val="1"/>
                <w:color w:val="auto"/>
              </w:rPr>
            </w:pPr>
          </w:p>
        </w:tc>
      </w:tr>
      <w:tr>
        <w:trPr>
          <w:trHeight w:val="170"/>
        </w:trPr>
        <w:tc>
          <w:tcPr>
            <w:tcW w:w="2080" w:type="dxa"/>
            <w:vAlign w:val="bottom"/>
            <w:tcBorders>
              <w:top w:val="single" w:sz="8" w:color="007549"/>
              <w:right w:val="single" w:sz="8" w:color="007549"/>
            </w:tcBorders>
            <w:shd w:val="clear" w:color="auto" w:fill="E5E5E5"/>
          </w:tcPr>
          <w:p>
            <w:pPr>
              <w:ind w:left="140"/>
              <w:spacing w:after="0" w:line="170" w:lineRule="exact"/>
              <w:rPr>
                <w:sz w:val="20"/>
                <w:szCs w:val="20"/>
                <w:color w:val="auto"/>
              </w:rPr>
            </w:pPr>
            <w:r>
              <w:rPr>
                <w:rFonts w:ascii="Arial" w:cs="Arial" w:eastAsia="Arial" w:hAnsi="Arial"/>
                <w:sz w:val="18"/>
                <w:szCs w:val="18"/>
                <w:b w:val="1"/>
                <w:bCs w:val="1"/>
                <w:color w:val="auto"/>
              </w:rPr>
              <w:t>2015-17 PSU</w:t>
            </w:r>
          </w:p>
        </w:tc>
        <w:tc>
          <w:tcPr>
            <w:tcW w:w="4580" w:type="dxa"/>
            <w:vAlign w:val="bottom"/>
            <w:tcBorders>
              <w:top w:val="single" w:sz="8" w:color="007549"/>
              <w:right w:val="single" w:sz="8" w:color="007549"/>
            </w:tcBorders>
            <w:vMerge w:val="restart"/>
          </w:tcPr>
          <w:p>
            <w:pPr>
              <w:ind w:left="100"/>
              <w:spacing w:after="0"/>
              <w:rPr>
                <w:sz w:val="20"/>
                <w:szCs w:val="20"/>
                <w:color w:val="auto"/>
              </w:rPr>
            </w:pPr>
            <w:r>
              <w:rPr>
                <w:rFonts w:ascii="Arial" w:cs="Arial" w:eastAsia="Arial" w:hAnsi="Arial"/>
                <w:sz w:val="18"/>
                <w:szCs w:val="18"/>
                <w:color w:val="auto"/>
              </w:rPr>
              <w:t>63%</w:t>
            </w:r>
          </w:p>
        </w:tc>
        <w:tc>
          <w:tcPr>
            <w:tcW w:w="4200" w:type="dxa"/>
            <w:vAlign w:val="bottom"/>
            <w:tcBorders>
              <w:top w:val="single" w:sz="8" w:color="007549"/>
            </w:tcBorders>
          </w:tcPr>
          <w:p>
            <w:pPr>
              <w:ind w:left="100"/>
              <w:spacing w:after="0" w:line="170" w:lineRule="exact"/>
              <w:rPr>
                <w:sz w:val="20"/>
                <w:szCs w:val="20"/>
                <w:color w:val="auto"/>
              </w:rPr>
            </w:pPr>
            <w:r>
              <w:rPr>
                <w:rFonts w:ascii="Arial" w:cs="Arial" w:eastAsia="Arial" w:hAnsi="Arial"/>
                <w:sz w:val="18"/>
                <w:szCs w:val="18"/>
                <w:color w:val="auto"/>
              </w:rPr>
              <w:t>Final  3  year  relative  Total  Shareholder  Return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80" w:type="dxa"/>
            <w:vAlign w:val="bottom"/>
            <w:tcBorders>
              <w:right w:val="single" w:sz="8" w:color="007549"/>
            </w:tcBorders>
            <w:vMerge w:val="restart"/>
            <w:shd w:val="clear" w:color="auto" w:fill="E5E5E5"/>
          </w:tcPr>
          <w:p>
            <w:pPr>
              <w:ind w:left="140"/>
              <w:spacing w:after="0"/>
              <w:rPr>
                <w:sz w:val="20"/>
                <w:szCs w:val="20"/>
                <w:color w:val="auto"/>
              </w:rPr>
            </w:pPr>
            <w:r>
              <w:rPr>
                <w:rFonts w:ascii="Arial" w:cs="Arial" w:eastAsia="Arial" w:hAnsi="Arial"/>
                <w:sz w:val="18"/>
                <w:szCs w:val="18"/>
                <w:b w:val="1"/>
                <w:bCs w:val="1"/>
                <w:color w:val="auto"/>
              </w:rPr>
              <w:t>Payout</w:t>
            </w:r>
          </w:p>
        </w:tc>
        <w:tc>
          <w:tcPr>
            <w:tcW w:w="4580" w:type="dxa"/>
            <w:vAlign w:val="bottom"/>
            <w:tcBorders>
              <w:right w:val="single" w:sz="8" w:color="007549"/>
            </w:tcBorders>
            <w:vMerge w:val="continue"/>
          </w:tcPr>
          <w:p>
            <w:pPr>
              <w:spacing w:after="0"/>
              <w:rPr>
                <w:sz w:val="12"/>
                <w:szCs w:val="12"/>
                <w:color w:val="auto"/>
              </w:rPr>
            </w:pPr>
          </w:p>
        </w:tc>
        <w:tc>
          <w:tcPr>
            <w:tcW w:w="4200" w:type="dxa"/>
            <w:vAlign w:val="bottom"/>
            <w:vMerge w:val="restart"/>
          </w:tcPr>
          <w:p>
            <w:pPr>
              <w:ind w:left="100"/>
              <w:spacing w:after="0"/>
              <w:rPr>
                <w:sz w:val="20"/>
                <w:szCs w:val="20"/>
                <w:color w:val="auto"/>
              </w:rPr>
            </w:pPr>
            <w:r>
              <w:rPr>
                <w:rFonts w:ascii="Arial" w:cs="Arial" w:eastAsia="Arial" w:hAnsi="Arial"/>
                <w:sz w:val="18"/>
                <w:szCs w:val="18"/>
                <w:color w:val="auto"/>
              </w:rPr>
              <w:t>(“TSR”) versus peers</w:t>
            </w: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080" w:type="dxa"/>
            <w:vAlign w:val="bottom"/>
            <w:tcBorders>
              <w:bottom w:val="single" w:sz="8" w:color="007549"/>
              <w:right w:val="single" w:sz="8" w:color="007549"/>
            </w:tcBorders>
            <w:vMerge w:val="continue"/>
            <w:shd w:val="clear" w:color="auto" w:fill="E5E5E5"/>
          </w:tcPr>
          <w:p>
            <w:pPr>
              <w:spacing w:after="0"/>
              <w:rPr>
                <w:sz w:val="8"/>
                <w:szCs w:val="8"/>
                <w:color w:val="auto"/>
              </w:rPr>
            </w:pPr>
          </w:p>
        </w:tc>
        <w:tc>
          <w:tcPr>
            <w:tcW w:w="4580" w:type="dxa"/>
            <w:vAlign w:val="bottom"/>
            <w:tcBorders>
              <w:bottom w:val="single" w:sz="8" w:color="007549"/>
              <w:right w:val="single" w:sz="8" w:color="007549"/>
            </w:tcBorders>
          </w:tcPr>
          <w:p>
            <w:pPr>
              <w:spacing w:after="0"/>
              <w:rPr>
                <w:sz w:val="8"/>
                <w:szCs w:val="8"/>
                <w:color w:val="auto"/>
              </w:rPr>
            </w:pPr>
          </w:p>
        </w:tc>
        <w:tc>
          <w:tcPr>
            <w:tcW w:w="4200" w:type="dxa"/>
            <w:vAlign w:val="bottom"/>
            <w:tcBorders>
              <w:bottom w:val="single" w:sz="8" w:color="007549"/>
            </w:tcBorders>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jc w:val="both"/>
        <w:ind w:left="280"/>
        <w:spacing w:after="0" w:line="234" w:lineRule="auto"/>
        <w:rPr>
          <w:sz w:val="20"/>
          <w:szCs w:val="20"/>
          <w:color w:val="auto"/>
        </w:rPr>
      </w:pPr>
      <w:r>
        <w:rPr>
          <w:rFonts w:ascii="Arial" w:cs="Arial" w:eastAsia="Arial" w:hAnsi="Arial"/>
          <w:sz w:val="18"/>
          <w:szCs w:val="18"/>
          <w:color w:val="auto"/>
        </w:rPr>
        <w:t>The committee follows a rigorous target setting process each year to ensure the enterprise performance metrics of our annual incentive plan include challenging, yet attainable, targets for executives. The committee also considers a number of factors when determining appropriate individual AIP target percentages, including the executive’s position within the company, his or her corresponding responsibilities, and the competitive annual incentive opportunity for similar positions in other companies in our industry. The committee will also assess the outcomes of the prior year in making its decision on the targets for the current year.</w:t>
      </w:r>
    </w:p>
    <w:p>
      <w:pPr>
        <w:spacing w:after="0" w:line="153" w:lineRule="exact"/>
        <w:rPr>
          <w:sz w:val="20"/>
          <w:szCs w:val="20"/>
          <w:color w:val="auto"/>
        </w:rPr>
      </w:pPr>
    </w:p>
    <w:p>
      <w:pPr>
        <w:jc w:val="both"/>
        <w:ind w:left="280"/>
        <w:spacing w:after="0" w:line="239" w:lineRule="auto"/>
        <w:rPr>
          <w:sz w:val="20"/>
          <w:szCs w:val="20"/>
          <w:color w:val="auto"/>
        </w:rPr>
      </w:pPr>
      <w:r>
        <w:rPr>
          <w:rFonts w:ascii="Arial" w:cs="Arial" w:eastAsia="Arial" w:hAnsi="Arial"/>
          <w:sz w:val="18"/>
          <w:szCs w:val="18"/>
          <w:b w:val="1"/>
          <w:bCs w:val="1"/>
          <w:i w:val="1"/>
          <w:iCs w:val="1"/>
          <w:color w:val="007549"/>
        </w:rPr>
        <w:t xml:space="preserve">Compensation Actions in 2018 for the CEO. </w:t>
      </w:r>
      <w:r>
        <w:rPr>
          <w:rFonts w:ascii="Arial" w:cs="Arial" w:eastAsia="Arial" w:hAnsi="Arial"/>
          <w:sz w:val="18"/>
          <w:szCs w:val="18"/>
          <w:color w:val="000000"/>
        </w:rPr>
        <w:t>In early 2018, after a review of market reference pay levels and considering the actions</w:t>
      </w:r>
      <w:r>
        <w:rPr>
          <w:rFonts w:ascii="Arial" w:cs="Arial" w:eastAsia="Arial" w:hAnsi="Arial"/>
          <w:sz w:val="18"/>
          <w:szCs w:val="18"/>
          <w:b w:val="1"/>
          <w:bCs w:val="1"/>
          <w:i w:val="1"/>
          <w:iCs w:val="1"/>
          <w:color w:val="007549"/>
        </w:rPr>
        <w:t xml:space="preserve"> </w:t>
      </w:r>
      <w:r>
        <w:rPr>
          <w:rFonts w:ascii="Arial" w:cs="Arial" w:eastAsia="Arial" w:hAnsi="Arial"/>
          <w:sz w:val="18"/>
          <w:szCs w:val="18"/>
          <w:color w:val="000000"/>
        </w:rPr>
        <w:t>taken to streamline the company through the sale of certain assets and cost reductions, the committee determined to reset our CEO’s target LTI award beginning in 2018, reducing it by 21% to $7.5 million. Based on the board’s assessment of our CEO’s performance versus his key performance initiatives, which met or exceeded expectations, the committee awarded him an LTI award at target of $7.5 million.</w:t>
      </w:r>
    </w:p>
    <w:p>
      <w:pPr>
        <w:spacing w:after="0" w:line="140" w:lineRule="exact"/>
        <w:rPr>
          <w:sz w:val="20"/>
          <w:szCs w:val="20"/>
          <w:color w:val="auto"/>
        </w:rPr>
      </w:pPr>
    </w:p>
    <w:p>
      <w:pPr>
        <w:jc w:val="both"/>
        <w:ind w:left="280"/>
        <w:spacing w:after="0" w:line="263" w:lineRule="auto"/>
        <w:rPr>
          <w:sz w:val="20"/>
          <w:szCs w:val="20"/>
          <w:color w:val="auto"/>
        </w:rPr>
      </w:pPr>
      <w:r>
        <w:rPr>
          <w:rFonts w:ascii="Arial" w:cs="Arial" w:eastAsia="Arial" w:hAnsi="Arial"/>
          <w:sz w:val="18"/>
          <w:szCs w:val="18"/>
          <w:b w:val="1"/>
          <w:bCs w:val="1"/>
          <w:i w:val="1"/>
          <w:iCs w:val="1"/>
          <w:color w:val="007549"/>
        </w:rPr>
        <w:t xml:space="preserve">Summary of Business and Strategy. </w:t>
      </w:r>
      <w:r>
        <w:rPr>
          <w:rFonts w:ascii="Arial" w:cs="Arial" w:eastAsia="Arial" w:hAnsi="Arial"/>
          <w:sz w:val="18"/>
          <w:szCs w:val="18"/>
          <w:color w:val="000000"/>
        </w:rPr>
        <w:t>Hess Corporation is a global Exploration and Production (E&amp;P) company engaged in the</w:t>
      </w:r>
      <w:r>
        <w:rPr>
          <w:rFonts w:ascii="Arial" w:cs="Arial" w:eastAsia="Arial" w:hAnsi="Arial"/>
          <w:sz w:val="18"/>
          <w:szCs w:val="18"/>
          <w:b w:val="1"/>
          <w:bCs w:val="1"/>
          <w:i w:val="1"/>
          <w:iCs w:val="1"/>
          <w:color w:val="007549"/>
        </w:rPr>
        <w:t xml:space="preserve"> </w:t>
      </w:r>
      <w:r>
        <w:rPr>
          <w:rFonts w:ascii="Arial" w:cs="Arial" w:eastAsia="Arial" w:hAnsi="Arial"/>
          <w:sz w:val="18"/>
          <w:szCs w:val="18"/>
          <w:color w:val="000000"/>
        </w:rPr>
        <w:t>exploration, development, production, transportation, purchase and sale of crude oil, natural gas liquids, and natural gas.</w:t>
      </w:r>
    </w:p>
    <w:p>
      <w:pPr>
        <w:spacing w:after="0" w:line="114" w:lineRule="exact"/>
        <w:rPr>
          <w:sz w:val="20"/>
          <w:szCs w:val="20"/>
          <w:color w:val="auto"/>
        </w:rPr>
      </w:pPr>
    </w:p>
    <w:p>
      <w:pPr>
        <w:jc w:val="both"/>
        <w:ind w:left="280"/>
        <w:spacing w:after="0" w:line="234" w:lineRule="auto"/>
        <w:rPr>
          <w:sz w:val="20"/>
          <w:szCs w:val="20"/>
          <w:color w:val="auto"/>
        </w:rPr>
      </w:pPr>
      <w:r>
        <w:rPr>
          <w:rFonts w:ascii="Arial" w:cs="Arial" w:eastAsia="Arial" w:hAnsi="Arial"/>
          <w:sz w:val="18"/>
          <w:szCs w:val="18"/>
          <w:color w:val="auto"/>
        </w:rPr>
        <w:t>Our strategy is to grow our resource base in a capital disciplined manner, to move down the cost curve so we are resilient in a low oil price environment, and to be cash generative at a $50 per barrel Brent oil price post-2020. To achieve this strategy, we moved aggressively in 2017 to focus our portfolio and divest higher-cost mature assets, resulting in total sales proceeds of $3.4 billion. The proceeds from these asset sales have been earmarked for funding investments in our higher return, lower-cost growth assets in Guyana and the Bakken and returning value to stockholders.</w:t>
      </w:r>
    </w:p>
    <w:p>
      <w:pPr>
        <w:spacing w:after="0" w:line="122" w:lineRule="exact"/>
        <w:rPr>
          <w:sz w:val="20"/>
          <w:szCs w:val="20"/>
          <w:color w:val="auto"/>
        </w:rPr>
      </w:pPr>
    </w:p>
    <w:p>
      <w:pPr>
        <w:jc w:val="both"/>
        <w:ind w:left="280"/>
        <w:spacing w:after="0" w:line="236" w:lineRule="auto"/>
        <w:rPr>
          <w:sz w:val="20"/>
          <w:szCs w:val="20"/>
          <w:color w:val="auto"/>
        </w:rPr>
      </w:pPr>
      <w:r>
        <w:rPr>
          <w:rFonts w:ascii="Arial" w:cs="Arial" w:eastAsia="Arial" w:hAnsi="Arial"/>
          <w:sz w:val="18"/>
          <w:szCs w:val="18"/>
          <w:color w:val="auto"/>
        </w:rPr>
        <w:t>As a result, our balanced portfolio benefits from low-cost, cash generating assets primarily in the Gulf of Mexico and Malaysia that provide a stable base of support to fund our long-term growth investments in Guyana and the Bakken. We will continue to evaluate our portfolio asset mix to deliver on our strategy and create value for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85725</wp:posOffset>
            </wp:positionV>
            <wp:extent cx="405765" cy="2451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208" w:lineRule="exact"/>
        <w:rPr>
          <w:sz w:val="20"/>
          <w:szCs w:val="20"/>
          <w:color w:val="auto"/>
        </w:rPr>
      </w:pPr>
    </w:p>
    <w:tbl>
      <w:tblPr>
        <w:tblLayout w:type="fixed"/>
        <w:tblInd w:w="9140" w:type="dxa"/>
        <w:tblCellMar>
          <w:top w:w="0" w:type="dxa"/>
          <w:left w:w="0" w:type="dxa"/>
          <w:bottom w:w="0" w:type="dxa"/>
          <w:right w:w="0" w:type="dxa"/>
        </w:tblCellMar>
      </w:tblPr>
      <w:tr>
        <w:trPr>
          <w:trHeight w:val="188"/>
        </w:trPr>
        <w:tc>
          <w:tcPr>
            <w:tcW w:w="1680" w:type="dxa"/>
            <w:vAlign w:val="bottom"/>
          </w:tcPr>
          <w:p>
            <w:pPr>
              <w:spacing w:after="0"/>
              <w:rPr>
                <w:sz w:val="20"/>
                <w:szCs w:val="20"/>
                <w:color w:val="auto"/>
              </w:rPr>
            </w:pPr>
            <w:r>
              <w:rPr>
                <w:rFonts w:ascii="Arial" w:cs="Arial" w:eastAsia="Arial" w:hAnsi="Arial"/>
                <w:sz w:val="12"/>
                <w:szCs w:val="12"/>
                <w:b w:val="1"/>
                <w:bCs w:val="1"/>
                <w:color w:val="666666"/>
              </w:rPr>
              <w:t>2018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007549"/>
              </w:rPr>
              <w:t>21</w:t>
            </w:r>
          </w:p>
        </w:tc>
      </w:tr>
    </w:tbl>
    <w:p>
      <w:pPr>
        <w:sectPr>
          <w:pgSz w:w="11900" w:h="16838" w:orient="portrait"/>
          <w:cols w:equalWidth="0" w:num="1">
            <w:col w:w="11140"/>
          </w:cols>
          <w:pgMar w:left="240" w:top="454" w:right="5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007549"/>
        </w:rPr>
        <w:t xml:space="preserve">Executive Compensation </w:t>
      </w:r>
      <w:r>
        <w:rPr>
          <w:rFonts w:ascii="Arial" w:cs="Arial" w:eastAsia="Arial" w:hAnsi="Arial"/>
          <w:sz w:val="16"/>
          <w:szCs w:val="16"/>
          <w:b w:val="1"/>
          <w:bCs w:val="1"/>
          <w:color w:val="000000"/>
        </w:rPr>
        <w:t>+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55245</wp:posOffset>
            </wp:positionV>
            <wp:extent cx="68935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244" w:lineRule="exact"/>
        <w:rPr>
          <w:sz w:val="20"/>
          <w:szCs w:val="20"/>
          <w:color w:val="auto"/>
        </w:rPr>
      </w:pPr>
    </w:p>
    <w:p>
      <w:pPr>
        <w:jc w:val="both"/>
        <w:ind w:left="280" w:right="20"/>
        <w:spacing w:after="0" w:line="238" w:lineRule="auto"/>
        <w:rPr>
          <w:sz w:val="20"/>
          <w:szCs w:val="20"/>
          <w:color w:val="auto"/>
        </w:rPr>
      </w:pPr>
      <w:r>
        <w:rPr>
          <w:rFonts w:ascii="Arial" w:cs="Arial" w:eastAsia="Arial" w:hAnsi="Arial"/>
          <w:sz w:val="18"/>
          <w:szCs w:val="18"/>
          <w:b w:val="1"/>
          <w:bCs w:val="1"/>
          <w:i w:val="1"/>
          <w:iCs w:val="1"/>
          <w:color w:val="007549"/>
        </w:rPr>
        <w:t xml:space="preserve">Corporate Performance. </w:t>
      </w:r>
      <w:r>
        <w:rPr>
          <w:rFonts w:ascii="Arial" w:cs="Arial" w:eastAsia="Arial" w:hAnsi="Arial"/>
          <w:sz w:val="18"/>
          <w:szCs w:val="18"/>
          <w:color w:val="000000"/>
        </w:rPr>
        <w:t>During 2017 we took significant steps to execute our strategy by divesting mature assets, sanctioning the first</w:t>
      </w:r>
      <w:r>
        <w:rPr>
          <w:rFonts w:ascii="Arial" w:cs="Arial" w:eastAsia="Arial" w:hAnsi="Arial"/>
          <w:sz w:val="18"/>
          <w:szCs w:val="18"/>
          <w:b w:val="1"/>
          <w:bCs w:val="1"/>
          <w:i w:val="1"/>
          <w:iCs w:val="1"/>
          <w:color w:val="007549"/>
        </w:rPr>
        <w:t xml:space="preserve"> </w:t>
      </w:r>
      <w:r>
        <w:rPr>
          <w:rFonts w:ascii="Arial" w:cs="Arial" w:eastAsia="Arial" w:hAnsi="Arial"/>
          <w:sz w:val="18"/>
          <w:szCs w:val="18"/>
          <w:color w:val="000000"/>
        </w:rPr>
        <w:t>phase of the Liza development project in Guyana and increasing our resource base while keeping our capital and exploratory spending under budget, and maintaining a strong balance sheet. Our financial results continued to be impacted by lower crude oil and natural gas selling prices and we posted a net loss in 2017, the majority of which was non-cash impairments due to the lower oil price and asset sales. However, we pre-funded our highest return investments and remain committed to deliver on our strategy to be cash generative at a $50 per barrel Brent oil price post-2020.</w:t>
      </w:r>
    </w:p>
    <w:p>
      <w:pPr>
        <w:spacing w:after="0" w:line="134" w:lineRule="exact"/>
        <w:rPr>
          <w:sz w:val="20"/>
          <w:szCs w:val="20"/>
          <w:color w:val="auto"/>
        </w:rPr>
      </w:pPr>
    </w:p>
    <w:p>
      <w:pPr>
        <w:jc w:val="both"/>
        <w:ind w:left="280" w:right="20"/>
        <w:spacing w:after="0" w:line="236" w:lineRule="auto"/>
        <w:rPr>
          <w:sz w:val="20"/>
          <w:szCs w:val="20"/>
          <w:color w:val="auto"/>
        </w:rPr>
      </w:pPr>
      <w:r>
        <w:rPr>
          <w:rFonts w:ascii="Arial" w:cs="Arial" w:eastAsia="Arial" w:hAnsi="Arial"/>
          <w:sz w:val="18"/>
          <w:szCs w:val="18"/>
          <w:color w:val="auto"/>
        </w:rPr>
        <w:t>The enterprise performance metrics of our annual incentive program are designed to reward management for progress made against measurable goals that align with our overall company strategy. In 2017, the committee considered the progress made against each of these six metrics in determining executive compensation payouts: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204470</wp:posOffset>
            </wp:positionV>
            <wp:extent cx="5094605" cy="28975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094605"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290" w:type="dxa"/>
        <w:tblCellMar>
          <w:top w:w="0" w:type="dxa"/>
          <w:left w:w="0" w:type="dxa"/>
          <w:bottom w:w="0" w:type="dxa"/>
          <w:right w:w="0" w:type="dxa"/>
        </w:tblCellMar>
      </w:tblPr>
      <w:tr>
        <w:trPr>
          <w:trHeight w:val="160"/>
        </w:trPr>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Borders>
              <w:right w:val="single" w:sz="8" w:color="CCCCCC"/>
            </w:tcBorders>
          </w:tcPr>
          <w:p>
            <w:pPr>
              <w:spacing w:after="0"/>
              <w:rPr>
                <w:sz w:val="13"/>
                <w:szCs w:val="13"/>
                <w:color w:val="auto"/>
              </w:rPr>
            </w:pPr>
          </w:p>
        </w:tc>
        <w:tc>
          <w:tcPr>
            <w:tcW w:w="1300" w:type="dxa"/>
            <w:vAlign w:val="bottom"/>
            <w:tcBorders>
              <w:top w:val="single" w:sz="8" w:color="CCCCCC"/>
              <w:right w:val="single" w:sz="8" w:color="CCCCCC"/>
            </w:tcBorders>
            <w:vMerge w:val="restart"/>
            <w:shd w:val="clear" w:color="auto" w:fill="E5E5E5"/>
          </w:tcPr>
          <w:p>
            <w:pPr>
              <w:ind w:left="320"/>
              <w:spacing w:after="0"/>
              <w:rPr>
                <w:sz w:val="20"/>
                <w:szCs w:val="20"/>
                <w:color w:val="auto"/>
              </w:rPr>
            </w:pPr>
            <w:r>
              <w:rPr>
                <w:rFonts w:ascii="Arial" w:cs="Arial" w:eastAsia="Arial" w:hAnsi="Arial"/>
                <w:sz w:val="14"/>
                <w:szCs w:val="14"/>
                <w:b w:val="1"/>
                <w:bCs w:val="1"/>
                <w:color w:val="auto"/>
              </w:rPr>
              <w:t>Production</w:t>
            </w:r>
          </w:p>
        </w:tc>
        <w:tc>
          <w:tcPr>
            <w:tcW w:w="1300" w:type="dxa"/>
            <w:vAlign w:val="bottom"/>
            <w:tcBorders>
              <w:top w:val="single" w:sz="8" w:color="CCCCCC"/>
              <w:right w:val="single" w:sz="8" w:color="CCCCCC"/>
            </w:tcBorders>
            <w:shd w:val="clear" w:color="auto" w:fill="E5E5E5"/>
          </w:tcPr>
          <w:p>
            <w:pPr>
              <w:jc w:val="center"/>
              <w:ind w:left="9"/>
              <w:spacing w:after="0" w:line="159" w:lineRule="exact"/>
              <w:rPr>
                <w:sz w:val="20"/>
                <w:szCs w:val="20"/>
                <w:color w:val="auto"/>
              </w:rPr>
            </w:pPr>
            <w:r>
              <w:rPr>
                <w:rFonts w:ascii="Arial" w:cs="Arial" w:eastAsia="Arial" w:hAnsi="Arial"/>
                <w:sz w:val="14"/>
                <w:szCs w:val="14"/>
                <w:b w:val="1"/>
                <w:bCs w:val="1"/>
                <w:color w:val="auto"/>
              </w:rPr>
              <w:t>Controllable</w:t>
            </w:r>
          </w:p>
        </w:tc>
        <w:tc>
          <w:tcPr>
            <w:tcW w:w="1320" w:type="dxa"/>
            <w:vAlign w:val="bottom"/>
            <w:tcBorders>
              <w:top w:val="single" w:sz="8" w:color="CCCCCC"/>
              <w:right w:val="single" w:sz="8" w:color="CCCCCC"/>
            </w:tcBorders>
            <w:shd w:val="clear" w:color="auto" w:fill="E5E5E5"/>
          </w:tcPr>
          <w:p>
            <w:pPr>
              <w:jc w:val="center"/>
              <w:ind w:left="9"/>
              <w:spacing w:after="0" w:line="159" w:lineRule="exact"/>
              <w:rPr>
                <w:sz w:val="20"/>
                <w:szCs w:val="20"/>
                <w:color w:val="auto"/>
              </w:rPr>
            </w:pPr>
            <w:r>
              <w:rPr>
                <w:rFonts w:ascii="Arial" w:cs="Arial" w:eastAsia="Arial" w:hAnsi="Arial"/>
                <w:sz w:val="14"/>
                <w:szCs w:val="14"/>
                <w:b w:val="1"/>
                <w:bCs w:val="1"/>
                <w:color w:val="auto"/>
              </w:rPr>
              <w:t>Cash Return</w:t>
            </w:r>
          </w:p>
        </w:tc>
        <w:tc>
          <w:tcPr>
            <w:tcW w:w="1300" w:type="dxa"/>
            <w:vAlign w:val="bottom"/>
            <w:tcBorders>
              <w:top w:val="single" w:sz="8" w:color="CCCCCC"/>
              <w:right w:val="single" w:sz="8" w:color="CCCCCC"/>
            </w:tcBorders>
            <w:shd w:val="clear" w:color="auto" w:fill="E5E5E5"/>
          </w:tcPr>
          <w:p>
            <w:pPr>
              <w:jc w:val="center"/>
              <w:spacing w:after="0" w:line="159" w:lineRule="exact"/>
              <w:rPr>
                <w:sz w:val="20"/>
                <w:szCs w:val="20"/>
                <w:color w:val="auto"/>
              </w:rPr>
            </w:pPr>
            <w:r>
              <w:rPr>
                <w:rFonts w:ascii="Arial" w:cs="Arial" w:eastAsia="Arial" w:hAnsi="Arial"/>
                <w:sz w:val="14"/>
                <w:szCs w:val="14"/>
                <w:b w:val="1"/>
                <w:bCs w:val="1"/>
                <w:color w:val="auto"/>
              </w:rPr>
              <w:t>Capital and</w:t>
            </w:r>
          </w:p>
        </w:tc>
        <w:tc>
          <w:tcPr>
            <w:tcW w:w="1300" w:type="dxa"/>
            <w:vAlign w:val="bottom"/>
            <w:tcBorders>
              <w:top w:val="single" w:sz="8" w:color="CCCCCC"/>
              <w:right w:val="single" w:sz="8" w:color="CCCCCC"/>
            </w:tcBorders>
            <w:shd w:val="clear" w:color="auto" w:fill="E5E5E5"/>
          </w:tcPr>
          <w:p>
            <w:pPr>
              <w:jc w:val="center"/>
              <w:ind w:left="9"/>
              <w:spacing w:after="0" w:line="159" w:lineRule="exact"/>
              <w:rPr>
                <w:sz w:val="20"/>
                <w:szCs w:val="20"/>
                <w:color w:val="auto"/>
              </w:rPr>
            </w:pPr>
            <w:r>
              <w:rPr>
                <w:rFonts w:ascii="Arial" w:cs="Arial" w:eastAsia="Arial" w:hAnsi="Arial"/>
                <w:sz w:val="14"/>
                <w:szCs w:val="14"/>
                <w:b w:val="1"/>
                <w:bCs w:val="1"/>
                <w:color w:val="auto"/>
              </w:rPr>
              <w:t>Exploration</w:t>
            </w:r>
          </w:p>
        </w:tc>
        <w:tc>
          <w:tcPr>
            <w:tcW w:w="1300" w:type="dxa"/>
            <w:vAlign w:val="bottom"/>
            <w:tcBorders>
              <w:top w:val="single" w:sz="8" w:color="CCCCCC"/>
              <w:right w:val="single" w:sz="8" w:color="CCCCCC"/>
            </w:tcBorders>
            <w:gridSpan w:val="3"/>
            <w:shd w:val="clear" w:color="auto" w:fill="E5E5E5"/>
          </w:tcPr>
          <w:p>
            <w:pPr>
              <w:jc w:val="center"/>
              <w:spacing w:after="0" w:line="159" w:lineRule="exact"/>
              <w:rPr>
                <w:sz w:val="20"/>
                <w:szCs w:val="20"/>
                <w:color w:val="auto"/>
              </w:rPr>
            </w:pPr>
            <w:r>
              <w:rPr>
                <w:rFonts w:ascii="Arial" w:cs="Arial" w:eastAsia="Arial" w:hAnsi="Arial"/>
                <w:sz w:val="14"/>
                <w:szCs w:val="14"/>
                <w:b w:val="1"/>
                <w:bCs w:val="1"/>
                <w:color w:val="auto"/>
              </w:rPr>
              <w:t>Environment,</w:t>
            </w:r>
          </w:p>
        </w:tc>
        <w:tc>
          <w:tcPr>
            <w:tcW w:w="0" w:type="dxa"/>
            <w:vAlign w:val="bottom"/>
          </w:tcPr>
          <w:p>
            <w:pPr>
              <w:spacing w:after="0"/>
              <w:rPr>
                <w:sz w:val="1"/>
                <w:szCs w:val="1"/>
                <w:color w:val="auto"/>
              </w:rPr>
            </w:pPr>
          </w:p>
        </w:tc>
      </w:tr>
      <w:tr>
        <w:trPr>
          <w:trHeight w:val="160"/>
        </w:trPr>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Borders>
              <w:right w:val="single" w:sz="8" w:color="CCCCCC"/>
            </w:tcBorders>
          </w:tcPr>
          <w:p>
            <w:pPr>
              <w:spacing w:after="0"/>
              <w:rPr>
                <w:sz w:val="13"/>
                <w:szCs w:val="13"/>
                <w:color w:val="auto"/>
              </w:rPr>
            </w:pPr>
          </w:p>
        </w:tc>
        <w:tc>
          <w:tcPr>
            <w:tcW w:w="1300" w:type="dxa"/>
            <w:vAlign w:val="bottom"/>
            <w:tcBorders>
              <w:right w:val="single" w:sz="8" w:color="CCCCCC"/>
            </w:tcBorders>
            <w:vMerge w:val="continue"/>
            <w:shd w:val="clear" w:color="auto" w:fill="E5E5E5"/>
          </w:tcPr>
          <w:p>
            <w:pPr>
              <w:spacing w:after="0"/>
              <w:rPr>
                <w:sz w:val="13"/>
                <w:szCs w:val="13"/>
                <w:color w:val="auto"/>
              </w:rPr>
            </w:pPr>
          </w:p>
        </w:tc>
        <w:tc>
          <w:tcPr>
            <w:tcW w:w="1300" w:type="dxa"/>
            <w:vAlign w:val="bottom"/>
            <w:tcBorders>
              <w:right w:val="single" w:sz="8" w:color="CCCCCC"/>
            </w:tcBorders>
            <w:shd w:val="clear" w:color="auto" w:fill="E5E5E5"/>
          </w:tcPr>
          <w:p>
            <w:pPr>
              <w:jc w:val="center"/>
              <w:ind w:left="9"/>
              <w:spacing w:after="0" w:line="160" w:lineRule="exact"/>
              <w:rPr>
                <w:sz w:val="20"/>
                <w:szCs w:val="20"/>
                <w:color w:val="auto"/>
              </w:rPr>
            </w:pPr>
            <w:r>
              <w:rPr>
                <w:rFonts w:ascii="Arial" w:cs="Arial" w:eastAsia="Arial" w:hAnsi="Arial"/>
                <w:sz w:val="14"/>
                <w:szCs w:val="14"/>
                <w:b w:val="1"/>
                <w:bCs w:val="1"/>
                <w:color w:val="auto"/>
              </w:rPr>
              <w:t>Operated</w:t>
            </w:r>
          </w:p>
        </w:tc>
        <w:tc>
          <w:tcPr>
            <w:tcW w:w="1320" w:type="dxa"/>
            <w:vAlign w:val="bottom"/>
            <w:tcBorders>
              <w:right w:val="single" w:sz="8" w:color="CCCCCC"/>
            </w:tcBorders>
            <w:shd w:val="clear" w:color="auto" w:fill="E5E5E5"/>
          </w:tcPr>
          <w:p>
            <w:pPr>
              <w:jc w:val="center"/>
              <w:ind w:left="9"/>
              <w:spacing w:after="0" w:line="160" w:lineRule="exact"/>
              <w:rPr>
                <w:sz w:val="20"/>
                <w:szCs w:val="20"/>
                <w:color w:val="auto"/>
              </w:rPr>
            </w:pPr>
            <w:r>
              <w:rPr>
                <w:rFonts w:ascii="Arial" w:cs="Arial" w:eastAsia="Arial" w:hAnsi="Arial"/>
                <w:sz w:val="14"/>
                <w:szCs w:val="14"/>
                <w:b w:val="1"/>
                <w:bCs w:val="1"/>
                <w:color w:val="auto"/>
              </w:rPr>
              <w:t>on Capital</w:t>
            </w:r>
          </w:p>
        </w:tc>
        <w:tc>
          <w:tcPr>
            <w:tcW w:w="1300" w:type="dxa"/>
            <w:vAlign w:val="bottom"/>
            <w:tcBorders>
              <w:right w:val="single" w:sz="8" w:color="CCCCCC"/>
            </w:tcBorders>
            <w:shd w:val="clear" w:color="auto" w:fill="E5E5E5"/>
          </w:tcPr>
          <w:p>
            <w:pPr>
              <w:jc w:val="center"/>
              <w:spacing w:after="0" w:line="160" w:lineRule="exact"/>
              <w:rPr>
                <w:sz w:val="20"/>
                <w:szCs w:val="20"/>
                <w:color w:val="auto"/>
              </w:rPr>
            </w:pPr>
            <w:r>
              <w:rPr>
                <w:rFonts w:ascii="Arial" w:cs="Arial" w:eastAsia="Arial" w:hAnsi="Arial"/>
                <w:sz w:val="14"/>
                <w:szCs w:val="14"/>
                <w:b w:val="1"/>
                <w:bCs w:val="1"/>
                <w:color w:val="auto"/>
              </w:rPr>
              <w:t>Exploratory</w:t>
            </w:r>
          </w:p>
        </w:tc>
        <w:tc>
          <w:tcPr>
            <w:tcW w:w="1300" w:type="dxa"/>
            <w:vAlign w:val="bottom"/>
            <w:tcBorders>
              <w:right w:val="single" w:sz="8" w:color="CCCCCC"/>
            </w:tcBorders>
            <w:shd w:val="clear" w:color="auto" w:fill="E5E5E5"/>
          </w:tcPr>
          <w:p>
            <w:pPr>
              <w:jc w:val="center"/>
              <w:spacing w:after="0" w:line="160" w:lineRule="exact"/>
              <w:rPr>
                <w:sz w:val="20"/>
                <w:szCs w:val="20"/>
                <w:color w:val="auto"/>
              </w:rPr>
            </w:pPr>
            <w:r>
              <w:rPr>
                <w:rFonts w:ascii="Arial" w:cs="Arial" w:eastAsia="Arial" w:hAnsi="Arial"/>
                <w:sz w:val="14"/>
                <w:szCs w:val="14"/>
                <w:b w:val="1"/>
                <w:bCs w:val="1"/>
                <w:color w:val="auto"/>
              </w:rPr>
              <w:t>Resource</w:t>
            </w:r>
          </w:p>
        </w:tc>
        <w:tc>
          <w:tcPr>
            <w:tcW w:w="300" w:type="dxa"/>
            <w:vAlign w:val="bottom"/>
            <w:shd w:val="clear" w:color="auto" w:fill="E5E5E5"/>
          </w:tcPr>
          <w:p>
            <w:pPr>
              <w:spacing w:after="0"/>
              <w:rPr>
                <w:sz w:val="13"/>
                <w:szCs w:val="13"/>
                <w:color w:val="auto"/>
              </w:rPr>
            </w:pPr>
          </w:p>
        </w:tc>
        <w:tc>
          <w:tcPr>
            <w:tcW w:w="1000" w:type="dxa"/>
            <w:vAlign w:val="bottom"/>
            <w:tcBorders>
              <w:right w:val="single" w:sz="8" w:color="CCCCCC"/>
            </w:tcBorders>
            <w:gridSpan w:val="2"/>
            <w:shd w:val="clear" w:color="auto" w:fill="E5E5E5"/>
          </w:tcPr>
          <w:p>
            <w:pPr>
              <w:jc w:val="center"/>
              <w:ind w:right="169"/>
              <w:spacing w:after="0" w:line="160" w:lineRule="exact"/>
              <w:rPr>
                <w:sz w:val="20"/>
                <w:szCs w:val="20"/>
                <w:color w:val="auto"/>
              </w:rPr>
            </w:pPr>
            <w:r>
              <w:rPr>
                <w:rFonts w:ascii="Arial" w:cs="Arial" w:eastAsia="Arial" w:hAnsi="Arial"/>
                <w:sz w:val="14"/>
                <w:szCs w:val="14"/>
                <w:b w:val="1"/>
                <w:bCs w:val="1"/>
                <w:color w:val="auto"/>
              </w:rPr>
              <w:t>Health and</w:t>
            </w:r>
          </w:p>
        </w:tc>
        <w:tc>
          <w:tcPr>
            <w:tcW w:w="0" w:type="dxa"/>
            <w:vAlign w:val="bottom"/>
          </w:tcPr>
          <w:p>
            <w:pPr>
              <w:spacing w:after="0"/>
              <w:rPr>
                <w:sz w:val="1"/>
                <w:szCs w:val="1"/>
                <w:color w:val="auto"/>
              </w:rPr>
            </w:pPr>
          </w:p>
        </w:tc>
      </w:tr>
      <w:tr>
        <w:trPr>
          <w:trHeight w:val="173"/>
        </w:trPr>
        <w:tc>
          <w:tcPr>
            <w:tcW w:w="800" w:type="dxa"/>
            <w:vAlign w:val="bottom"/>
            <w:tcBorders>
              <w:bottom w:val="single" w:sz="8" w:color="CCCCCC"/>
            </w:tcBorders>
          </w:tcPr>
          <w:p>
            <w:pPr>
              <w:spacing w:after="0"/>
              <w:rPr>
                <w:sz w:val="15"/>
                <w:szCs w:val="15"/>
                <w:color w:val="auto"/>
              </w:rPr>
            </w:pPr>
          </w:p>
        </w:tc>
        <w:tc>
          <w:tcPr>
            <w:tcW w:w="280" w:type="dxa"/>
            <w:vAlign w:val="bottom"/>
            <w:tcBorders>
              <w:bottom w:val="single" w:sz="8" w:color="CCCCCC"/>
            </w:tcBorders>
          </w:tcPr>
          <w:p>
            <w:pPr>
              <w:spacing w:after="0"/>
              <w:rPr>
                <w:sz w:val="15"/>
                <w:szCs w:val="15"/>
                <w:color w:val="auto"/>
              </w:rPr>
            </w:pPr>
          </w:p>
        </w:tc>
        <w:tc>
          <w:tcPr>
            <w:tcW w:w="740" w:type="dxa"/>
            <w:vAlign w:val="bottom"/>
            <w:tcBorders>
              <w:bottom w:val="single" w:sz="8" w:color="CCCCCC"/>
            </w:tcBorders>
          </w:tcPr>
          <w:p>
            <w:pPr>
              <w:spacing w:after="0"/>
              <w:rPr>
                <w:sz w:val="15"/>
                <w:szCs w:val="15"/>
                <w:color w:val="auto"/>
              </w:rPr>
            </w:pPr>
          </w:p>
        </w:tc>
        <w:tc>
          <w:tcPr>
            <w:tcW w:w="660" w:type="dxa"/>
            <w:vAlign w:val="bottom"/>
            <w:tcBorders>
              <w:bottom w:val="single" w:sz="8" w:color="CCCCCC"/>
            </w:tcBorders>
          </w:tcPr>
          <w:p>
            <w:pPr>
              <w:spacing w:after="0"/>
              <w:rPr>
                <w:sz w:val="15"/>
                <w:szCs w:val="15"/>
                <w:color w:val="auto"/>
              </w:rPr>
            </w:pPr>
          </w:p>
        </w:tc>
        <w:tc>
          <w:tcPr>
            <w:tcW w:w="300" w:type="dxa"/>
            <w:vAlign w:val="bottom"/>
            <w:tcBorders>
              <w:bottom w:val="single" w:sz="8" w:color="CCCCCC"/>
            </w:tcBorders>
          </w:tcPr>
          <w:p>
            <w:pPr>
              <w:spacing w:after="0"/>
              <w:rPr>
                <w:sz w:val="15"/>
                <w:szCs w:val="15"/>
                <w:color w:val="auto"/>
              </w:rPr>
            </w:pPr>
          </w:p>
        </w:tc>
        <w:tc>
          <w:tcPr>
            <w:tcW w:w="280" w:type="dxa"/>
            <w:vAlign w:val="bottom"/>
            <w:tcBorders>
              <w:bottom w:val="single" w:sz="8" w:color="CCCCCC"/>
              <w:right w:val="single" w:sz="8" w:color="CCCCCC"/>
            </w:tcBorders>
          </w:tcPr>
          <w:p>
            <w:pPr>
              <w:spacing w:after="0"/>
              <w:rPr>
                <w:sz w:val="15"/>
                <w:szCs w:val="15"/>
                <w:color w:val="auto"/>
              </w:rPr>
            </w:pPr>
          </w:p>
        </w:tc>
        <w:tc>
          <w:tcPr>
            <w:tcW w:w="1300" w:type="dxa"/>
            <w:vAlign w:val="bottom"/>
            <w:tcBorders>
              <w:bottom w:val="single" w:sz="8" w:color="CCCCCC"/>
              <w:right w:val="single" w:sz="8" w:color="CCCCCC"/>
            </w:tcBorders>
            <w:shd w:val="clear" w:color="auto" w:fill="E5E5E5"/>
          </w:tcPr>
          <w:p>
            <w:pPr>
              <w:spacing w:after="0"/>
              <w:rPr>
                <w:sz w:val="15"/>
                <w:szCs w:val="15"/>
                <w:color w:val="auto"/>
              </w:rPr>
            </w:pPr>
          </w:p>
        </w:tc>
        <w:tc>
          <w:tcPr>
            <w:tcW w:w="1300" w:type="dxa"/>
            <w:vAlign w:val="bottom"/>
            <w:tcBorders>
              <w:bottom w:val="single" w:sz="8" w:color="CCCCCC"/>
              <w:right w:val="single" w:sz="8" w:color="CCCCCC"/>
            </w:tcBorders>
            <w:shd w:val="clear" w:color="auto" w:fill="E5E5E5"/>
          </w:tcPr>
          <w:p>
            <w:pPr>
              <w:jc w:val="center"/>
              <w:ind w:left="9"/>
              <w:spacing w:after="0"/>
              <w:rPr>
                <w:sz w:val="20"/>
                <w:szCs w:val="20"/>
                <w:color w:val="auto"/>
              </w:rPr>
            </w:pPr>
            <w:r>
              <w:rPr>
                <w:rFonts w:ascii="Arial" w:cs="Arial" w:eastAsia="Arial" w:hAnsi="Arial"/>
                <w:sz w:val="14"/>
                <w:szCs w:val="14"/>
                <w:b w:val="1"/>
                <w:bCs w:val="1"/>
                <w:color w:val="auto"/>
              </w:rPr>
              <w:t>Cash Costs</w:t>
            </w:r>
          </w:p>
        </w:tc>
        <w:tc>
          <w:tcPr>
            <w:tcW w:w="1320" w:type="dxa"/>
            <w:vAlign w:val="bottom"/>
            <w:tcBorders>
              <w:bottom w:val="single" w:sz="8" w:color="CCCCCC"/>
              <w:right w:val="single" w:sz="8" w:color="CCCCCC"/>
            </w:tcBorders>
            <w:shd w:val="clear" w:color="auto" w:fill="E5E5E5"/>
          </w:tcPr>
          <w:p>
            <w:pPr>
              <w:jc w:val="center"/>
              <w:ind w:left="9"/>
              <w:spacing w:after="0"/>
              <w:rPr>
                <w:sz w:val="20"/>
                <w:szCs w:val="20"/>
                <w:color w:val="auto"/>
              </w:rPr>
            </w:pPr>
            <w:r>
              <w:rPr>
                <w:rFonts w:ascii="Arial" w:cs="Arial" w:eastAsia="Arial" w:hAnsi="Arial"/>
                <w:sz w:val="14"/>
                <w:szCs w:val="14"/>
                <w:b w:val="1"/>
                <w:bCs w:val="1"/>
                <w:color w:val="auto"/>
              </w:rPr>
              <w:t>Employed</w:t>
            </w:r>
          </w:p>
        </w:tc>
        <w:tc>
          <w:tcPr>
            <w:tcW w:w="1300" w:type="dxa"/>
            <w:vAlign w:val="bottom"/>
            <w:tcBorders>
              <w:bottom w:val="single" w:sz="8" w:color="CCCCCC"/>
              <w:right w:val="single" w:sz="8" w:color="CCCCCC"/>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Spend</w:t>
            </w:r>
          </w:p>
        </w:tc>
        <w:tc>
          <w:tcPr>
            <w:tcW w:w="1300" w:type="dxa"/>
            <w:vAlign w:val="bottom"/>
            <w:tcBorders>
              <w:bottom w:val="single" w:sz="8" w:color="CCCCCC"/>
              <w:right w:val="single" w:sz="8" w:color="CCCCCC"/>
            </w:tcBorders>
            <w:shd w:val="clear" w:color="auto" w:fill="E5E5E5"/>
          </w:tcPr>
          <w:p>
            <w:pPr>
              <w:jc w:val="center"/>
              <w:ind w:left="9"/>
              <w:spacing w:after="0"/>
              <w:rPr>
                <w:sz w:val="20"/>
                <w:szCs w:val="20"/>
                <w:color w:val="auto"/>
              </w:rPr>
            </w:pPr>
            <w:r>
              <w:rPr>
                <w:rFonts w:ascii="Arial" w:cs="Arial" w:eastAsia="Arial" w:hAnsi="Arial"/>
                <w:sz w:val="14"/>
                <w:szCs w:val="14"/>
                <w:b w:val="1"/>
                <w:bCs w:val="1"/>
                <w:color w:val="auto"/>
              </w:rPr>
              <w:t>Additions</w:t>
            </w:r>
          </w:p>
        </w:tc>
        <w:tc>
          <w:tcPr>
            <w:tcW w:w="300" w:type="dxa"/>
            <w:vAlign w:val="bottom"/>
            <w:tcBorders>
              <w:bottom w:val="single" w:sz="8" w:color="CCCCCC"/>
            </w:tcBorders>
            <w:shd w:val="clear" w:color="auto" w:fill="E5E5E5"/>
          </w:tcPr>
          <w:p>
            <w:pPr>
              <w:spacing w:after="0"/>
              <w:rPr>
                <w:sz w:val="15"/>
                <w:szCs w:val="15"/>
                <w:color w:val="auto"/>
              </w:rPr>
            </w:pPr>
          </w:p>
        </w:tc>
        <w:tc>
          <w:tcPr>
            <w:tcW w:w="1000" w:type="dxa"/>
            <w:vAlign w:val="bottom"/>
            <w:tcBorders>
              <w:bottom w:val="single" w:sz="8" w:color="CCCCCC"/>
              <w:right w:val="single" w:sz="8" w:color="CCCCCC"/>
            </w:tcBorders>
            <w:gridSpan w:val="2"/>
            <w:shd w:val="clear" w:color="auto" w:fill="E5E5E5"/>
          </w:tcPr>
          <w:p>
            <w:pPr>
              <w:jc w:val="center"/>
              <w:ind w:right="189"/>
              <w:spacing w:after="0"/>
              <w:rPr>
                <w:sz w:val="20"/>
                <w:szCs w:val="20"/>
                <w:color w:val="auto"/>
              </w:rPr>
            </w:pPr>
            <w:r>
              <w:rPr>
                <w:rFonts w:ascii="Arial" w:cs="Arial" w:eastAsia="Arial" w:hAnsi="Arial"/>
                <w:sz w:val="14"/>
                <w:szCs w:val="14"/>
                <w:b w:val="1"/>
                <w:bCs w:val="1"/>
                <w:color w:val="auto"/>
                <w:w w:val="99"/>
              </w:rPr>
              <w:t>Safety</w:t>
            </w:r>
          </w:p>
        </w:tc>
        <w:tc>
          <w:tcPr>
            <w:tcW w:w="0" w:type="dxa"/>
            <w:vAlign w:val="bottom"/>
          </w:tcPr>
          <w:p>
            <w:pPr>
              <w:spacing w:after="0"/>
              <w:rPr>
                <w:sz w:val="1"/>
                <w:szCs w:val="1"/>
                <w:color w:val="auto"/>
              </w:rPr>
            </w:pPr>
          </w:p>
        </w:tc>
      </w:tr>
      <w:tr>
        <w:trPr>
          <w:trHeight w:val="166"/>
        </w:trPr>
        <w:tc>
          <w:tcPr>
            <w:tcW w:w="800" w:type="dxa"/>
            <w:vAlign w:val="bottom"/>
            <w:tcBorders>
              <w:left w:val="single" w:sz="8" w:color="CCCCCC"/>
            </w:tcBorders>
            <w:shd w:val="clear" w:color="auto" w:fill="E5E5E5"/>
          </w:tcPr>
          <w:p>
            <w:pPr>
              <w:ind w:left="240"/>
              <w:spacing w:after="0"/>
              <w:rPr>
                <w:sz w:val="20"/>
                <w:szCs w:val="20"/>
                <w:color w:val="auto"/>
              </w:rPr>
            </w:pPr>
            <w:r>
              <w:rPr>
                <w:rFonts w:ascii="Arial" w:cs="Arial" w:eastAsia="Arial" w:hAnsi="Arial"/>
                <w:sz w:val="14"/>
                <w:szCs w:val="14"/>
                <w:color w:val="auto"/>
              </w:rPr>
              <w:t>Grow</w:t>
            </w:r>
          </w:p>
        </w:tc>
        <w:tc>
          <w:tcPr>
            <w:tcW w:w="280" w:type="dxa"/>
            <w:vAlign w:val="bottom"/>
            <w:shd w:val="clear" w:color="auto" w:fill="E5E5E5"/>
          </w:tcPr>
          <w:p>
            <w:pPr>
              <w:spacing w:after="0"/>
              <w:rPr>
                <w:sz w:val="20"/>
                <w:szCs w:val="20"/>
                <w:color w:val="auto"/>
              </w:rPr>
            </w:pPr>
            <w:r>
              <w:rPr>
                <w:rFonts w:ascii="Arial" w:cs="Arial" w:eastAsia="Arial" w:hAnsi="Arial"/>
                <w:sz w:val="14"/>
                <w:szCs w:val="14"/>
                <w:color w:val="auto"/>
              </w:rPr>
              <w:t>our</w:t>
            </w:r>
          </w:p>
        </w:tc>
        <w:tc>
          <w:tcPr>
            <w:tcW w:w="740" w:type="dxa"/>
            <w:vAlign w:val="bottom"/>
            <w:shd w:val="clear" w:color="auto" w:fill="E5E5E5"/>
          </w:tcPr>
          <w:p>
            <w:pPr>
              <w:ind w:left="160"/>
              <w:spacing w:after="0"/>
              <w:rPr>
                <w:sz w:val="20"/>
                <w:szCs w:val="20"/>
                <w:color w:val="auto"/>
              </w:rPr>
            </w:pPr>
            <w:r>
              <w:rPr>
                <w:rFonts w:ascii="Arial" w:cs="Arial" w:eastAsia="Arial" w:hAnsi="Arial"/>
                <w:sz w:val="14"/>
                <w:szCs w:val="14"/>
                <w:color w:val="auto"/>
              </w:rPr>
              <w:t>resource</w:t>
            </w:r>
          </w:p>
        </w:tc>
        <w:tc>
          <w:tcPr>
            <w:tcW w:w="660" w:type="dxa"/>
            <w:vAlign w:val="bottom"/>
            <w:shd w:val="clear" w:color="auto" w:fill="E5E5E5"/>
          </w:tcPr>
          <w:p>
            <w:pPr>
              <w:ind w:left="200"/>
              <w:spacing w:after="0"/>
              <w:rPr>
                <w:sz w:val="20"/>
                <w:szCs w:val="20"/>
                <w:color w:val="auto"/>
              </w:rPr>
            </w:pPr>
            <w:r>
              <w:rPr>
                <w:rFonts w:ascii="Arial" w:cs="Arial" w:eastAsia="Arial" w:hAnsi="Arial"/>
                <w:sz w:val="14"/>
                <w:szCs w:val="14"/>
                <w:color w:val="auto"/>
              </w:rPr>
              <w:t>base</w:t>
            </w:r>
          </w:p>
        </w:tc>
        <w:tc>
          <w:tcPr>
            <w:tcW w:w="30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in</w:t>
            </w:r>
          </w:p>
        </w:tc>
        <w:tc>
          <w:tcPr>
            <w:tcW w:w="280" w:type="dxa"/>
            <w:vAlign w:val="bottom"/>
            <w:tcBorders>
              <w:right w:val="single" w:sz="8" w:color="CCCCCC"/>
            </w:tcBorders>
            <w:shd w:val="clear" w:color="auto" w:fill="E5E5E5"/>
          </w:tcPr>
          <w:p>
            <w:pPr>
              <w:jc w:val="center"/>
              <w:ind w:left="9"/>
              <w:spacing w:after="0"/>
              <w:rPr>
                <w:sz w:val="20"/>
                <w:szCs w:val="20"/>
                <w:color w:val="auto"/>
              </w:rPr>
            </w:pPr>
            <w:r>
              <w:rPr>
                <w:rFonts w:ascii="Arial" w:cs="Arial" w:eastAsia="Arial" w:hAnsi="Arial"/>
                <w:sz w:val="14"/>
                <w:szCs w:val="14"/>
                <w:color w:val="auto"/>
              </w:rPr>
              <w:t>a</w:t>
            </w:r>
          </w:p>
        </w:tc>
        <w:tc>
          <w:tcPr>
            <w:tcW w:w="1300" w:type="dxa"/>
            <w:vAlign w:val="bottom"/>
            <w:tcBorders>
              <w:right w:val="single" w:sz="8" w:color="CCCCCC"/>
            </w:tcBorders>
          </w:tcPr>
          <w:p>
            <w:pPr>
              <w:spacing w:after="0"/>
              <w:rPr>
                <w:sz w:val="14"/>
                <w:szCs w:val="14"/>
                <w:color w:val="auto"/>
              </w:rPr>
            </w:pPr>
          </w:p>
        </w:tc>
        <w:tc>
          <w:tcPr>
            <w:tcW w:w="1300" w:type="dxa"/>
            <w:vAlign w:val="bottom"/>
            <w:tcBorders>
              <w:right w:val="single" w:sz="8" w:color="CCCCCC"/>
            </w:tcBorders>
          </w:tcPr>
          <w:p>
            <w:pPr>
              <w:spacing w:after="0"/>
              <w:rPr>
                <w:sz w:val="14"/>
                <w:szCs w:val="14"/>
                <w:color w:val="auto"/>
              </w:rPr>
            </w:pPr>
          </w:p>
        </w:tc>
        <w:tc>
          <w:tcPr>
            <w:tcW w:w="1320" w:type="dxa"/>
            <w:vAlign w:val="bottom"/>
            <w:tcBorders>
              <w:right w:val="single" w:sz="8" w:color="CCCCCC"/>
            </w:tcBorders>
          </w:tcPr>
          <w:p>
            <w:pPr>
              <w:spacing w:after="0"/>
              <w:rPr>
                <w:sz w:val="14"/>
                <w:szCs w:val="14"/>
                <w:color w:val="auto"/>
              </w:rPr>
            </w:pPr>
          </w:p>
        </w:tc>
        <w:tc>
          <w:tcPr>
            <w:tcW w:w="1300" w:type="dxa"/>
            <w:vAlign w:val="bottom"/>
            <w:tcBorders>
              <w:right w:val="single" w:sz="8" w:color="CCCCCC"/>
            </w:tcBorders>
          </w:tcPr>
          <w:p>
            <w:pPr>
              <w:spacing w:after="0"/>
              <w:rPr>
                <w:sz w:val="14"/>
                <w:szCs w:val="14"/>
                <w:color w:val="auto"/>
              </w:rPr>
            </w:pPr>
          </w:p>
        </w:tc>
        <w:tc>
          <w:tcPr>
            <w:tcW w:w="1300" w:type="dxa"/>
            <w:vAlign w:val="bottom"/>
            <w:tcBorders>
              <w:right w:val="single" w:sz="8" w:color="CCCCCC"/>
            </w:tcBorders>
          </w:tcPr>
          <w:p>
            <w:pPr>
              <w:spacing w:after="0"/>
              <w:rPr>
                <w:sz w:val="14"/>
                <w:szCs w:val="14"/>
                <w:color w:val="auto"/>
              </w:rPr>
            </w:pPr>
          </w:p>
        </w:tc>
        <w:tc>
          <w:tcPr>
            <w:tcW w:w="300" w:type="dxa"/>
            <w:vAlign w:val="bottom"/>
          </w:tcPr>
          <w:p>
            <w:pPr>
              <w:ind w:left="100"/>
              <w:spacing w:after="0"/>
              <w:rPr>
                <w:sz w:val="20"/>
                <w:szCs w:val="20"/>
                <w:color w:val="auto"/>
              </w:rPr>
            </w:pPr>
            <w:r>
              <w:rPr>
                <w:rFonts w:ascii="Arial" w:cs="Arial" w:eastAsia="Arial" w:hAnsi="Arial"/>
                <w:sz w:val="14"/>
                <w:szCs w:val="14"/>
                <w:color w:val="auto"/>
                <w:w w:val="85"/>
              </w:rPr>
              <w:t>We</w:t>
            </w:r>
          </w:p>
        </w:tc>
        <w:tc>
          <w:tcPr>
            <w:tcW w:w="1000" w:type="dxa"/>
            <w:vAlign w:val="bottom"/>
            <w:tcBorders>
              <w:right w:val="single" w:sz="8" w:color="CCCCCC"/>
            </w:tcBorders>
            <w:gridSpan w:val="2"/>
          </w:tcPr>
          <w:p>
            <w:pPr>
              <w:jc w:val="right"/>
              <w:spacing w:after="0"/>
              <w:rPr>
                <w:sz w:val="20"/>
                <w:szCs w:val="20"/>
                <w:color w:val="auto"/>
              </w:rPr>
            </w:pPr>
            <w:r>
              <w:rPr>
                <w:rFonts w:ascii="Arial" w:cs="Arial" w:eastAsia="Arial" w:hAnsi="Arial"/>
                <w:sz w:val="14"/>
                <w:szCs w:val="14"/>
                <w:color w:val="auto"/>
              </w:rPr>
              <w:t>believe  that</w:t>
            </w:r>
          </w:p>
        </w:tc>
        <w:tc>
          <w:tcPr>
            <w:tcW w:w="0" w:type="dxa"/>
            <w:vAlign w:val="bottom"/>
          </w:tcPr>
          <w:p>
            <w:pPr>
              <w:spacing w:after="0"/>
              <w:rPr>
                <w:sz w:val="1"/>
                <w:szCs w:val="1"/>
                <w:color w:val="auto"/>
              </w:rPr>
            </w:pPr>
          </w:p>
        </w:tc>
      </w:tr>
      <w:tr>
        <w:trPr>
          <w:trHeight w:val="191"/>
        </w:trPr>
        <w:tc>
          <w:tcPr>
            <w:tcW w:w="2480" w:type="dxa"/>
            <w:vAlign w:val="bottom"/>
            <w:tcBorders>
              <w:left w:val="single" w:sz="8" w:color="CCCCCC"/>
            </w:tcBorders>
            <w:gridSpan w:val="4"/>
            <w:shd w:val="clear" w:color="auto" w:fill="E5E5E5"/>
          </w:tcPr>
          <w:p>
            <w:pPr>
              <w:ind w:left="240"/>
              <w:spacing w:after="0"/>
              <w:rPr>
                <w:sz w:val="20"/>
                <w:szCs w:val="20"/>
                <w:color w:val="auto"/>
              </w:rPr>
            </w:pPr>
            <w:r>
              <w:rPr>
                <w:rFonts w:ascii="Arial" w:cs="Arial" w:eastAsia="Arial" w:hAnsi="Arial"/>
                <w:sz w:val="14"/>
                <w:szCs w:val="14"/>
                <w:color w:val="auto"/>
              </w:rPr>
              <w:t>capital disciplined manner</w:t>
            </w:r>
          </w:p>
        </w:tc>
        <w:tc>
          <w:tcPr>
            <w:tcW w:w="300" w:type="dxa"/>
            <w:vAlign w:val="bottom"/>
            <w:shd w:val="clear" w:color="auto" w:fill="E5E5E5"/>
          </w:tcPr>
          <w:p>
            <w:pPr>
              <w:spacing w:after="0"/>
              <w:rPr>
                <w:sz w:val="16"/>
                <w:szCs w:val="16"/>
                <w:color w:val="auto"/>
              </w:rPr>
            </w:pPr>
          </w:p>
        </w:tc>
        <w:tc>
          <w:tcPr>
            <w:tcW w:w="280" w:type="dxa"/>
            <w:vAlign w:val="bottom"/>
            <w:tcBorders>
              <w:right w:val="single" w:sz="8" w:color="CCCCCC"/>
            </w:tcBorders>
            <w:shd w:val="clear" w:color="auto" w:fill="E5E5E5"/>
          </w:tcPr>
          <w:p>
            <w:pPr>
              <w:spacing w:after="0"/>
              <w:rPr>
                <w:sz w:val="16"/>
                <w:szCs w:val="16"/>
                <w:color w:val="auto"/>
              </w:rPr>
            </w:pPr>
          </w:p>
        </w:tc>
        <w:tc>
          <w:tcPr>
            <w:tcW w:w="1300" w:type="dxa"/>
            <w:vAlign w:val="bottom"/>
            <w:tcBorders>
              <w:right w:val="single" w:sz="8" w:color="CCCCCC"/>
            </w:tcBorders>
          </w:tcPr>
          <w:p>
            <w:pPr>
              <w:spacing w:after="0"/>
              <w:rPr>
                <w:sz w:val="16"/>
                <w:szCs w:val="16"/>
                <w:color w:val="auto"/>
              </w:rPr>
            </w:pPr>
          </w:p>
        </w:tc>
        <w:tc>
          <w:tcPr>
            <w:tcW w:w="1300" w:type="dxa"/>
            <w:vAlign w:val="bottom"/>
            <w:tcBorders>
              <w:right w:val="single" w:sz="8" w:color="CCCCCC"/>
            </w:tcBorders>
          </w:tcPr>
          <w:p>
            <w:pPr>
              <w:spacing w:after="0"/>
              <w:rPr>
                <w:sz w:val="16"/>
                <w:szCs w:val="16"/>
                <w:color w:val="auto"/>
              </w:rPr>
            </w:pPr>
          </w:p>
        </w:tc>
        <w:tc>
          <w:tcPr>
            <w:tcW w:w="1320" w:type="dxa"/>
            <w:vAlign w:val="bottom"/>
            <w:tcBorders>
              <w:right w:val="single" w:sz="8" w:color="CCCCCC"/>
            </w:tcBorders>
          </w:tcPr>
          <w:p>
            <w:pPr>
              <w:spacing w:after="0"/>
              <w:rPr>
                <w:sz w:val="16"/>
                <w:szCs w:val="16"/>
                <w:color w:val="auto"/>
              </w:rPr>
            </w:pPr>
          </w:p>
        </w:tc>
        <w:tc>
          <w:tcPr>
            <w:tcW w:w="1300" w:type="dxa"/>
            <w:vAlign w:val="bottom"/>
            <w:tcBorders>
              <w:right w:val="single" w:sz="8" w:color="CCCCCC"/>
            </w:tcBorders>
          </w:tcPr>
          <w:p>
            <w:pPr>
              <w:spacing w:after="0"/>
              <w:rPr>
                <w:sz w:val="16"/>
                <w:szCs w:val="16"/>
                <w:color w:val="auto"/>
              </w:rPr>
            </w:pPr>
          </w:p>
        </w:tc>
        <w:tc>
          <w:tcPr>
            <w:tcW w:w="1300" w:type="dxa"/>
            <w:vAlign w:val="bottom"/>
            <w:tcBorders>
              <w:right w:val="single" w:sz="8" w:color="CCCCCC"/>
            </w:tcBorders>
          </w:tcPr>
          <w:p>
            <w:pPr>
              <w:spacing w:after="0"/>
              <w:rPr>
                <w:sz w:val="16"/>
                <w:szCs w:val="16"/>
                <w:color w:val="auto"/>
              </w:rPr>
            </w:pPr>
          </w:p>
        </w:tc>
        <w:tc>
          <w:tcPr>
            <w:tcW w:w="600" w:type="dxa"/>
            <w:vAlign w:val="bottom"/>
            <w:gridSpan w:val="2"/>
          </w:tcPr>
          <w:p>
            <w:pPr>
              <w:ind w:left="100"/>
              <w:spacing w:after="0"/>
              <w:rPr>
                <w:sz w:val="20"/>
                <w:szCs w:val="20"/>
                <w:color w:val="auto"/>
              </w:rPr>
            </w:pPr>
            <w:r>
              <w:rPr>
                <w:rFonts w:ascii="Arial" w:cs="Arial" w:eastAsia="Arial" w:hAnsi="Arial"/>
                <w:sz w:val="14"/>
                <w:szCs w:val="14"/>
                <w:color w:val="auto"/>
              </w:rPr>
              <w:t>EHS</w:t>
            </w:r>
          </w:p>
        </w:tc>
        <w:tc>
          <w:tcPr>
            <w:tcW w:w="700" w:type="dxa"/>
            <w:vAlign w:val="bottom"/>
            <w:tcBorders>
              <w:right w:val="single" w:sz="8" w:color="CCCCCC"/>
            </w:tcBorders>
          </w:tcPr>
          <w:p>
            <w:pPr>
              <w:jc w:val="right"/>
              <w:spacing w:after="0"/>
              <w:rPr>
                <w:sz w:val="20"/>
                <w:szCs w:val="20"/>
                <w:color w:val="auto"/>
              </w:rPr>
            </w:pPr>
            <w:r>
              <w:rPr>
                <w:rFonts w:ascii="Arial" w:cs="Arial" w:eastAsia="Arial" w:hAnsi="Arial"/>
                <w:sz w:val="14"/>
                <w:szCs w:val="14"/>
                <w:color w:val="auto"/>
              </w:rPr>
              <w:t>practices</w:t>
            </w:r>
          </w:p>
        </w:tc>
        <w:tc>
          <w:tcPr>
            <w:tcW w:w="0" w:type="dxa"/>
            <w:vAlign w:val="bottom"/>
          </w:tcPr>
          <w:p>
            <w:pPr>
              <w:spacing w:after="0"/>
              <w:rPr>
                <w:sz w:val="1"/>
                <w:szCs w:val="1"/>
                <w:color w:val="auto"/>
              </w:rPr>
            </w:pPr>
          </w:p>
        </w:tc>
      </w:tr>
      <w:tr>
        <w:trPr>
          <w:trHeight w:val="88"/>
        </w:trPr>
        <w:tc>
          <w:tcPr>
            <w:tcW w:w="800" w:type="dxa"/>
            <w:vAlign w:val="bottom"/>
            <w:tcBorders>
              <w:left w:val="single" w:sz="8" w:color="CCCCCC"/>
              <w:bottom w:val="single" w:sz="8" w:color="CCCCCC"/>
            </w:tcBorders>
            <w:shd w:val="clear" w:color="auto" w:fill="E5E5E5"/>
          </w:tcPr>
          <w:p>
            <w:pPr>
              <w:spacing w:after="0"/>
              <w:rPr>
                <w:sz w:val="7"/>
                <w:szCs w:val="7"/>
                <w:color w:val="auto"/>
              </w:rPr>
            </w:pPr>
          </w:p>
        </w:tc>
        <w:tc>
          <w:tcPr>
            <w:tcW w:w="280" w:type="dxa"/>
            <w:vAlign w:val="bottom"/>
            <w:tcBorders>
              <w:bottom w:val="single" w:sz="8" w:color="CCCCCC"/>
            </w:tcBorders>
            <w:shd w:val="clear" w:color="auto" w:fill="E5E5E5"/>
          </w:tcPr>
          <w:p>
            <w:pPr>
              <w:spacing w:after="0"/>
              <w:rPr>
                <w:sz w:val="7"/>
                <w:szCs w:val="7"/>
                <w:color w:val="auto"/>
              </w:rPr>
            </w:pPr>
          </w:p>
        </w:tc>
        <w:tc>
          <w:tcPr>
            <w:tcW w:w="740" w:type="dxa"/>
            <w:vAlign w:val="bottom"/>
            <w:tcBorders>
              <w:bottom w:val="single" w:sz="8" w:color="CCCCCC"/>
            </w:tcBorders>
            <w:shd w:val="clear" w:color="auto" w:fill="E5E5E5"/>
          </w:tcPr>
          <w:p>
            <w:pPr>
              <w:spacing w:after="0"/>
              <w:rPr>
                <w:sz w:val="7"/>
                <w:szCs w:val="7"/>
                <w:color w:val="auto"/>
              </w:rPr>
            </w:pPr>
          </w:p>
        </w:tc>
        <w:tc>
          <w:tcPr>
            <w:tcW w:w="660" w:type="dxa"/>
            <w:vAlign w:val="bottom"/>
            <w:tcBorders>
              <w:bottom w:val="single" w:sz="8" w:color="CCCCCC"/>
            </w:tcBorders>
            <w:shd w:val="clear" w:color="auto" w:fill="E5E5E5"/>
          </w:tcPr>
          <w:p>
            <w:pPr>
              <w:spacing w:after="0"/>
              <w:rPr>
                <w:sz w:val="7"/>
                <w:szCs w:val="7"/>
                <w:color w:val="auto"/>
              </w:rPr>
            </w:pPr>
          </w:p>
        </w:tc>
        <w:tc>
          <w:tcPr>
            <w:tcW w:w="300" w:type="dxa"/>
            <w:vAlign w:val="bottom"/>
            <w:tcBorders>
              <w:bottom w:val="single" w:sz="8" w:color="CCCCCC"/>
            </w:tcBorders>
            <w:shd w:val="clear" w:color="auto" w:fill="E5E5E5"/>
          </w:tcPr>
          <w:p>
            <w:pPr>
              <w:spacing w:after="0"/>
              <w:rPr>
                <w:sz w:val="7"/>
                <w:szCs w:val="7"/>
                <w:color w:val="auto"/>
              </w:rPr>
            </w:pPr>
          </w:p>
        </w:tc>
        <w:tc>
          <w:tcPr>
            <w:tcW w:w="280" w:type="dxa"/>
            <w:vAlign w:val="bottom"/>
            <w:tcBorders>
              <w:bottom w:val="single" w:sz="8" w:color="CCCCCC"/>
              <w:right w:val="single" w:sz="8" w:color="CCCCCC"/>
            </w:tcBorders>
            <w:shd w:val="clear" w:color="auto" w:fill="E5E5E5"/>
          </w:tcPr>
          <w:p>
            <w:pPr>
              <w:spacing w:after="0"/>
              <w:rPr>
                <w:sz w:val="7"/>
                <w:szCs w:val="7"/>
                <w:color w:val="auto"/>
              </w:rPr>
            </w:pPr>
          </w:p>
        </w:tc>
        <w:tc>
          <w:tcPr>
            <w:tcW w:w="1300" w:type="dxa"/>
            <w:vAlign w:val="bottom"/>
            <w:tcBorders>
              <w:bottom w:val="single" w:sz="8" w:color="CCCCCC"/>
              <w:right w:val="single" w:sz="8" w:color="CCCCCC"/>
            </w:tcBorders>
          </w:tcPr>
          <w:p>
            <w:pPr>
              <w:spacing w:after="0"/>
              <w:rPr>
                <w:sz w:val="7"/>
                <w:szCs w:val="7"/>
                <w:color w:val="auto"/>
              </w:rPr>
            </w:pPr>
          </w:p>
        </w:tc>
        <w:tc>
          <w:tcPr>
            <w:tcW w:w="1300" w:type="dxa"/>
            <w:vAlign w:val="bottom"/>
            <w:tcBorders>
              <w:bottom w:val="single" w:sz="8" w:color="CCCCCC"/>
              <w:right w:val="single" w:sz="8" w:color="CCCCCC"/>
            </w:tcBorders>
          </w:tcPr>
          <w:p>
            <w:pPr>
              <w:spacing w:after="0"/>
              <w:rPr>
                <w:sz w:val="7"/>
                <w:szCs w:val="7"/>
                <w:color w:val="auto"/>
              </w:rPr>
            </w:pPr>
          </w:p>
        </w:tc>
        <w:tc>
          <w:tcPr>
            <w:tcW w:w="1320" w:type="dxa"/>
            <w:vAlign w:val="bottom"/>
            <w:tcBorders>
              <w:bottom w:val="single" w:sz="8" w:color="CCCCCC"/>
              <w:right w:val="single" w:sz="8" w:color="CCCCCC"/>
            </w:tcBorders>
          </w:tcPr>
          <w:p>
            <w:pPr>
              <w:spacing w:after="0"/>
              <w:rPr>
                <w:sz w:val="7"/>
                <w:szCs w:val="7"/>
                <w:color w:val="auto"/>
              </w:rPr>
            </w:pPr>
          </w:p>
        </w:tc>
        <w:tc>
          <w:tcPr>
            <w:tcW w:w="1300" w:type="dxa"/>
            <w:vAlign w:val="bottom"/>
            <w:tcBorders>
              <w:bottom w:val="single" w:sz="8" w:color="CCCCCC"/>
              <w:right w:val="single" w:sz="8" w:color="CCCCCC"/>
            </w:tcBorders>
          </w:tcPr>
          <w:p>
            <w:pPr>
              <w:spacing w:after="0"/>
              <w:rPr>
                <w:sz w:val="7"/>
                <w:szCs w:val="7"/>
                <w:color w:val="auto"/>
              </w:rPr>
            </w:pPr>
          </w:p>
        </w:tc>
        <w:tc>
          <w:tcPr>
            <w:tcW w:w="1300" w:type="dxa"/>
            <w:vAlign w:val="bottom"/>
            <w:tcBorders>
              <w:bottom w:val="single" w:sz="8" w:color="CCCCCC"/>
              <w:right w:val="single" w:sz="8" w:color="CCCCCC"/>
            </w:tcBorders>
          </w:tcPr>
          <w:p>
            <w:pPr>
              <w:spacing w:after="0"/>
              <w:rPr>
                <w:sz w:val="7"/>
                <w:szCs w:val="7"/>
                <w:color w:val="auto"/>
              </w:rPr>
            </w:pPr>
          </w:p>
        </w:tc>
        <w:tc>
          <w:tcPr>
            <w:tcW w:w="600" w:type="dxa"/>
            <w:vAlign w:val="bottom"/>
            <w:gridSpan w:val="2"/>
            <w:vMerge w:val="restart"/>
          </w:tcPr>
          <w:p>
            <w:pPr>
              <w:ind w:left="100"/>
              <w:spacing w:after="0" w:line="160" w:lineRule="exact"/>
              <w:rPr>
                <w:sz w:val="20"/>
                <w:szCs w:val="20"/>
                <w:color w:val="auto"/>
              </w:rPr>
            </w:pPr>
            <w:r>
              <w:rPr>
                <w:rFonts w:ascii="Arial" w:cs="Arial" w:eastAsia="Arial" w:hAnsi="Arial"/>
                <w:sz w:val="14"/>
                <w:szCs w:val="14"/>
                <w:color w:val="auto"/>
              </w:rPr>
              <w:t>create</w:t>
            </w:r>
          </w:p>
        </w:tc>
        <w:tc>
          <w:tcPr>
            <w:tcW w:w="700" w:type="dxa"/>
            <w:vAlign w:val="bottom"/>
            <w:tcBorders>
              <w:right w:val="single" w:sz="8" w:color="CCCCCC"/>
            </w:tcBorders>
            <w:vMerge w:val="restart"/>
          </w:tcPr>
          <w:p>
            <w:pPr>
              <w:jc w:val="right"/>
              <w:spacing w:after="0" w:line="160" w:lineRule="exact"/>
              <w:rPr>
                <w:sz w:val="20"/>
                <w:szCs w:val="20"/>
                <w:color w:val="auto"/>
              </w:rPr>
            </w:pPr>
            <w:r>
              <w:rPr>
                <w:rFonts w:ascii="Arial" w:cs="Arial" w:eastAsia="Arial" w:hAnsi="Arial"/>
                <w:sz w:val="14"/>
                <w:szCs w:val="14"/>
                <w:color w:val="auto"/>
              </w:rPr>
              <w:t>value  for</w:t>
            </w:r>
          </w:p>
        </w:tc>
        <w:tc>
          <w:tcPr>
            <w:tcW w:w="0" w:type="dxa"/>
            <w:vAlign w:val="bottom"/>
          </w:tcPr>
          <w:p>
            <w:pPr>
              <w:spacing w:after="0"/>
              <w:rPr>
                <w:sz w:val="1"/>
                <w:szCs w:val="1"/>
                <w:color w:val="auto"/>
              </w:rPr>
            </w:pPr>
          </w:p>
        </w:tc>
      </w:tr>
      <w:tr>
        <w:trPr>
          <w:trHeight w:val="51"/>
        </w:trPr>
        <w:tc>
          <w:tcPr>
            <w:tcW w:w="1080" w:type="dxa"/>
            <w:vAlign w:val="bottom"/>
            <w:tcBorders>
              <w:left w:val="single" w:sz="8" w:color="CCCCCC"/>
            </w:tcBorders>
            <w:gridSpan w:val="2"/>
            <w:vMerge w:val="restart"/>
            <w:shd w:val="clear" w:color="auto" w:fill="E5E5E5"/>
          </w:tcPr>
          <w:p>
            <w:pPr>
              <w:ind w:left="240"/>
              <w:spacing w:after="0" w:line="158" w:lineRule="exact"/>
              <w:rPr>
                <w:sz w:val="20"/>
                <w:szCs w:val="20"/>
                <w:color w:val="auto"/>
              </w:rPr>
            </w:pPr>
            <w:r>
              <w:rPr>
                <w:rFonts w:ascii="Arial" w:cs="Arial" w:eastAsia="Arial" w:hAnsi="Arial"/>
                <w:sz w:val="14"/>
                <w:szCs w:val="14"/>
                <w:color w:val="auto"/>
              </w:rPr>
              <w:t>Move  down</w:t>
            </w:r>
          </w:p>
        </w:tc>
        <w:tc>
          <w:tcPr>
            <w:tcW w:w="740" w:type="dxa"/>
            <w:vAlign w:val="bottom"/>
            <w:vMerge w:val="restart"/>
            <w:shd w:val="clear" w:color="auto" w:fill="E5E5E5"/>
          </w:tcPr>
          <w:p>
            <w:pPr>
              <w:ind w:left="60"/>
              <w:spacing w:after="0" w:line="158" w:lineRule="exact"/>
              <w:rPr>
                <w:sz w:val="20"/>
                <w:szCs w:val="20"/>
                <w:color w:val="auto"/>
              </w:rPr>
            </w:pPr>
            <w:r>
              <w:rPr>
                <w:rFonts w:ascii="Arial" w:cs="Arial" w:eastAsia="Arial" w:hAnsi="Arial"/>
                <w:sz w:val="14"/>
                <w:szCs w:val="14"/>
                <w:color w:val="auto"/>
              </w:rPr>
              <w:t>the  cost</w:t>
            </w:r>
          </w:p>
        </w:tc>
        <w:tc>
          <w:tcPr>
            <w:tcW w:w="660" w:type="dxa"/>
            <w:vAlign w:val="bottom"/>
            <w:vMerge w:val="restart"/>
            <w:shd w:val="clear" w:color="auto" w:fill="E5E5E5"/>
          </w:tcPr>
          <w:p>
            <w:pPr>
              <w:spacing w:after="0" w:line="158" w:lineRule="exact"/>
              <w:rPr>
                <w:sz w:val="20"/>
                <w:szCs w:val="20"/>
                <w:color w:val="auto"/>
              </w:rPr>
            </w:pPr>
            <w:r>
              <w:rPr>
                <w:rFonts w:ascii="Arial" w:cs="Arial" w:eastAsia="Arial" w:hAnsi="Arial"/>
                <w:sz w:val="14"/>
                <w:szCs w:val="14"/>
                <w:color w:val="auto"/>
              </w:rPr>
              <w:t>curve  so</w:t>
            </w:r>
          </w:p>
        </w:tc>
        <w:tc>
          <w:tcPr>
            <w:tcW w:w="300" w:type="dxa"/>
            <w:vAlign w:val="bottom"/>
            <w:vMerge w:val="restart"/>
            <w:shd w:val="clear" w:color="auto" w:fill="E5E5E5"/>
          </w:tcPr>
          <w:p>
            <w:pPr>
              <w:jc w:val="center"/>
              <w:spacing w:after="0" w:line="158" w:lineRule="exact"/>
              <w:rPr>
                <w:sz w:val="20"/>
                <w:szCs w:val="20"/>
                <w:color w:val="auto"/>
              </w:rPr>
            </w:pPr>
            <w:r>
              <w:rPr>
                <w:rFonts w:ascii="Arial" w:cs="Arial" w:eastAsia="Arial" w:hAnsi="Arial"/>
                <w:sz w:val="14"/>
                <w:szCs w:val="14"/>
                <w:color w:val="auto"/>
              </w:rPr>
              <w:t>we</w:t>
            </w:r>
          </w:p>
        </w:tc>
        <w:tc>
          <w:tcPr>
            <w:tcW w:w="280" w:type="dxa"/>
            <w:vAlign w:val="bottom"/>
            <w:tcBorders>
              <w:right w:val="single" w:sz="8" w:color="CCCCCC"/>
            </w:tcBorders>
            <w:vMerge w:val="restart"/>
            <w:shd w:val="clear" w:color="auto" w:fill="E5E5E5"/>
          </w:tcPr>
          <w:p>
            <w:pPr>
              <w:jc w:val="center"/>
              <w:spacing w:after="0" w:line="158" w:lineRule="exact"/>
              <w:rPr>
                <w:sz w:val="20"/>
                <w:szCs w:val="20"/>
                <w:color w:val="auto"/>
              </w:rPr>
            </w:pPr>
            <w:r>
              <w:rPr>
                <w:rFonts w:ascii="Arial" w:cs="Arial" w:eastAsia="Arial" w:hAnsi="Arial"/>
                <w:sz w:val="14"/>
                <w:szCs w:val="14"/>
                <w:color w:val="auto"/>
                <w:w w:val="98"/>
              </w:rPr>
              <w:t>are</w:t>
            </w:r>
          </w:p>
        </w:tc>
        <w:tc>
          <w:tcPr>
            <w:tcW w:w="1300" w:type="dxa"/>
            <w:vAlign w:val="bottom"/>
            <w:tcBorders>
              <w:right w:val="single" w:sz="8" w:color="CCCCCC"/>
            </w:tcBorders>
          </w:tcPr>
          <w:p>
            <w:pPr>
              <w:spacing w:after="0"/>
              <w:rPr>
                <w:sz w:val="4"/>
                <w:szCs w:val="4"/>
                <w:color w:val="auto"/>
              </w:rPr>
            </w:pPr>
          </w:p>
        </w:tc>
        <w:tc>
          <w:tcPr>
            <w:tcW w:w="1300" w:type="dxa"/>
            <w:vAlign w:val="bottom"/>
            <w:tcBorders>
              <w:right w:val="single" w:sz="8" w:color="CCCCCC"/>
            </w:tcBorders>
          </w:tcPr>
          <w:p>
            <w:pPr>
              <w:spacing w:after="0"/>
              <w:rPr>
                <w:sz w:val="4"/>
                <w:szCs w:val="4"/>
                <w:color w:val="auto"/>
              </w:rPr>
            </w:pPr>
          </w:p>
        </w:tc>
        <w:tc>
          <w:tcPr>
            <w:tcW w:w="1320" w:type="dxa"/>
            <w:vAlign w:val="bottom"/>
            <w:tcBorders>
              <w:right w:val="single" w:sz="8" w:color="CCCCCC"/>
            </w:tcBorders>
          </w:tcPr>
          <w:p>
            <w:pPr>
              <w:spacing w:after="0"/>
              <w:rPr>
                <w:sz w:val="4"/>
                <w:szCs w:val="4"/>
                <w:color w:val="auto"/>
              </w:rPr>
            </w:pPr>
          </w:p>
        </w:tc>
        <w:tc>
          <w:tcPr>
            <w:tcW w:w="1300" w:type="dxa"/>
            <w:vAlign w:val="bottom"/>
            <w:tcBorders>
              <w:right w:val="single" w:sz="8" w:color="CCCCCC"/>
            </w:tcBorders>
          </w:tcPr>
          <w:p>
            <w:pPr>
              <w:spacing w:after="0"/>
              <w:rPr>
                <w:sz w:val="4"/>
                <w:szCs w:val="4"/>
                <w:color w:val="auto"/>
              </w:rPr>
            </w:pPr>
          </w:p>
        </w:tc>
        <w:tc>
          <w:tcPr>
            <w:tcW w:w="1300" w:type="dxa"/>
            <w:vAlign w:val="bottom"/>
            <w:tcBorders>
              <w:right w:val="single" w:sz="8" w:color="CCCCCC"/>
            </w:tcBorders>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700" w:type="dxa"/>
            <w:vAlign w:val="bottom"/>
            <w:tcBorders>
              <w:right w:val="single" w:sz="8" w:color="CCCCCC"/>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1080" w:type="dxa"/>
            <w:vAlign w:val="bottom"/>
            <w:tcBorders>
              <w:left w:val="single" w:sz="8" w:color="CCCCCC"/>
            </w:tcBorders>
            <w:gridSpan w:val="2"/>
            <w:vMerge w:val="continue"/>
            <w:shd w:val="clear" w:color="auto" w:fill="E5E5E5"/>
          </w:tcPr>
          <w:p>
            <w:pPr>
              <w:spacing w:after="0"/>
              <w:rPr>
                <w:sz w:val="9"/>
                <w:szCs w:val="9"/>
                <w:color w:val="auto"/>
              </w:rPr>
            </w:pPr>
          </w:p>
        </w:tc>
        <w:tc>
          <w:tcPr>
            <w:tcW w:w="740" w:type="dxa"/>
            <w:vAlign w:val="bottom"/>
            <w:vMerge w:val="continue"/>
            <w:shd w:val="clear" w:color="auto" w:fill="E5E5E5"/>
          </w:tcPr>
          <w:p>
            <w:pPr>
              <w:spacing w:after="0"/>
              <w:rPr>
                <w:sz w:val="9"/>
                <w:szCs w:val="9"/>
                <w:color w:val="auto"/>
              </w:rPr>
            </w:pPr>
          </w:p>
        </w:tc>
        <w:tc>
          <w:tcPr>
            <w:tcW w:w="660" w:type="dxa"/>
            <w:vAlign w:val="bottom"/>
            <w:vMerge w:val="continue"/>
            <w:shd w:val="clear" w:color="auto" w:fill="E5E5E5"/>
          </w:tcPr>
          <w:p>
            <w:pPr>
              <w:spacing w:after="0"/>
              <w:rPr>
                <w:sz w:val="9"/>
                <w:szCs w:val="9"/>
                <w:color w:val="auto"/>
              </w:rPr>
            </w:pPr>
          </w:p>
        </w:tc>
        <w:tc>
          <w:tcPr>
            <w:tcW w:w="300" w:type="dxa"/>
            <w:vAlign w:val="bottom"/>
            <w:vMerge w:val="continue"/>
            <w:shd w:val="clear" w:color="auto" w:fill="E5E5E5"/>
          </w:tcPr>
          <w:p>
            <w:pPr>
              <w:spacing w:after="0"/>
              <w:rPr>
                <w:sz w:val="9"/>
                <w:szCs w:val="9"/>
                <w:color w:val="auto"/>
              </w:rPr>
            </w:pPr>
          </w:p>
        </w:tc>
        <w:tc>
          <w:tcPr>
            <w:tcW w:w="280" w:type="dxa"/>
            <w:vAlign w:val="bottom"/>
            <w:tcBorders>
              <w:right w:val="single" w:sz="8" w:color="CCCCCC"/>
            </w:tcBorders>
            <w:vMerge w:val="continue"/>
            <w:shd w:val="clear" w:color="auto" w:fill="E5E5E5"/>
          </w:tcPr>
          <w:p>
            <w:pPr>
              <w:spacing w:after="0"/>
              <w:rPr>
                <w:sz w:val="9"/>
                <w:szCs w:val="9"/>
                <w:color w:val="auto"/>
              </w:rPr>
            </w:pPr>
          </w:p>
        </w:tc>
        <w:tc>
          <w:tcPr>
            <w:tcW w:w="1300" w:type="dxa"/>
            <w:vAlign w:val="bottom"/>
            <w:tcBorders>
              <w:right w:val="single" w:sz="8" w:color="CCCCCC"/>
            </w:tcBorders>
          </w:tcPr>
          <w:p>
            <w:pPr>
              <w:spacing w:after="0"/>
              <w:rPr>
                <w:sz w:val="9"/>
                <w:szCs w:val="9"/>
                <w:color w:val="auto"/>
              </w:rPr>
            </w:pPr>
          </w:p>
        </w:tc>
        <w:tc>
          <w:tcPr>
            <w:tcW w:w="1300" w:type="dxa"/>
            <w:vAlign w:val="bottom"/>
            <w:tcBorders>
              <w:right w:val="single" w:sz="8" w:color="CCCCCC"/>
            </w:tcBorders>
          </w:tcPr>
          <w:p>
            <w:pPr>
              <w:spacing w:after="0"/>
              <w:rPr>
                <w:sz w:val="9"/>
                <w:szCs w:val="9"/>
                <w:color w:val="auto"/>
              </w:rPr>
            </w:pPr>
          </w:p>
        </w:tc>
        <w:tc>
          <w:tcPr>
            <w:tcW w:w="1320" w:type="dxa"/>
            <w:vAlign w:val="bottom"/>
            <w:tcBorders>
              <w:right w:val="single" w:sz="8" w:color="CCCCCC"/>
            </w:tcBorders>
          </w:tcPr>
          <w:p>
            <w:pPr>
              <w:spacing w:after="0"/>
              <w:rPr>
                <w:sz w:val="9"/>
                <w:szCs w:val="9"/>
                <w:color w:val="auto"/>
              </w:rPr>
            </w:pPr>
          </w:p>
        </w:tc>
        <w:tc>
          <w:tcPr>
            <w:tcW w:w="1300" w:type="dxa"/>
            <w:vAlign w:val="bottom"/>
            <w:tcBorders>
              <w:right w:val="single" w:sz="8" w:color="CCCCCC"/>
            </w:tcBorders>
          </w:tcPr>
          <w:p>
            <w:pPr>
              <w:spacing w:after="0"/>
              <w:rPr>
                <w:sz w:val="9"/>
                <w:szCs w:val="9"/>
                <w:color w:val="auto"/>
              </w:rPr>
            </w:pPr>
          </w:p>
        </w:tc>
        <w:tc>
          <w:tcPr>
            <w:tcW w:w="1300" w:type="dxa"/>
            <w:vAlign w:val="bottom"/>
            <w:tcBorders>
              <w:right w:val="single" w:sz="8" w:color="CCCCCC"/>
            </w:tcBorders>
          </w:tcPr>
          <w:p>
            <w:pPr>
              <w:spacing w:after="0"/>
              <w:rPr>
                <w:sz w:val="9"/>
                <w:szCs w:val="9"/>
                <w:color w:val="auto"/>
              </w:rPr>
            </w:pPr>
          </w:p>
        </w:tc>
        <w:tc>
          <w:tcPr>
            <w:tcW w:w="300" w:type="dxa"/>
            <w:vAlign w:val="bottom"/>
            <w:vMerge w:val="restart"/>
          </w:tcPr>
          <w:p>
            <w:pPr>
              <w:ind w:left="100"/>
              <w:spacing w:after="0" w:line="160" w:lineRule="exact"/>
              <w:rPr>
                <w:sz w:val="20"/>
                <w:szCs w:val="20"/>
                <w:color w:val="auto"/>
              </w:rPr>
            </w:pPr>
            <w:r>
              <w:rPr>
                <w:rFonts w:ascii="Arial" w:cs="Arial" w:eastAsia="Arial" w:hAnsi="Arial"/>
                <w:sz w:val="14"/>
                <w:szCs w:val="14"/>
                <w:color w:val="auto"/>
                <w:w w:val="88"/>
              </w:rPr>
              <w:t>our</w:t>
            </w:r>
          </w:p>
        </w:tc>
        <w:tc>
          <w:tcPr>
            <w:tcW w:w="1000" w:type="dxa"/>
            <w:vAlign w:val="bottom"/>
            <w:tcBorders>
              <w:right w:val="single" w:sz="8" w:color="CCCCCC"/>
            </w:tcBorders>
            <w:gridSpan w:val="2"/>
            <w:vMerge w:val="restart"/>
          </w:tcPr>
          <w:p>
            <w:pPr>
              <w:jc w:val="right"/>
              <w:spacing w:after="0" w:line="160" w:lineRule="exact"/>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53"/>
        </w:trPr>
        <w:tc>
          <w:tcPr>
            <w:tcW w:w="2780" w:type="dxa"/>
            <w:vAlign w:val="bottom"/>
            <w:tcBorders>
              <w:left w:val="single" w:sz="8" w:color="CCCCCC"/>
            </w:tcBorders>
            <w:gridSpan w:val="5"/>
            <w:vMerge w:val="restart"/>
            <w:shd w:val="clear" w:color="auto" w:fill="E5E5E5"/>
          </w:tcPr>
          <w:p>
            <w:pPr>
              <w:ind w:left="240"/>
              <w:spacing w:after="0"/>
              <w:rPr>
                <w:sz w:val="20"/>
                <w:szCs w:val="20"/>
                <w:color w:val="auto"/>
              </w:rPr>
            </w:pPr>
            <w:r>
              <w:rPr>
                <w:rFonts w:ascii="Arial" w:cs="Arial" w:eastAsia="Arial" w:hAnsi="Arial"/>
                <w:sz w:val="14"/>
                <w:szCs w:val="14"/>
                <w:color w:val="auto"/>
              </w:rPr>
              <w:t>resilient in a low oil price environment</w:t>
            </w:r>
          </w:p>
        </w:tc>
        <w:tc>
          <w:tcPr>
            <w:tcW w:w="280" w:type="dxa"/>
            <w:vAlign w:val="bottom"/>
            <w:tcBorders>
              <w:right w:val="single" w:sz="8" w:color="CCCCCC"/>
            </w:tcBorders>
            <w:shd w:val="clear" w:color="auto" w:fill="E5E5E5"/>
          </w:tcPr>
          <w:p>
            <w:pPr>
              <w:spacing w:after="0"/>
              <w:rPr>
                <w:sz w:val="4"/>
                <w:szCs w:val="4"/>
                <w:color w:val="auto"/>
              </w:rPr>
            </w:pPr>
          </w:p>
        </w:tc>
        <w:tc>
          <w:tcPr>
            <w:tcW w:w="1300" w:type="dxa"/>
            <w:vAlign w:val="bottom"/>
            <w:tcBorders>
              <w:right w:val="single" w:sz="8" w:color="CCCCCC"/>
            </w:tcBorders>
          </w:tcPr>
          <w:p>
            <w:pPr>
              <w:spacing w:after="0"/>
              <w:rPr>
                <w:sz w:val="4"/>
                <w:szCs w:val="4"/>
                <w:color w:val="auto"/>
              </w:rPr>
            </w:pPr>
          </w:p>
        </w:tc>
        <w:tc>
          <w:tcPr>
            <w:tcW w:w="1300" w:type="dxa"/>
            <w:vAlign w:val="bottom"/>
            <w:tcBorders>
              <w:right w:val="single" w:sz="8" w:color="CCCCCC"/>
            </w:tcBorders>
          </w:tcPr>
          <w:p>
            <w:pPr>
              <w:spacing w:after="0"/>
              <w:rPr>
                <w:sz w:val="4"/>
                <w:szCs w:val="4"/>
                <w:color w:val="auto"/>
              </w:rPr>
            </w:pPr>
          </w:p>
        </w:tc>
        <w:tc>
          <w:tcPr>
            <w:tcW w:w="1320" w:type="dxa"/>
            <w:vAlign w:val="bottom"/>
            <w:tcBorders>
              <w:right w:val="single" w:sz="8" w:color="CCCCCC"/>
            </w:tcBorders>
          </w:tcPr>
          <w:p>
            <w:pPr>
              <w:spacing w:after="0"/>
              <w:rPr>
                <w:sz w:val="4"/>
                <w:szCs w:val="4"/>
                <w:color w:val="auto"/>
              </w:rPr>
            </w:pPr>
          </w:p>
        </w:tc>
        <w:tc>
          <w:tcPr>
            <w:tcW w:w="1300" w:type="dxa"/>
            <w:vAlign w:val="bottom"/>
            <w:tcBorders>
              <w:right w:val="single" w:sz="8" w:color="CCCCCC"/>
            </w:tcBorders>
          </w:tcPr>
          <w:p>
            <w:pPr>
              <w:spacing w:after="0"/>
              <w:rPr>
                <w:sz w:val="4"/>
                <w:szCs w:val="4"/>
                <w:color w:val="auto"/>
              </w:rPr>
            </w:pPr>
          </w:p>
        </w:tc>
        <w:tc>
          <w:tcPr>
            <w:tcW w:w="1300" w:type="dxa"/>
            <w:vAlign w:val="bottom"/>
            <w:tcBorders>
              <w:right w:val="single" w:sz="8" w:color="CCCCCC"/>
            </w:tcBorders>
          </w:tcPr>
          <w:p>
            <w:pPr>
              <w:spacing w:after="0"/>
              <w:rPr>
                <w:sz w:val="4"/>
                <w:szCs w:val="4"/>
                <w:color w:val="auto"/>
              </w:rPr>
            </w:pPr>
          </w:p>
        </w:tc>
        <w:tc>
          <w:tcPr>
            <w:tcW w:w="300" w:type="dxa"/>
            <w:vAlign w:val="bottom"/>
            <w:vMerge w:val="continue"/>
          </w:tcPr>
          <w:p>
            <w:pPr>
              <w:spacing w:after="0"/>
              <w:rPr>
                <w:sz w:val="4"/>
                <w:szCs w:val="4"/>
                <w:color w:val="auto"/>
              </w:rPr>
            </w:pPr>
          </w:p>
        </w:tc>
        <w:tc>
          <w:tcPr>
            <w:tcW w:w="1000" w:type="dxa"/>
            <w:vAlign w:val="bottom"/>
            <w:tcBorders>
              <w:right w:val="single" w:sz="8" w:color="CCCCCC"/>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2780" w:type="dxa"/>
            <w:vAlign w:val="bottom"/>
            <w:tcBorders>
              <w:left w:val="single" w:sz="8" w:color="CCCCCC"/>
            </w:tcBorders>
            <w:gridSpan w:val="5"/>
            <w:vMerge w:val="continue"/>
            <w:shd w:val="clear" w:color="auto" w:fill="E5E5E5"/>
          </w:tcPr>
          <w:p>
            <w:pPr>
              <w:spacing w:after="0"/>
              <w:rPr>
                <w:sz w:val="10"/>
                <w:szCs w:val="10"/>
                <w:color w:val="auto"/>
              </w:rPr>
            </w:pPr>
          </w:p>
        </w:tc>
        <w:tc>
          <w:tcPr>
            <w:tcW w:w="280" w:type="dxa"/>
            <w:vAlign w:val="bottom"/>
            <w:tcBorders>
              <w:right w:val="single" w:sz="8" w:color="CCCCCC"/>
            </w:tcBorders>
            <w:shd w:val="clear" w:color="auto" w:fill="E5E5E5"/>
          </w:tcPr>
          <w:p>
            <w:pPr>
              <w:spacing w:after="0"/>
              <w:rPr>
                <w:sz w:val="10"/>
                <w:szCs w:val="10"/>
                <w:color w:val="auto"/>
              </w:rPr>
            </w:pPr>
          </w:p>
        </w:tc>
        <w:tc>
          <w:tcPr>
            <w:tcW w:w="1300" w:type="dxa"/>
            <w:vAlign w:val="bottom"/>
            <w:tcBorders>
              <w:right w:val="single" w:sz="8" w:color="CCCCCC"/>
            </w:tcBorders>
          </w:tcPr>
          <w:p>
            <w:pPr>
              <w:spacing w:after="0"/>
              <w:rPr>
                <w:sz w:val="10"/>
                <w:szCs w:val="10"/>
                <w:color w:val="auto"/>
              </w:rPr>
            </w:pPr>
          </w:p>
        </w:tc>
        <w:tc>
          <w:tcPr>
            <w:tcW w:w="1300" w:type="dxa"/>
            <w:vAlign w:val="bottom"/>
            <w:tcBorders>
              <w:right w:val="single" w:sz="8" w:color="CCCCCC"/>
            </w:tcBorders>
          </w:tcPr>
          <w:p>
            <w:pPr>
              <w:spacing w:after="0"/>
              <w:rPr>
                <w:sz w:val="10"/>
                <w:szCs w:val="10"/>
                <w:color w:val="auto"/>
              </w:rPr>
            </w:pPr>
          </w:p>
        </w:tc>
        <w:tc>
          <w:tcPr>
            <w:tcW w:w="1320" w:type="dxa"/>
            <w:vAlign w:val="bottom"/>
            <w:tcBorders>
              <w:right w:val="single" w:sz="8" w:color="CCCCCC"/>
            </w:tcBorders>
          </w:tcPr>
          <w:p>
            <w:pPr>
              <w:spacing w:after="0"/>
              <w:rPr>
                <w:sz w:val="10"/>
                <w:szCs w:val="10"/>
                <w:color w:val="auto"/>
              </w:rPr>
            </w:pPr>
          </w:p>
        </w:tc>
        <w:tc>
          <w:tcPr>
            <w:tcW w:w="1300" w:type="dxa"/>
            <w:vAlign w:val="bottom"/>
            <w:tcBorders>
              <w:right w:val="single" w:sz="8" w:color="CCCCCC"/>
            </w:tcBorders>
          </w:tcPr>
          <w:p>
            <w:pPr>
              <w:spacing w:after="0"/>
              <w:rPr>
                <w:sz w:val="10"/>
                <w:szCs w:val="10"/>
                <w:color w:val="auto"/>
              </w:rPr>
            </w:pPr>
          </w:p>
        </w:tc>
        <w:tc>
          <w:tcPr>
            <w:tcW w:w="1300" w:type="dxa"/>
            <w:vAlign w:val="bottom"/>
            <w:tcBorders>
              <w:right w:val="single" w:sz="8" w:color="CCCCCC"/>
            </w:tcBorders>
          </w:tcPr>
          <w:p>
            <w:pPr>
              <w:spacing w:after="0"/>
              <w:rPr>
                <w:sz w:val="10"/>
                <w:szCs w:val="10"/>
                <w:color w:val="auto"/>
              </w:rPr>
            </w:pPr>
          </w:p>
        </w:tc>
        <w:tc>
          <w:tcPr>
            <w:tcW w:w="1300" w:type="dxa"/>
            <w:vAlign w:val="bottom"/>
            <w:tcBorders>
              <w:right w:val="single" w:sz="8" w:color="CCCCCC"/>
            </w:tcBorders>
            <w:gridSpan w:val="3"/>
            <w:vMerge w:val="restart"/>
          </w:tcPr>
          <w:p>
            <w:pPr>
              <w:ind w:left="100"/>
              <w:spacing w:after="0" w:line="160" w:lineRule="exact"/>
              <w:rPr>
                <w:sz w:val="20"/>
                <w:szCs w:val="20"/>
                <w:color w:val="auto"/>
              </w:rPr>
            </w:pPr>
            <w:r>
              <w:rPr>
                <w:rFonts w:ascii="Arial" w:cs="Arial" w:eastAsia="Arial" w:hAnsi="Arial"/>
                <w:sz w:val="14"/>
                <w:szCs w:val="14"/>
                <w:color w:val="auto"/>
              </w:rPr>
              <w:t>and help position</w:t>
            </w:r>
          </w:p>
        </w:tc>
        <w:tc>
          <w:tcPr>
            <w:tcW w:w="0" w:type="dxa"/>
            <w:vAlign w:val="bottom"/>
          </w:tcPr>
          <w:p>
            <w:pPr>
              <w:spacing w:after="0"/>
              <w:rPr>
                <w:sz w:val="1"/>
                <w:szCs w:val="1"/>
                <w:color w:val="auto"/>
              </w:rPr>
            </w:pPr>
          </w:p>
        </w:tc>
      </w:tr>
      <w:tr>
        <w:trPr>
          <w:trHeight w:val="43"/>
        </w:trPr>
        <w:tc>
          <w:tcPr>
            <w:tcW w:w="800" w:type="dxa"/>
            <w:vAlign w:val="bottom"/>
            <w:tcBorders>
              <w:left w:val="single" w:sz="8" w:color="CCCCCC"/>
            </w:tcBorders>
            <w:shd w:val="clear" w:color="auto" w:fill="E5E5E5"/>
          </w:tcPr>
          <w:p>
            <w:pPr>
              <w:spacing w:after="0"/>
              <w:rPr>
                <w:sz w:val="3"/>
                <w:szCs w:val="3"/>
                <w:color w:val="auto"/>
              </w:rPr>
            </w:pPr>
          </w:p>
        </w:tc>
        <w:tc>
          <w:tcPr>
            <w:tcW w:w="280" w:type="dxa"/>
            <w:vAlign w:val="bottom"/>
            <w:shd w:val="clear" w:color="auto" w:fill="E5E5E5"/>
          </w:tcPr>
          <w:p>
            <w:pPr>
              <w:spacing w:after="0"/>
              <w:rPr>
                <w:sz w:val="3"/>
                <w:szCs w:val="3"/>
                <w:color w:val="auto"/>
              </w:rPr>
            </w:pPr>
          </w:p>
        </w:tc>
        <w:tc>
          <w:tcPr>
            <w:tcW w:w="740" w:type="dxa"/>
            <w:vAlign w:val="bottom"/>
            <w:shd w:val="clear" w:color="auto" w:fill="E5E5E5"/>
          </w:tcPr>
          <w:p>
            <w:pPr>
              <w:spacing w:after="0"/>
              <w:rPr>
                <w:sz w:val="3"/>
                <w:szCs w:val="3"/>
                <w:color w:val="auto"/>
              </w:rPr>
            </w:pPr>
          </w:p>
        </w:tc>
        <w:tc>
          <w:tcPr>
            <w:tcW w:w="660" w:type="dxa"/>
            <w:vAlign w:val="bottom"/>
            <w:shd w:val="clear" w:color="auto" w:fill="E5E5E5"/>
          </w:tcPr>
          <w:p>
            <w:pPr>
              <w:spacing w:after="0"/>
              <w:rPr>
                <w:sz w:val="3"/>
                <w:szCs w:val="3"/>
                <w:color w:val="auto"/>
              </w:rPr>
            </w:pPr>
          </w:p>
        </w:tc>
        <w:tc>
          <w:tcPr>
            <w:tcW w:w="300" w:type="dxa"/>
            <w:vAlign w:val="bottom"/>
            <w:shd w:val="clear" w:color="auto" w:fill="E5E5E5"/>
          </w:tcPr>
          <w:p>
            <w:pPr>
              <w:spacing w:after="0"/>
              <w:rPr>
                <w:sz w:val="3"/>
                <w:szCs w:val="3"/>
                <w:color w:val="auto"/>
              </w:rPr>
            </w:pPr>
          </w:p>
        </w:tc>
        <w:tc>
          <w:tcPr>
            <w:tcW w:w="280" w:type="dxa"/>
            <w:vAlign w:val="bottom"/>
            <w:tcBorders>
              <w:right w:val="single" w:sz="8" w:color="CCCCCC"/>
            </w:tcBorders>
            <w:shd w:val="clear" w:color="auto" w:fill="E5E5E5"/>
          </w:tcPr>
          <w:p>
            <w:pPr>
              <w:spacing w:after="0"/>
              <w:rPr>
                <w:sz w:val="3"/>
                <w:szCs w:val="3"/>
                <w:color w:val="auto"/>
              </w:rPr>
            </w:pPr>
          </w:p>
        </w:tc>
        <w:tc>
          <w:tcPr>
            <w:tcW w:w="1300" w:type="dxa"/>
            <w:vAlign w:val="bottom"/>
            <w:tcBorders>
              <w:right w:val="single" w:sz="8" w:color="CCCCCC"/>
            </w:tcBorders>
          </w:tcPr>
          <w:p>
            <w:pPr>
              <w:spacing w:after="0"/>
              <w:rPr>
                <w:sz w:val="3"/>
                <w:szCs w:val="3"/>
                <w:color w:val="auto"/>
              </w:rPr>
            </w:pPr>
          </w:p>
        </w:tc>
        <w:tc>
          <w:tcPr>
            <w:tcW w:w="1300" w:type="dxa"/>
            <w:vAlign w:val="bottom"/>
            <w:tcBorders>
              <w:right w:val="single" w:sz="8" w:color="CCCCCC"/>
            </w:tcBorders>
          </w:tcPr>
          <w:p>
            <w:pPr>
              <w:spacing w:after="0"/>
              <w:rPr>
                <w:sz w:val="3"/>
                <w:szCs w:val="3"/>
                <w:color w:val="auto"/>
              </w:rPr>
            </w:pPr>
          </w:p>
        </w:tc>
        <w:tc>
          <w:tcPr>
            <w:tcW w:w="1320" w:type="dxa"/>
            <w:vAlign w:val="bottom"/>
            <w:tcBorders>
              <w:right w:val="single" w:sz="8" w:color="CCCCCC"/>
            </w:tcBorders>
          </w:tcPr>
          <w:p>
            <w:pPr>
              <w:spacing w:after="0"/>
              <w:rPr>
                <w:sz w:val="3"/>
                <w:szCs w:val="3"/>
                <w:color w:val="auto"/>
              </w:rPr>
            </w:pPr>
          </w:p>
        </w:tc>
        <w:tc>
          <w:tcPr>
            <w:tcW w:w="1300" w:type="dxa"/>
            <w:vAlign w:val="bottom"/>
            <w:tcBorders>
              <w:right w:val="single" w:sz="8" w:color="CCCCCC"/>
            </w:tcBorders>
          </w:tcPr>
          <w:p>
            <w:pPr>
              <w:spacing w:after="0"/>
              <w:rPr>
                <w:sz w:val="3"/>
                <w:szCs w:val="3"/>
                <w:color w:val="auto"/>
              </w:rPr>
            </w:pPr>
          </w:p>
        </w:tc>
        <w:tc>
          <w:tcPr>
            <w:tcW w:w="1300" w:type="dxa"/>
            <w:vAlign w:val="bottom"/>
            <w:tcBorders>
              <w:right w:val="single" w:sz="8" w:color="CCCCCC"/>
            </w:tcBorders>
          </w:tcPr>
          <w:p>
            <w:pPr>
              <w:spacing w:after="0"/>
              <w:rPr>
                <w:sz w:val="3"/>
                <w:szCs w:val="3"/>
                <w:color w:val="auto"/>
              </w:rPr>
            </w:pPr>
          </w:p>
        </w:tc>
        <w:tc>
          <w:tcPr>
            <w:tcW w:w="1300" w:type="dxa"/>
            <w:vAlign w:val="bottom"/>
            <w:tcBorders>
              <w:right w:val="single" w:sz="8" w:color="CCCCC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800" w:type="dxa"/>
            <w:vAlign w:val="bottom"/>
            <w:tcBorders>
              <w:left w:val="single" w:sz="8" w:color="CCCCCC"/>
              <w:bottom w:val="single" w:sz="8" w:color="CCCCCC"/>
            </w:tcBorders>
            <w:shd w:val="clear" w:color="auto" w:fill="E5E5E5"/>
          </w:tcPr>
          <w:p>
            <w:pPr>
              <w:spacing w:after="0"/>
              <w:rPr>
                <w:sz w:val="6"/>
                <w:szCs w:val="6"/>
                <w:color w:val="auto"/>
              </w:rPr>
            </w:pPr>
          </w:p>
        </w:tc>
        <w:tc>
          <w:tcPr>
            <w:tcW w:w="280" w:type="dxa"/>
            <w:vAlign w:val="bottom"/>
            <w:tcBorders>
              <w:bottom w:val="single" w:sz="8" w:color="CCCCCC"/>
            </w:tcBorders>
            <w:shd w:val="clear" w:color="auto" w:fill="E5E5E5"/>
          </w:tcPr>
          <w:p>
            <w:pPr>
              <w:spacing w:after="0"/>
              <w:rPr>
                <w:sz w:val="6"/>
                <w:szCs w:val="6"/>
                <w:color w:val="auto"/>
              </w:rPr>
            </w:pPr>
          </w:p>
        </w:tc>
        <w:tc>
          <w:tcPr>
            <w:tcW w:w="740" w:type="dxa"/>
            <w:vAlign w:val="bottom"/>
            <w:tcBorders>
              <w:bottom w:val="single" w:sz="8" w:color="CCCCCC"/>
            </w:tcBorders>
            <w:shd w:val="clear" w:color="auto" w:fill="E5E5E5"/>
          </w:tcPr>
          <w:p>
            <w:pPr>
              <w:spacing w:after="0"/>
              <w:rPr>
                <w:sz w:val="6"/>
                <w:szCs w:val="6"/>
                <w:color w:val="auto"/>
              </w:rPr>
            </w:pPr>
          </w:p>
        </w:tc>
        <w:tc>
          <w:tcPr>
            <w:tcW w:w="660" w:type="dxa"/>
            <w:vAlign w:val="bottom"/>
            <w:tcBorders>
              <w:bottom w:val="single" w:sz="8" w:color="CCCCCC"/>
            </w:tcBorders>
            <w:shd w:val="clear" w:color="auto" w:fill="E5E5E5"/>
          </w:tcPr>
          <w:p>
            <w:pPr>
              <w:spacing w:after="0"/>
              <w:rPr>
                <w:sz w:val="6"/>
                <w:szCs w:val="6"/>
                <w:color w:val="auto"/>
              </w:rPr>
            </w:pPr>
          </w:p>
        </w:tc>
        <w:tc>
          <w:tcPr>
            <w:tcW w:w="300" w:type="dxa"/>
            <w:vAlign w:val="bottom"/>
            <w:tcBorders>
              <w:bottom w:val="single" w:sz="8" w:color="CCCCCC"/>
            </w:tcBorders>
            <w:shd w:val="clear" w:color="auto" w:fill="E5E5E5"/>
          </w:tcPr>
          <w:p>
            <w:pPr>
              <w:spacing w:after="0"/>
              <w:rPr>
                <w:sz w:val="6"/>
                <w:szCs w:val="6"/>
                <w:color w:val="auto"/>
              </w:rPr>
            </w:pPr>
          </w:p>
        </w:tc>
        <w:tc>
          <w:tcPr>
            <w:tcW w:w="280" w:type="dxa"/>
            <w:vAlign w:val="bottom"/>
            <w:tcBorders>
              <w:bottom w:val="single" w:sz="8" w:color="CCCCCC"/>
              <w:right w:val="single" w:sz="8" w:color="CCCCCC"/>
            </w:tcBorders>
            <w:shd w:val="clear" w:color="auto" w:fill="E5E5E5"/>
          </w:tcPr>
          <w:p>
            <w:pPr>
              <w:spacing w:after="0"/>
              <w:rPr>
                <w:sz w:val="6"/>
                <w:szCs w:val="6"/>
                <w:color w:val="auto"/>
              </w:rPr>
            </w:pPr>
          </w:p>
        </w:tc>
        <w:tc>
          <w:tcPr>
            <w:tcW w:w="1300" w:type="dxa"/>
            <w:vAlign w:val="bottom"/>
            <w:tcBorders>
              <w:bottom w:val="single" w:sz="8" w:color="CCCCCC"/>
              <w:right w:val="single" w:sz="8" w:color="CCCCCC"/>
            </w:tcBorders>
          </w:tcPr>
          <w:p>
            <w:pPr>
              <w:spacing w:after="0"/>
              <w:rPr>
                <w:sz w:val="6"/>
                <w:szCs w:val="6"/>
                <w:color w:val="auto"/>
              </w:rPr>
            </w:pPr>
          </w:p>
        </w:tc>
        <w:tc>
          <w:tcPr>
            <w:tcW w:w="1300" w:type="dxa"/>
            <w:vAlign w:val="bottom"/>
            <w:tcBorders>
              <w:bottom w:val="single" w:sz="8" w:color="CCCCCC"/>
              <w:right w:val="single" w:sz="8" w:color="CCCCCC"/>
            </w:tcBorders>
          </w:tcPr>
          <w:p>
            <w:pPr>
              <w:spacing w:after="0"/>
              <w:rPr>
                <w:sz w:val="6"/>
                <w:szCs w:val="6"/>
                <w:color w:val="auto"/>
              </w:rPr>
            </w:pPr>
          </w:p>
        </w:tc>
        <w:tc>
          <w:tcPr>
            <w:tcW w:w="1320" w:type="dxa"/>
            <w:vAlign w:val="bottom"/>
            <w:tcBorders>
              <w:bottom w:val="single" w:sz="8" w:color="CCCCCC"/>
              <w:right w:val="single" w:sz="8" w:color="CCCCCC"/>
            </w:tcBorders>
          </w:tcPr>
          <w:p>
            <w:pPr>
              <w:spacing w:after="0"/>
              <w:rPr>
                <w:sz w:val="6"/>
                <w:szCs w:val="6"/>
                <w:color w:val="auto"/>
              </w:rPr>
            </w:pPr>
          </w:p>
        </w:tc>
        <w:tc>
          <w:tcPr>
            <w:tcW w:w="1300" w:type="dxa"/>
            <w:vAlign w:val="bottom"/>
            <w:tcBorders>
              <w:bottom w:val="single" w:sz="8" w:color="CCCCCC"/>
              <w:right w:val="single" w:sz="8" w:color="CCCCCC"/>
            </w:tcBorders>
          </w:tcPr>
          <w:p>
            <w:pPr>
              <w:spacing w:after="0"/>
              <w:rPr>
                <w:sz w:val="6"/>
                <w:szCs w:val="6"/>
                <w:color w:val="auto"/>
              </w:rPr>
            </w:pPr>
          </w:p>
        </w:tc>
        <w:tc>
          <w:tcPr>
            <w:tcW w:w="1300" w:type="dxa"/>
            <w:vAlign w:val="bottom"/>
            <w:tcBorders>
              <w:bottom w:val="single" w:sz="8" w:color="CCCCCC"/>
              <w:right w:val="single" w:sz="8" w:color="CCCCCC"/>
            </w:tcBorders>
          </w:tcPr>
          <w:p>
            <w:pPr>
              <w:spacing w:after="0"/>
              <w:rPr>
                <w:sz w:val="6"/>
                <w:szCs w:val="6"/>
                <w:color w:val="auto"/>
              </w:rPr>
            </w:pPr>
          </w:p>
        </w:tc>
        <w:tc>
          <w:tcPr>
            <w:tcW w:w="1300" w:type="dxa"/>
            <w:vAlign w:val="bottom"/>
            <w:tcBorders>
              <w:right w:val="single" w:sz="8" w:color="CCCCCC"/>
            </w:tcBorders>
            <w:gridSpan w:val="3"/>
            <w:vMerge w:val="restart"/>
          </w:tcPr>
          <w:p>
            <w:pPr>
              <w:ind w:left="100"/>
              <w:spacing w:after="0" w:line="160" w:lineRule="exact"/>
              <w:rPr>
                <w:sz w:val="20"/>
                <w:szCs w:val="20"/>
                <w:color w:val="auto"/>
              </w:rPr>
            </w:pPr>
            <w:r>
              <w:rPr>
                <w:rFonts w:ascii="Arial" w:cs="Arial" w:eastAsia="Arial" w:hAnsi="Arial"/>
                <w:sz w:val="14"/>
                <w:szCs w:val="14"/>
                <w:color w:val="auto"/>
              </w:rPr>
              <w:t>us to continuously</w:t>
            </w:r>
          </w:p>
        </w:tc>
        <w:tc>
          <w:tcPr>
            <w:tcW w:w="0" w:type="dxa"/>
            <w:vAlign w:val="bottom"/>
          </w:tcPr>
          <w:p>
            <w:pPr>
              <w:spacing w:after="0"/>
              <w:rPr>
                <w:sz w:val="1"/>
                <w:szCs w:val="1"/>
                <w:color w:val="auto"/>
              </w:rPr>
            </w:pPr>
          </w:p>
        </w:tc>
      </w:tr>
      <w:tr>
        <w:trPr>
          <w:trHeight w:val="65"/>
        </w:trPr>
        <w:tc>
          <w:tcPr>
            <w:tcW w:w="800" w:type="dxa"/>
            <w:vAlign w:val="bottom"/>
            <w:tcBorders>
              <w:left w:val="single" w:sz="8" w:color="CCCCCC"/>
            </w:tcBorders>
            <w:vMerge w:val="restart"/>
            <w:shd w:val="clear" w:color="auto" w:fill="E5E5E5"/>
          </w:tcPr>
          <w:p>
            <w:pPr>
              <w:ind w:left="240"/>
              <w:spacing w:after="0" w:line="158" w:lineRule="exact"/>
              <w:rPr>
                <w:sz w:val="20"/>
                <w:szCs w:val="20"/>
                <w:color w:val="auto"/>
              </w:rPr>
            </w:pPr>
            <w:r>
              <w:rPr>
                <w:rFonts w:ascii="Arial" w:cs="Arial" w:eastAsia="Arial" w:hAnsi="Arial"/>
                <w:sz w:val="14"/>
                <w:szCs w:val="14"/>
                <w:color w:val="auto"/>
              </w:rPr>
              <w:t>Be cash</w:t>
            </w:r>
          </w:p>
        </w:tc>
        <w:tc>
          <w:tcPr>
            <w:tcW w:w="1020" w:type="dxa"/>
            <w:vAlign w:val="bottom"/>
            <w:gridSpan w:val="2"/>
            <w:vMerge w:val="restart"/>
            <w:shd w:val="clear" w:color="auto" w:fill="E5E5E5"/>
          </w:tcPr>
          <w:p>
            <w:pPr>
              <w:jc w:val="center"/>
              <w:spacing w:after="0" w:line="158" w:lineRule="exact"/>
              <w:rPr>
                <w:sz w:val="20"/>
                <w:szCs w:val="20"/>
                <w:color w:val="auto"/>
              </w:rPr>
            </w:pPr>
            <w:r>
              <w:rPr>
                <w:rFonts w:ascii="Arial" w:cs="Arial" w:eastAsia="Arial" w:hAnsi="Arial"/>
                <w:sz w:val="14"/>
                <w:szCs w:val="14"/>
                <w:color w:val="auto"/>
              </w:rPr>
              <w:t>generative at</w:t>
            </w:r>
          </w:p>
        </w:tc>
        <w:tc>
          <w:tcPr>
            <w:tcW w:w="1240" w:type="dxa"/>
            <w:vAlign w:val="bottom"/>
            <w:tcBorders>
              <w:right w:val="single" w:sz="8" w:color="CCCCCC"/>
            </w:tcBorders>
            <w:gridSpan w:val="3"/>
            <w:vMerge w:val="restart"/>
            <w:shd w:val="clear" w:color="auto" w:fill="E5E5E5"/>
          </w:tcPr>
          <w:p>
            <w:pPr>
              <w:spacing w:after="0" w:line="158" w:lineRule="exact"/>
              <w:rPr>
                <w:sz w:val="20"/>
                <w:szCs w:val="20"/>
                <w:color w:val="auto"/>
              </w:rPr>
            </w:pPr>
            <w:r>
              <w:rPr>
                <w:rFonts w:ascii="Arial" w:cs="Arial" w:eastAsia="Arial" w:hAnsi="Arial"/>
                <w:sz w:val="14"/>
                <w:szCs w:val="14"/>
                <w:color w:val="auto"/>
              </w:rPr>
              <w:t>a  $50 per barrel</w:t>
            </w:r>
          </w:p>
        </w:tc>
        <w:tc>
          <w:tcPr>
            <w:tcW w:w="1300" w:type="dxa"/>
            <w:vAlign w:val="bottom"/>
            <w:tcBorders>
              <w:right w:val="single" w:sz="8" w:color="CCCCCC"/>
            </w:tcBorders>
          </w:tcPr>
          <w:p>
            <w:pPr>
              <w:spacing w:after="0"/>
              <w:rPr>
                <w:sz w:val="5"/>
                <w:szCs w:val="5"/>
                <w:color w:val="auto"/>
              </w:rPr>
            </w:pPr>
          </w:p>
        </w:tc>
        <w:tc>
          <w:tcPr>
            <w:tcW w:w="1300" w:type="dxa"/>
            <w:vAlign w:val="bottom"/>
            <w:tcBorders>
              <w:right w:val="single" w:sz="8" w:color="CCCCCC"/>
            </w:tcBorders>
          </w:tcPr>
          <w:p>
            <w:pPr>
              <w:spacing w:after="0"/>
              <w:rPr>
                <w:sz w:val="5"/>
                <w:szCs w:val="5"/>
                <w:color w:val="auto"/>
              </w:rPr>
            </w:pPr>
          </w:p>
        </w:tc>
        <w:tc>
          <w:tcPr>
            <w:tcW w:w="1320" w:type="dxa"/>
            <w:vAlign w:val="bottom"/>
            <w:tcBorders>
              <w:right w:val="single" w:sz="8" w:color="CCCCCC"/>
            </w:tcBorders>
          </w:tcPr>
          <w:p>
            <w:pPr>
              <w:spacing w:after="0"/>
              <w:rPr>
                <w:sz w:val="5"/>
                <w:szCs w:val="5"/>
                <w:color w:val="auto"/>
              </w:rPr>
            </w:pPr>
          </w:p>
        </w:tc>
        <w:tc>
          <w:tcPr>
            <w:tcW w:w="1300" w:type="dxa"/>
            <w:vAlign w:val="bottom"/>
            <w:tcBorders>
              <w:right w:val="single" w:sz="8" w:color="CCCCCC"/>
            </w:tcBorders>
          </w:tcPr>
          <w:p>
            <w:pPr>
              <w:spacing w:after="0"/>
              <w:rPr>
                <w:sz w:val="5"/>
                <w:szCs w:val="5"/>
                <w:color w:val="auto"/>
              </w:rPr>
            </w:pPr>
          </w:p>
        </w:tc>
        <w:tc>
          <w:tcPr>
            <w:tcW w:w="1300" w:type="dxa"/>
            <w:vAlign w:val="bottom"/>
            <w:tcBorders>
              <w:right w:val="single" w:sz="8" w:color="CCCCCC"/>
            </w:tcBorders>
          </w:tcPr>
          <w:p>
            <w:pPr>
              <w:spacing w:after="0"/>
              <w:rPr>
                <w:sz w:val="5"/>
                <w:szCs w:val="5"/>
                <w:color w:val="auto"/>
              </w:rPr>
            </w:pPr>
          </w:p>
        </w:tc>
        <w:tc>
          <w:tcPr>
            <w:tcW w:w="1300" w:type="dxa"/>
            <w:vAlign w:val="bottom"/>
            <w:tcBorders>
              <w:right w:val="single" w:sz="8" w:color="CCCCC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800" w:type="dxa"/>
            <w:vAlign w:val="bottom"/>
            <w:tcBorders>
              <w:left w:val="single" w:sz="8" w:color="CCCCCC"/>
            </w:tcBorders>
            <w:vMerge w:val="continue"/>
            <w:shd w:val="clear" w:color="auto" w:fill="E5E5E5"/>
          </w:tcPr>
          <w:p>
            <w:pPr>
              <w:spacing w:after="0"/>
              <w:rPr>
                <w:sz w:val="8"/>
                <w:szCs w:val="8"/>
                <w:color w:val="auto"/>
              </w:rPr>
            </w:pPr>
          </w:p>
        </w:tc>
        <w:tc>
          <w:tcPr>
            <w:tcW w:w="1020" w:type="dxa"/>
            <w:vAlign w:val="bottom"/>
            <w:gridSpan w:val="2"/>
            <w:vMerge w:val="continue"/>
            <w:shd w:val="clear" w:color="auto" w:fill="E5E5E5"/>
          </w:tcPr>
          <w:p>
            <w:pPr>
              <w:spacing w:after="0"/>
              <w:rPr>
                <w:sz w:val="8"/>
                <w:szCs w:val="8"/>
                <w:color w:val="auto"/>
              </w:rPr>
            </w:pPr>
          </w:p>
        </w:tc>
        <w:tc>
          <w:tcPr>
            <w:tcW w:w="1240" w:type="dxa"/>
            <w:vAlign w:val="bottom"/>
            <w:tcBorders>
              <w:right w:val="single" w:sz="8" w:color="CCCCCC"/>
            </w:tcBorders>
            <w:gridSpan w:val="3"/>
            <w:vMerge w:val="continue"/>
            <w:shd w:val="clear" w:color="auto" w:fill="E5E5E5"/>
          </w:tcPr>
          <w:p>
            <w:pPr>
              <w:spacing w:after="0"/>
              <w:rPr>
                <w:sz w:val="8"/>
                <w:szCs w:val="8"/>
                <w:color w:val="auto"/>
              </w:rPr>
            </w:pPr>
          </w:p>
        </w:tc>
        <w:tc>
          <w:tcPr>
            <w:tcW w:w="1300" w:type="dxa"/>
            <w:vAlign w:val="bottom"/>
            <w:tcBorders>
              <w:right w:val="single" w:sz="8" w:color="CCCCCC"/>
            </w:tcBorders>
          </w:tcPr>
          <w:p>
            <w:pPr>
              <w:spacing w:after="0"/>
              <w:rPr>
                <w:sz w:val="8"/>
                <w:szCs w:val="8"/>
                <w:color w:val="auto"/>
              </w:rPr>
            </w:pPr>
          </w:p>
        </w:tc>
        <w:tc>
          <w:tcPr>
            <w:tcW w:w="1300" w:type="dxa"/>
            <w:vAlign w:val="bottom"/>
            <w:tcBorders>
              <w:right w:val="single" w:sz="8" w:color="CCCCCC"/>
            </w:tcBorders>
          </w:tcPr>
          <w:p>
            <w:pPr>
              <w:spacing w:after="0"/>
              <w:rPr>
                <w:sz w:val="8"/>
                <w:szCs w:val="8"/>
                <w:color w:val="auto"/>
              </w:rPr>
            </w:pPr>
          </w:p>
        </w:tc>
        <w:tc>
          <w:tcPr>
            <w:tcW w:w="1320" w:type="dxa"/>
            <w:vAlign w:val="bottom"/>
            <w:tcBorders>
              <w:right w:val="single" w:sz="8" w:color="CCCCCC"/>
            </w:tcBorders>
          </w:tcPr>
          <w:p>
            <w:pPr>
              <w:spacing w:after="0"/>
              <w:rPr>
                <w:sz w:val="8"/>
                <w:szCs w:val="8"/>
                <w:color w:val="auto"/>
              </w:rPr>
            </w:pPr>
          </w:p>
        </w:tc>
        <w:tc>
          <w:tcPr>
            <w:tcW w:w="1300" w:type="dxa"/>
            <w:vAlign w:val="bottom"/>
            <w:tcBorders>
              <w:right w:val="single" w:sz="8" w:color="CCCCCC"/>
            </w:tcBorders>
          </w:tcPr>
          <w:p>
            <w:pPr>
              <w:spacing w:after="0"/>
              <w:rPr>
                <w:sz w:val="8"/>
                <w:szCs w:val="8"/>
                <w:color w:val="auto"/>
              </w:rPr>
            </w:pPr>
          </w:p>
        </w:tc>
        <w:tc>
          <w:tcPr>
            <w:tcW w:w="1300" w:type="dxa"/>
            <w:vAlign w:val="bottom"/>
            <w:tcBorders>
              <w:right w:val="single" w:sz="8" w:color="CCCCCC"/>
            </w:tcBorders>
          </w:tcPr>
          <w:p>
            <w:pPr>
              <w:spacing w:after="0"/>
              <w:rPr>
                <w:sz w:val="8"/>
                <w:szCs w:val="8"/>
                <w:color w:val="auto"/>
              </w:rPr>
            </w:pPr>
          </w:p>
        </w:tc>
        <w:tc>
          <w:tcPr>
            <w:tcW w:w="600" w:type="dxa"/>
            <w:vAlign w:val="bottom"/>
            <w:gridSpan w:val="2"/>
            <w:vMerge w:val="restart"/>
          </w:tcPr>
          <w:p>
            <w:pPr>
              <w:ind w:left="100"/>
              <w:spacing w:after="0" w:line="160" w:lineRule="exact"/>
              <w:rPr>
                <w:sz w:val="20"/>
                <w:szCs w:val="20"/>
                <w:color w:val="auto"/>
              </w:rPr>
            </w:pPr>
            <w:r>
              <w:rPr>
                <w:rFonts w:ascii="Arial" w:cs="Arial" w:eastAsia="Arial" w:hAnsi="Arial"/>
                <w:sz w:val="14"/>
                <w:szCs w:val="14"/>
                <w:color w:val="auto"/>
                <w:w w:val="96"/>
              </w:rPr>
              <w:t>improve</w:t>
            </w:r>
          </w:p>
        </w:tc>
        <w:tc>
          <w:tcPr>
            <w:tcW w:w="700" w:type="dxa"/>
            <w:vAlign w:val="bottom"/>
            <w:tcBorders>
              <w:right w:val="single" w:sz="8" w:color="CCCCCC"/>
            </w:tcBorders>
            <w:vMerge w:val="restart"/>
          </w:tcPr>
          <w:p>
            <w:pPr>
              <w:jc w:val="right"/>
              <w:spacing w:after="0" w:line="160" w:lineRule="exact"/>
              <w:rPr>
                <w:sz w:val="20"/>
                <w:szCs w:val="20"/>
                <w:color w:val="auto"/>
              </w:rPr>
            </w:pPr>
            <w:r>
              <w:rPr>
                <w:rFonts w:ascii="Arial" w:cs="Arial" w:eastAsia="Arial" w:hAnsi="Arial"/>
                <w:sz w:val="14"/>
                <w:szCs w:val="14"/>
                <w:color w:val="auto"/>
              </w:rPr>
              <w:t>business</w:t>
            </w:r>
          </w:p>
        </w:tc>
        <w:tc>
          <w:tcPr>
            <w:tcW w:w="0" w:type="dxa"/>
            <w:vAlign w:val="bottom"/>
          </w:tcPr>
          <w:p>
            <w:pPr>
              <w:spacing w:after="0"/>
              <w:rPr>
                <w:sz w:val="1"/>
                <w:szCs w:val="1"/>
                <w:color w:val="auto"/>
              </w:rPr>
            </w:pPr>
          </w:p>
        </w:tc>
      </w:tr>
      <w:tr>
        <w:trPr>
          <w:trHeight w:val="67"/>
        </w:trPr>
        <w:tc>
          <w:tcPr>
            <w:tcW w:w="800" w:type="dxa"/>
            <w:vAlign w:val="bottom"/>
            <w:tcBorders>
              <w:left w:val="single" w:sz="8" w:color="CCCCCC"/>
            </w:tcBorders>
            <w:vMerge w:val="restart"/>
            <w:shd w:val="clear" w:color="auto" w:fill="E5E5E5"/>
          </w:tcPr>
          <w:p>
            <w:pPr>
              <w:ind w:left="240"/>
              <w:spacing w:after="0"/>
              <w:rPr>
                <w:sz w:val="20"/>
                <w:szCs w:val="20"/>
                <w:color w:val="auto"/>
              </w:rPr>
            </w:pPr>
            <w:r>
              <w:rPr>
                <w:rFonts w:ascii="Arial" w:cs="Arial" w:eastAsia="Arial" w:hAnsi="Arial"/>
                <w:sz w:val="14"/>
                <w:szCs w:val="14"/>
                <w:color w:val="auto"/>
              </w:rPr>
              <w:t>Brent oil</w:t>
            </w:r>
          </w:p>
        </w:tc>
        <w:tc>
          <w:tcPr>
            <w:tcW w:w="1020" w:type="dxa"/>
            <w:vAlign w:val="bottom"/>
            <w:gridSpan w:val="2"/>
            <w:vMerge w:val="restart"/>
            <w:shd w:val="clear" w:color="auto" w:fill="E5E5E5"/>
          </w:tcPr>
          <w:p>
            <w:pPr>
              <w:jc w:val="center"/>
              <w:spacing w:after="0"/>
              <w:rPr>
                <w:sz w:val="20"/>
                <w:szCs w:val="20"/>
                <w:color w:val="auto"/>
              </w:rPr>
            </w:pPr>
            <w:r>
              <w:rPr>
                <w:rFonts w:ascii="Arial" w:cs="Arial" w:eastAsia="Arial" w:hAnsi="Arial"/>
                <w:sz w:val="14"/>
                <w:szCs w:val="14"/>
                <w:color w:val="auto"/>
                <w:w w:val="99"/>
              </w:rPr>
              <w:t>price post-2020</w:t>
            </w:r>
          </w:p>
        </w:tc>
        <w:tc>
          <w:tcPr>
            <w:tcW w:w="660" w:type="dxa"/>
            <w:vAlign w:val="bottom"/>
            <w:shd w:val="clear" w:color="auto" w:fill="E5E5E5"/>
          </w:tcPr>
          <w:p>
            <w:pPr>
              <w:spacing w:after="0"/>
              <w:rPr>
                <w:sz w:val="5"/>
                <w:szCs w:val="5"/>
                <w:color w:val="auto"/>
              </w:rPr>
            </w:pPr>
          </w:p>
        </w:tc>
        <w:tc>
          <w:tcPr>
            <w:tcW w:w="300" w:type="dxa"/>
            <w:vAlign w:val="bottom"/>
            <w:shd w:val="clear" w:color="auto" w:fill="E5E5E5"/>
          </w:tcPr>
          <w:p>
            <w:pPr>
              <w:spacing w:after="0"/>
              <w:rPr>
                <w:sz w:val="5"/>
                <w:szCs w:val="5"/>
                <w:color w:val="auto"/>
              </w:rPr>
            </w:pPr>
          </w:p>
        </w:tc>
        <w:tc>
          <w:tcPr>
            <w:tcW w:w="280" w:type="dxa"/>
            <w:vAlign w:val="bottom"/>
            <w:tcBorders>
              <w:right w:val="single" w:sz="8" w:color="CCCCCC"/>
            </w:tcBorders>
            <w:shd w:val="clear" w:color="auto" w:fill="E5E5E5"/>
          </w:tcPr>
          <w:p>
            <w:pPr>
              <w:spacing w:after="0"/>
              <w:rPr>
                <w:sz w:val="5"/>
                <w:szCs w:val="5"/>
                <w:color w:val="auto"/>
              </w:rPr>
            </w:pPr>
          </w:p>
        </w:tc>
        <w:tc>
          <w:tcPr>
            <w:tcW w:w="1300" w:type="dxa"/>
            <w:vAlign w:val="bottom"/>
            <w:tcBorders>
              <w:right w:val="single" w:sz="8" w:color="CCCCCC"/>
            </w:tcBorders>
          </w:tcPr>
          <w:p>
            <w:pPr>
              <w:spacing w:after="0"/>
              <w:rPr>
                <w:sz w:val="5"/>
                <w:szCs w:val="5"/>
                <w:color w:val="auto"/>
              </w:rPr>
            </w:pPr>
          </w:p>
        </w:tc>
        <w:tc>
          <w:tcPr>
            <w:tcW w:w="1300" w:type="dxa"/>
            <w:vAlign w:val="bottom"/>
            <w:tcBorders>
              <w:right w:val="single" w:sz="8" w:color="CCCCCC"/>
            </w:tcBorders>
          </w:tcPr>
          <w:p>
            <w:pPr>
              <w:spacing w:after="0"/>
              <w:rPr>
                <w:sz w:val="5"/>
                <w:szCs w:val="5"/>
                <w:color w:val="auto"/>
              </w:rPr>
            </w:pPr>
          </w:p>
        </w:tc>
        <w:tc>
          <w:tcPr>
            <w:tcW w:w="1320" w:type="dxa"/>
            <w:vAlign w:val="bottom"/>
            <w:tcBorders>
              <w:right w:val="single" w:sz="8" w:color="CCCCCC"/>
            </w:tcBorders>
          </w:tcPr>
          <w:p>
            <w:pPr>
              <w:spacing w:after="0"/>
              <w:rPr>
                <w:sz w:val="5"/>
                <w:szCs w:val="5"/>
                <w:color w:val="auto"/>
              </w:rPr>
            </w:pPr>
          </w:p>
        </w:tc>
        <w:tc>
          <w:tcPr>
            <w:tcW w:w="1300" w:type="dxa"/>
            <w:vAlign w:val="bottom"/>
            <w:tcBorders>
              <w:right w:val="single" w:sz="8" w:color="CCCCCC"/>
            </w:tcBorders>
          </w:tcPr>
          <w:p>
            <w:pPr>
              <w:spacing w:after="0"/>
              <w:rPr>
                <w:sz w:val="5"/>
                <w:szCs w:val="5"/>
                <w:color w:val="auto"/>
              </w:rPr>
            </w:pPr>
          </w:p>
        </w:tc>
        <w:tc>
          <w:tcPr>
            <w:tcW w:w="1300" w:type="dxa"/>
            <w:vAlign w:val="bottom"/>
            <w:tcBorders>
              <w:right w:val="single" w:sz="8" w:color="CCCCCC"/>
            </w:tcBorders>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700" w:type="dxa"/>
            <w:vAlign w:val="bottom"/>
            <w:tcBorders>
              <w:right w:val="single" w:sz="8" w:color="CCCCC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800" w:type="dxa"/>
            <w:vAlign w:val="bottom"/>
            <w:tcBorders>
              <w:left w:val="single" w:sz="8" w:color="CCCCCC"/>
            </w:tcBorders>
            <w:vMerge w:val="continue"/>
            <w:shd w:val="clear" w:color="auto" w:fill="E5E5E5"/>
          </w:tcPr>
          <w:p>
            <w:pPr>
              <w:spacing w:after="0"/>
              <w:rPr>
                <w:sz w:val="9"/>
                <w:szCs w:val="9"/>
                <w:color w:val="auto"/>
              </w:rPr>
            </w:pPr>
          </w:p>
        </w:tc>
        <w:tc>
          <w:tcPr>
            <w:tcW w:w="1020" w:type="dxa"/>
            <w:vAlign w:val="bottom"/>
            <w:gridSpan w:val="2"/>
            <w:vMerge w:val="continue"/>
            <w:shd w:val="clear" w:color="auto" w:fill="E5E5E5"/>
          </w:tcPr>
          <w:p>
            <w:pPr>
              <w:spacing w:after="0"/>
              <w:rPr>
                <w:sz w:val="9"/>
                <w:szCs w:val="9"/>
                <w:color w:val="auto"/>
              </w:rPr>
            </w:pPr>
          </w:p>
        </w:tc>
        <w:tc>
          <w:tcPr>
            <w:tcW w:w="660" w:type="dxa"/>
            <w:vAlign w:val="bottom"/>
            <w:shd w:val="clear" w:color="auto" w:fill="E5E5E5"/>
          </w:tcPr>
          <w:p>
            <w:pPr>
              <w:spacing w:after="0"/>
              <w:rPr>
                <w:sz w:val="9"/>
                <w:szCs w:val="9"/>
                <w:color w:val="auto"/>
              </w:rPr>
            </w:pPr>
          </w:p>
        </w:tc>
        <w:tc>
          <w:tcPr>
            <w:tcW w:w="300" w:type="dxa"/>
            <w:vAlign w:val="bottom"/>
            <w:shd w:val="clear" w:color="auto" w:fill="E5E5E5"/>
          </w:tcPr>
          <w:p>
            <w:pPr>
              <w:spacing w:after="0"/>
              <w:rPr>
                <w:sz w:val="9"/>
                <w:szCs w:val="9"/>
                <w:color w:val="auto"/>
              </w:rPr>
            </w:pPr>
          </w:p>
        </w:tc>
        <w:tc>
          <w:tcPr>
            <w:tcW w:w="280" w:type="dxa"/>
            <w:vAlign w:val="bottom"/>
            <w:tcBorders>
              <w:right w:val="single" w:sz="8" w:color="CCCCCC"/>
            </w:tcBorders>
            <w:shd w:val="clear" w:color="auto" w:fill="E5E5E5"/>
          </w:tcPr>
          <w:p>
            <w:pPr>
              <w:spacing w:after="0"/>
              <w:rPr>
                <w:sz w:val="9"/>
                <w:szCs w:val="9"/>
                <w:color w:val="auto"/>
              </w:rPr>
            </w:pPr>
          </w:p>
        </w:tc>
        <w:tc>
          <w:tcPr>
            <w:tcW w:w="1300" w:type="dxa"/>
            <w:vAlign w:val="bottom"/>
            <w:tcBorders>
              <w:right w:val="single" w:sz="8" w:color="CCCCCC"/>
            </w:tcBorders>
          </w:tcPr>
          <w:p>
            <w:pPr>
              <w:spacing w:after="0"/>
              <w:rPr>
                <w:sz w:val="9"/>
                <w:szCs w:val="9"/>
                <w:color w:val="auto"/>
              </w:rPr>
            </w:pPr>
          </w:p>
        </w:tc>
        <w:tc>
          <w:tcPr>
            <w:tcW w:w="1300" w:type="dxa"/>
            <w:vAlign w:val="bottom"/>
            <w:tcBorders>
              <w:right w:val="single" w:sz="8" w:color="CCCCCC"/>
            </w:tcBorders>
          </w:tcPr>
          <w:p>
            <w:pPr>
              <w:spacing w:after="0"/>
              <w:rPr>
                <w:sz w:val="9"/>
                <w:szCs w:val="9"/>
                <w:color w:val="auto"/>
              </w:rPr>
            </w:pPr>
          </w:p>
        </w:tc>
        <w:tc>
          <w:tcPr>
            <w:tcW w:w="1320" w:type="dxa"/>
            <w:vAlign w:val="bottom"/>
            <w:tcBorders>
              <w:right w:val="single" w:sz="8" w:color="CCCCCC"/>
            </w:tcBorders>
          </w:tcPr>
          <w:p>
            <w:pPr>
              <w:spacing w:after="0"/>
              <w:rPr>
                <w:sz w:val="9"/>
                <w:szCs w:val="9"/>
                <w:color w:val="auto"/>
              </w:rPr>
            </w:pPr>
          </w:p>
        </w:tc>
        <w:tc>
          <w:tcPr>
            <w:tcW w:w="1300" w:type="dxa"/>
            <w:vAlign w:val="bottom"/>
            <w:tcBorders>
              <w:right w:val="single" w:sz="8" w:color="CCCCCC"/>
            </w:tcBorders>
          </w:tcPr>
          <w:p>
            <w:pPr>
              <w:spacing w:after="0"/>
              <w:rPr>
                <w:sz w:val="9"/>
                <w:szCs w:val="9"/>
                <w:color w:val="auto"/>
              </w:rPr>
            </w:pPr>
          </w:p>
        </w:tc>
        <w:tc>
          <w:tcPr>
            <w:tcW w:w="1300" w:type="dxa"/>
            <w:vAlign w:val="bottom"/>
            <w:tcBorders>
              <w:right w:val="single" w:sz="8" w:color="CCCCCC"/>
            </w:tcBorders>
          </w:tcPr>
          <w:p>
            <w:pPr>
              <w:spacing w:after="0"/>
              <w:rPr>
                <w:sz w:val="9"/>
                <w:szCs w:val="9"/>
                <w:color w:val="auto"/>
              </w:rPr>
            </w:pPr>
          </w:p>
        </w:tc>
        <w:tc>
          <w:tcPr>
            <w:tcW w:w="1300" w:type="dxa"/>
            <w:vAlign w:val="bottom"/>
            <w:tcBorders>
              <w:right w:val="single" w:sz="8" w:color="CCCCCC"/>
            </w:tcBorders>
            <w:gridSpan w:val="3"/>
            <w:vMerge w:val="restart"/>
          </w:tcPr>
          <w:p>
            <w:pPr>
              <w:ind w:left="100"/>
              <w:spacing w:after="0"/>
              <w:rPr>
                <w:sz w:val="20"/>
                <w:szCs w:val="20"/>
                <w:color w:val="auto"/>
              </w:rPr>
            </w:pPr>
            <w:r>
              <w:rPr>
                <w:rFonts w:ascii="Arial" w:cs="Arial" w:eastAsia="Arial" w:hAnsi="Arial"/>
                <w:sz w:val="14"/>
                <w:szCs w:val="14"/>
                <w:color w:val="auto"/>
              </w:rPr>
              <w:t>performance</w:t>
            </w:r>
          </w:p>
        </w:tc>
        <w:tc>
          <w:tcPr>
            <w:tcW w:w="0" w:type="dxa"/>
            <w:vAlign w:val="bottom"/>
          </w:tcPr>
          <w:p>
            <w:pPr>
              <w:spacing w:after="0"/>
              <w:rPr>
                <w:sz w:val="1"/>
                <w:szCs w:val="1"/>
                <w:color w:val="auto"/>
              </w:rPr>
            </w:pPr>
          </w:p>
        </w:tc>
      </w:tr>
      <w:tr>
        <w:trPr>
          <w:trHeight w:val="98"/>
        </w:trPr>
        <w:tc>
          <w:tcPr>
            <w:tcW w:w="800" w:type="dxa"/>
            <w:vAlign w:val="bottom"/>
            <w:tcBorders>
              <w:left w:val="single" w:sz="8" w:color="CCCCCC"/>
              <w:bottom w:val="single" w:sz="8" w:color="E5E5E5"/>
            </w:tcBorders>
            <w:shd w:val="clear" w:color="auto" w:fill="E5E5E5"/>
          </w:tcPr>
          <w:p>
            <w:pPr>
              <w:spacing w:after="0"/>
              <w:rPr>
                <w:sz w:val="8"/>
                <w:szCs w:val="8"/>
                <w:color w:val="auto"/>
              </w:rPr>
            </w:pPr>
          </w:p>
        </w:tc>
        <w:tc>
          <w:tcPr>
            <w:tcW w:w="280" w:type="dxa"/>
            <w:vAlign w:val="bottom"/>
            <w:tcBorders>
              <w:bottom w:val="single" w:sz="8" w:color="E5E5E5"/>
            </w:tcBorders>
            <w:shd w:val="clear" w:color="auto" w:fill="E5E5E5"/>
          </w:tcPr>
          <w:p>
            <w:pPr>
              <w:spacing w:after="0"/>
              <w:rPr>
                <w:sz w:val="8"/>
                <w:szCs w:val="8"/>
                <w:color w:val="auto"/>
              </w:rPr>
            </w:pPr>
          </w:p>
        </w:tc>
        <w:tc>
          <w:tcPr>
            <w:tcW w:w="740" w:type="dxa"/>
            <w:vAlign w:val="bottom"/>
            <w:tcBorders>
              <w:bottom w:val="single" w:sz="8" w:color="E5E5E5"/>
            </w:tcBorders>
            <w:shd w:val="clear" w:color="auto" w:fill="E5E5E5"/>
          </w:tcPr>
          <w:p>
            <w:pPr>
              <w:spacing w:after="0"/>
              <w:rPr>
                <w:sz w:val="8"/>
                <w:szCs w:val="8"/>
                <w:color w:val="auto"/>
              </w:rPr>
            </w:pPr>
          </w:p>
        </w:tc>
        <w:tc>
          <w:tcPr>
            <w:tcW w:w="660" w:type="dxa"/>
            <w:vAlign w:val="bottom"/>
            <w:tcBorders>
              <w:bottom w:val="single" w:sz="8" w:color="E5E5E5"/>
            </w:tcBorders>
            <w:shd w:val="clear" w:color="auto" w:fill="E5E5E5"/>
          </w:tcPr>
          <w:p>
            <w:pPr>
              <w:spacing w:after="0"/>
              <w:rPr>
                <w:sz w:val="8"/>
                <w:szCs w:val="8"/>
                <w:color w:val="auto"/>
              </w:rPr>
            </w:pPr>
          </w:p>
        </w:tc>
        <w:tc>
          <w:tcPr>
            <w:tcW w:w="300" w:type="dxa"/>
            <w:vAlign w:val="bottom"/>
            <w:tcBorders>
              <w:bottom w:val="single" w:sz="8" w:color="E5E5E5"/>
            </w:tcBorders>
            <w:shd w:val="clear" w:color="auto" w:fill="E5E5E5"/>
          </w:tcPr>
          <w:p>
            <w:pPr>
              <w:spacing w:after="0"/>
              <w:rPr>
                <w:sz w:val="8"/>
                <w:szCs w:val="8"/>
                <w:color w:val="auto"/>
              </w:rPr>
            </w:pPr>
          </w:p>
        </w:tc>
        <w:tc>
          <w:tcPr>
            <w:tcW w:w="280" w:type="dxa"/>
            <w:vAlign w:val="bottom"/>
            <w:tcBorders>
              <w:bottom w:val="single" w:sz="8" w:color="E5E5E5"/>
              <w:right w:val="single" w:sz="8" w:color="CCCCCC"/>
            </w:tcBorders>
            <w:shd w:val="clear" w:color="auto" w:fill="E5E5E5"/>
          </w:tcPr>
          <w:p>
            <w:pPr>
              <w:spacing w:after="0"/>
              <w:rPr>
                <w:sz w:val="8"/>
                <w:szCs w:val="8"/>
                <w:color w:val="auto"/>
              </w:rPr>
            </w:pPr>
          </w:p>
        </w:tc>
        <w:tc>
          <w:tcPr>
            <w:tcW w:w="1300" w:type="dxa"/>
            <w:vAlign w:val="bottom"/>
            <w:tcBorders>
              <w:right w:val="single" w:sz="8" w:color="CCCCCC"/>
            </w:tcBorders>
          </w:tcPr>
          <w:p>
            <w:pPr>
              <w:spacing w:after="0"/>
              <w:rPr>
                <w:sz w:val="8"/>
                <w:szCs w:val="8"/>
                <w:color w:val="auto"/>
              </w:rPr>
            </w:pPr>
          </w:p>
        </w:tc>
        <w:tc>
          <w:tcPr>
            <w:tcW w:w="1300" w:type="dxa"/>
            <w:vAlign w:val="bottom"/>
            <w:tcBorders>
              <w:right w:val="single" w:sz="8" w:color="CCCCCC"/>
            </w:tcBorders>
          </w:tcPr>
          <w:p>
            <w:pPr>
              <w:spacing w:after="0"/>
              <w:rPr>
                <w:sz w:val="8"/>
                <w:szCs w:val="8"/>
                <w:color w:val="auto"/>
              </w:rPr>
            </w:pPr>
          </w:p>
        </w:tc>
        <w:tc>
          <w:tcPr>
            <w:tcW w:w="1320" w:type="dxa"/>
            <w:vAlign w:val="bottom"/>
            <w:tcBorders>
              <w:right w:val="single" w:sz="8" w:color="CCCCCC"/>
            </w:tcBorders>
          </w:tcPr>
          <w:p>
            <w:pPr>
              <w:spacing w:after="0"/>
              <w:rPr>
                <w:sz w:val="8"/>
                <w:szCs w:val="8"/>
                <w:color w:val="auto"/>
              </w:rPr>
            </w:pPr>
          </w:p>
        </w:tc>
        <w:tc>
          <w:tcPr>
            <w:tcW w:w="1300" w:type="dxa"/>
            <w:vAlign w:val="bottom"/>
            <w:tcBorders>
              <w:right w:val="single" w:sz="8" w:color="CCCCCC"/>
            </w:tcBorders>
          </w:tcPr>
          <w:p>
            <w:pPr>
              <w:spacing w:after="0"/>
              <w:rPr>
                <w:sz w:val="8"/>
                <w:szCs w:val="8"/>
                <w:color w:val="auto"/>
              </w:rPr>
            </w:pPr>
          </w:p>
        </w:tc>
        <w:tc>
          <w:tcPr>
            <w:tcW w:w="1300" w:type="dxa"/>
            <w:vAlign w:val="bottom"/>
            <w:tcBorders>
              <w:right w:val="single" w:sz="8" w:color="CCCCCC"/>
            </w:tcBorders>
          </w:tcPr>
          <w:p>
            <w:pPr>
              <w:spacing w:after="0"/>
              <w:rPr>
                <w:sz w:val="8"/>
                <w:szCs w:val="8"/>
                <w:color w:val="auto"/>
              </w:rPr>
            </w:pPr>
          </w:p>
        </w:tc>
        <w:tc>
          <w:tcPr>
            <w:tcW w:w="1300" w:type="dxa"/>
            <w:vAlign w:val="bottom"/>
            <w:tcBorders>
              <w:right w:val="single" w:sz="8" w:color="CCCCCC"/>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00" w:type="dxa"/>
            <w:vAlign w:val="bottom"/>
            <w:tcBorders>
              <w:left w:val="single" w:sz="8" w:color="CCCCCC"/>
            </w:tcBorders>
            <w:shd w:val="clear" w:color="auto" w:fill="CCCCCC"/>
          </w:tcPr>
          <w:p>
            <w:pPr>
              <w:spacing w:after="0" w:line="20" w:lineRule="exact"/>
              <w:rPr>
                <w:sz w:val="1"/>
                <w:szCs w:val="1"/>
                <w:color w:val="auto"/>
              </w:rPr>
            </w:pPr>
          </w:p>
        </w:tc>
        <w:tc>
          <w:tcPr>
            <w:tcW w:w="280" w:type="dxa"/>
            <w:vAlign w:val="bottom"/>
            <w:shd w:val="clear" w:color="auto" w:fill="CCCCCC"/>
          </w:tcPr>
          <w:p>
            <w:pPr>
              <w:spacing w:after="0" w:line="20" w:lineRule="exact"/>
              <w:rPr>
                <w:sz w:val="1"/>
                <w:szCs w:val="1"/>
                <w:color w:val="auto"/>
              </w:rPr>
            </w:pPr>
          </w:p>
        </w:tc>
        <w:tc>
          <w:tcPr>
            <w:tcW w:w="740" w:type="dxa"/>
            <w:vAlign w:val="bottom"/>
            <w:shd w:val="clear" w:color="auto" w:fill="CCCCCC"/>
          </w:tcPr>
          <w:p>
            <w:pPr>
              <w:spacing w:after="0" w:line="20" w:lineRule="exact"/>
              <w:rPr>
                <w:sz w:val="1"/>
                <w:szCs w:val="1"/>
                <w:color w:val="auto"/>
              </w:rPr>
            </w:pPr>
          </w:p>
        </w:tc>
        <w:tc>
          <w:tcPr>
            <w:tcW w:w="660" w:type="dxa"/>
            <w:vAlign w:val="bottom"/>
            <w:shd w:val="clear" w:color="auto" w:fill="CCCCCC"/>
          </w:tcPr>
          <w:p>
            <w:pPr>
              <w:spacing w:after="0" w:line="20" w:lineRule="exact"/>
              <w:rPr>
                <w:sz w:val="1"/>
                <w:szCs w:val="1"/>
                <w:color w:val="auto"/>
              </w:rPr>
            </w:pPr>
          </w:p>
        </w:tc>
        <w:tc>
          <w:tcPr>
            <w:tcW w:w="300" w:type="dxa"/>
            <w:vAlign w:val="bottom"/>
            <w:shd w:val="clear" w:color="auto" w:fill="CCCCCC"/>
          </w:tcPr>
          <w:p>
            <w:pPr>
              <w:spacing w:after="0" w:line="20" w:lineRule="exact"/>
              <w:rPr>
                <w:sz w:val="1"/>
                <w:szCs w:val="1"/>
                <w:color w:val="auto"/>
              </w:rPr>
            </w:pPr>
          </w:p>
        </w:tc>
        <w:tc>
          <w:tcPr>
            <w:tcW w:w="280" w:type="dxa"/>
            <w:vAlign w:val="bottom"/>
            <w:tcBorders>
              <w:right w:val="single" w:sz="8" w:color="CCCCCC"/>
            </w:tcBorders>
            <w:shd w:val="clear" w:color="auto" w:fill="CCCCCC"/>
          </w:tcPr>
          <w:p>
            <w:pPr>
              <w:spacing w:after="0" w:line="20" w:lineRule="exact"/>
              <w:rPr>
                <w:sz w:val="1"/>
                <w:szCs w:val="1"/>
                <w:color w:val="auto"/>
              </w:rPr>
            </w:pPr>
          </w:p>
        </w:tc>
        <w:tc>
          <w:tcPr>
            <w:tcW w:w="1300" w:type="dxa"/>
            <w:vAlign w:val="bottom"/>
            <w:tcBorders>
              <w:right w:val="single" w:sz="8" w:color="CCCCCC"/>
            </w:tcBorders>
            <w:shd w:val="clear" w:color="auto" w:fill="CCCCCC"/>
          </w:tcPr>
          <w:p>
            <w:pPr>
              <w:spacing w:after="0" w:line="20" w:lineRule="exact"/>
              <w:rPr>
                <w:sz w:val="1"/>
                <w:szCs w:val="1"/>
                <w:color w:val="auto"/>
              </w:rPr>
            </w:pPr>
          </w:p>
        </w:tc>
        <w:tc>
          <w:tcPr>
            <w:tcW w:w="1300" w:type="dxa"/>
            <w:vAlign w:val="bottom"/>
            <w:tcBorders>
              <w:right w:val="single" w:sz="8" w:color="CCCCCC"/>
            </w:tcBorders>
            <w:shd w:val="clear" w:color="auto" w:fill="CCCCCC"/>
          </w:tcPr>
          <w:p>
            <w:pPr>
              <w:spacing w:after="0" w:line="20" w:lineRule="exact"/>
              <w:rPr>
                <w:sz w:val="1"/>
                <w:szCs w:val="1"/>
                <w:color w:val="auto"/>
              </w:rPr>
            </w:pPr>
          </w:p>
        </w:tc>
        <w:tc>
          <w:tcPr>
            <w:tcW w:w="1320" w:type="dxa"/>
            <w:vAlign w:val="bottom"/>
            <w:tcBorders>
              <w:right w:val="single" w:sz="8" w:color="CCCCCC"/>
            </w:tcBorders>
            <w:shd w:val="clear" w:color="auto" w:fill="CCCCCC"/>
          </w:tcPr>
          <w:p>
            <w:pPr>
              <w:spacing w:after="0" w:line="20" w:lineRule="exact"/>
              <w:rPr>
                <w:sz w:val="1"/>
                <w:szCs w:val="1"/>
                <w:color w:val="auto"/>
              </w:rPr>
            </w:pPr>
          </w:p>
        </w:tc>
        <w:tc>
          <w:tcPr>
            <w:tcW w:w="1300" w:type="dxa"/>
            <w:vAlign w:val="bottom"/>
            <w:tcBorders>
              <w:right w:val="single" w:sz="8" w:color="CCCCCC"/>
            </w:tcBorders>
            <w:shd w:val="clear" w:color="auto" w:fill="CCCCCC"/>
          </w:tcPr>
          <w:p>
            <w:pPr>
              <w:spacing w:after="0" w:line="20" w:lineRule="exact"/>
              <w:rPr>
                <w:sz w:val="1"/>
                <w:szCs w:val="1"/>
                <w:color w:val="auto"/>
              </w:rPr>
            </w:pPr>
          </w:p>
        </w:tc>
        <w:tc>
          <w:tcPr>
            <w:tcW w:w="1300" w:type="dxa"/>
            <w:vAlign w:val="bottom"/>
            <w:tcBorders>
              <w:right w:val="single" w:sz="8" w:color="CCCCCC"/>
            </w:tcBorders>
            <w:shd w:val="clear" w:color="auto" w:fill="CCCCCC"/>
          </w:tcPr>
          <w:p>
            <w:pPr>
              <w:spacing w:after="0" w:line="20" w:lineRule="exact"/>
              <w:rPr>
                <w:sz w:val="1"/>
                <w:szCs w:val="1"/>
                <w:color w:val="auto"/>
              </w:rPr>
            </w:pPr>
          </w:p>
        </w:tc>
        <w:tc>
          <w:tcPr>
            <w:tcW w:w="300" w:type="dxa"/>
            <w:vAlign w:val="bottom"/>
            <w:shd w:val="clear" w:color="auto" w:fill="CCCCCC"/>
          </w:tcPr>
          <w:p>
            <w:pPr>
              <w:spacing w:after="0" w:line="20" w:lineRule="exact"/>
              <w:rPr>
                <w:sz w:val="1"/>
                <w:szCs w:val="1"/>
                <w:color w:val="auto"/>
              </w:rPr>
            </w:pPr>
          </w:p>
        </w:tc>
        <w:tc>
          <w:tcPr>
            <w:tcW w:w="300" w:type="dxa"/>
            <w:vAlign w:val="bottom"/>
            <w:shd w:val="clear" w:color="auto" w:fill="CCCCCC"/>
          </w:tcPr>
          <w:p>
            <w:pPr>
              <w:spacing w:after="0" w:line="20" w:lineRule="exact"/>
              <w:rPr>
                <w:sz w:val="1"/>
                <w:szCs w:val="1"/>
                <w:color w:val="auto"/>
              </w:rPr>
            </w:pPr>
          </w:p>
        </w:tc>
        <w:tc>
          <w:tcPr>
            <w:tcW w:w="700" w:type="dxa"/>
            <w:vAlign w:val="bottom"/>
            <w:tcBorders>
              <w:right w:val="single" w:sz="8" w:color="CCCCCC"/>
            </w:tcBorders>
            <w:shd w:val="clear" w:color="auto" w:fill="CCCC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-784860</wp:posOffset>
            </wp:positionV>
            <wp:extent cx="92710" cy="844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92710" cy="8445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-784860</wp:posOffset>
            </wp:positionV>
            <wp:extent cx="92710" cy="844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92710" cy="84455"/>
                    </a:xfrm>
                    <a:prstGeom prst="rect">
                      <a:avLst/>
                    </a:prstGeom>
                    <a:noFill/>
                  </pic:spPr>
                </pic:pic>
              </a:graphicData>
            </a:graphic>
          </wp:anchor>
        </w:drawing>
        <w:drawing>
          <wp:anchor simplePos="0" relativeHeight="251657728" behindDoc="1" locked="0" layoutInCell="0" allowOverlap="1">
            <wp:simplePos x="0" y="0"/>
            <wp:positionH relativeFrom="column">
              <wp:posOffset>5824855</wp:posOffset>
            </wp:positionH>
            <wp:positionV relativeFrom="paragraph">
              <wp:posOffset>-784860</wp:posOffset>
            </wp:positionV>
            <wp:extent cx="92710" cy="844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92710" cy="8445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-489585</wp:posOffset>
            </wp:positionV>
            <wp:extent cx="92710" cy="844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92710" cy="844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-489585</wp:posOffset>
            </wp:positionV>
            <wp:extent cx="92710" cy="844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92710" cy="84455"/>
                    </a:xfrm>
                    <a:prstGeom prst="rect">
                      <a:avLst/>
                    </a:prstGeom>
                    <a:noFill/>
                  </pic:spPr>
                </pic:pic>
              </a:graphicData>
            </a:graphic>
          </wp:anchor>
        </w:drawing>
        <w:drawing>
          <wp:anchor simplePos="0" relativeHeight="251657728" behindDoc="1" locked="0" layoutInCell="0" allowOverlap="1">
            <wp:simplePos x="0" y="0"/>
            <wp:positionH relativeFrom="column">
              <wp:posOffset>5824855</wp:posOffset>
            </wp:positionH>
            <wp:positionV relativeFrom="paragraph">
              <wp:posOffset>-489585</wp:posOffset>
            </wp:positionV>
            <wp:extent cx="92710" cy="844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92710" cy="84455"/>
                    </a:xfrm>
                    <a:prstGeom prst="rect">
                      <a:avLst/>
                    </a:prstGeom>
                    <a:noFill/>
                  </pic:spPr>
                </pic:pic>
              </a:graphicData>
            </a:graphic>
          </wp:anchor>
        </w:drawing>
        <w:drawing>
          <wp:anchor simplePos="0" relativeHeight="251657728" behindDoc="1" locked="0" layoutInCell="0" allowOverlap="1">
            <wp:simplePos x="0" y="0"/>
            <wp:positionH relativeFrom="column">
              <wp:posOffset>2513330</wp:posOffset>
            </wp:positionH>
            <wp:positionV relativeFrom="paragraph">
              <wp:posOffset>-193675</wp:posOffset>
            </wp:positionV>
            <wp:extent cx="92710" cy="844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92710" cy="8445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-193675</wp:posOffset>
            </wp:positionV>
            <wp:extent cx="92710" cy="844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92710" cy="844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-193675</wp:posOffset>
            </wp:positionV>
            <wp:extent cx="92710" cy="844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92710" cy="8445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-193675</wp:posOffset>
            </wp:positionV>
            <wp:extent cx="92710" cy="844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92710" cy="84455"/>
                    </a:xfrm>
                    <a:prstGeom prst="rect">
                      <a:avLst/>
                    </a:prstGeom>
                    <a:noFill/>
                  </pic:spPr>
                </pic:pic>
              </a:graphicData>
            </a:graphic>
          </wp:anchor>
        </w:drawing>
        <w:drawing>
          <wp:anchor simplePos="0" relativeHeight="251657728" behindDoc="1" locked="0" layoutInCell="0" allowOverlap="1">
            <wp:simplePos x="0" y="0"/>
            <wp:positionH relativeFrom="column">
              <wp:posOffset>5824855</wp:posOffset>
            </wp:positionH>
            <wp:positionV relativeFrom="paragraph">
              <wp:posOffset>-193675</wp:posOffset>
            </wp:positionV>
            <wp:extent cx="92710" cy="844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92710" cy="84455"/>
                    </a:xfrm>
                    <a:prstGeom prst="rect">
                      <a:avLst/>
                    </a:prstGeom>
                    <a:noFill/>
                  </pic:spPr>
                </pic:pic>
              </a:graphicData>
            </a:graphic>
          </wp:anchor>
        </w:drawing>
        <w:drawing>
          <wp:anchor simplePos="0" relativeHeight="251657728" behindDoc="1" locked="0" layoutInCell="0" allowOverlap="1">
            <wp:simplePos x="0" y="0"/>
            <wp:positionH relativeFrom="column">
              <wp:posOffset>1820545</wp:posOffset>
            </wp:positionH>
            <wp:positionV relativeFrom="paragraph">
              <wp:posOffset>92710</wp:posOffset>
            </wp:positionV>
            <wp:extent cx="405765" cy="2451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226" w:lineRule="exact"/>
        <w:rPr>
          <w:sz w:val="20"/>
          <w:szCs w:val="20"/>
          <w:color w:val="auto"/>
        </w:rPr>
      </w:pPr>
    </w:p>
    <w:p>
      <w:pPr>
        <w:ind w:left="760" w:hanging="474"/>
        <w:spacing w:after="0"/>
        <w:tabs>
          <w:tab w:leader="none" w:pos="760" w:val="left"/>
        </w:tabs>
        <w:numPr>
          <w:ilvl w:val="0"/>
          <w:numId w:val="44"/>
        </w:numPr>
        <w:rPr>
          <w:rFonts w:ascii="Arial" w:cs="Arial" w:eastAsia="Arial" w:hAnsi="Arial"/>
          <w:sz w:val="14"/>
          <w:szCs w:val="14"/>
          <w:b w:val="1"/>
          <w:bCs w:val="1"/>
          <w:color w:val="007549"/>
        </w:rPr>
      </w:pPr>
      <w:r>
        <w:rPr>
          <w:rFonts w:ascii="Arial" w:cs="Arial" w:eastAsia="Arial" w:hAnsi="Arial"/>
          <w:sz w:val="12"/>
          <w:szCs w:val="12"/>
          <w:b w:val="1"/>
          <w:bCs w:val="1"/>
          <w:color w:val="666666"/>
        </w:rPr>
        <w:t>2018 PROXY STATEMENT</w:t>
      </w:r>
    </w:p>
    <w:p>
      <w:pPr>
        <w:sectPr>
          <w:pgSz w:w="11900" w:h="16838" w:orient="portrait"/>
          <w:cols w:equalWidth="0" w:num="1">
            <w:col w:w="11160"/>
          </w:cols>
          <w:pgMar w:left="240" w:top="454" w:right="4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7549"/>
        </w:rPr>
        <w:t xml:space="preserve">Executive Compensation </w:t>
      </w:r>
      <w:r>
        <w:rPr>
          <w:rFonts w:ascii="Arial" w:cs="Arial" w:eastAsia="Arial" w:hAnsi="Arial"/>
          <w:sz w:val="16"/>
          <w:szCs w:val="16"/>
          <w:b w:val="1"/>
          <w:bCs w:val="1"/>
          <w:color w:val="000000"/>
        </w:rPr>
        <w:t>+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55245</wp:posOffset>
            </wp:positionV>
            <wp:extent cx="689356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24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007549"/>
        </w:rPr>
        <w:t>Summary of Hess’ 2017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85725</wp:posOffset>
            </wp:positionV>
            <wp:extent cx="6893560" cy="22047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93560" cy="2204720"/>
                    </a:xfrm>
                    <a:prstGeom prst="rect">
                      <a:avLst/>
                    </a:prstGeom>
                    <a:noFill/>
                  </pic:spPr>
                </pic:pic>
              </a:graphicData>
            </a:graphic>
          </wp:anchor>
        </w:drawing>
      </w:r>
    </w:p>
    <w:p>
      <w:pPr>
        <w:spacing w:after="0" w:line="132"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FFFFFF"/>
        </w:rPr>
        <w:t>Compensation Philosophy</w:t>
      </w:r>
    </w:p>
    <w:p>
      <w:pPr>
        <w:spacing w:after="0" w:line="28" w:lineRule="exact"/>
        <w:rPr>
          <w:sz w:val="20"/>
          <w:szCs w:val="20"/>
          <w:color w:val="auto"/>
        </w:rPr>
      </w:pPr>
    </w:p>
    <w:p>
      <w:pPr>
        <w:jc w:val="both"/>
        <w:ind w:left="380" w:right="120"/>
        <w:spacing w:after="0" w:line="253" w:lineRule="auto"/>
        <w:rPr>
          <w:sz w:val="20"/>
          <w:szCs w:val="20"/>
          <w:color w:val="auto"/>
        </w:rPr>
      </w:pPr>
      <w:r>
        <w:rPr>
          <w:rFonts w:ascii="Arial" w:cs="Arial" w:eastAsia="Arial" w:hAnsi="Arial"/>
          <w:sz w:val="18"/>
          <w:szCs w:val="18"/>
          <w:b w:val="1"/>
          <w:bCs w:val="1"/>
          <w:color w:val="007549"/>
        </w:rPr>
        <w:t xml:space="preserve">Competitive Pay Levels. </w:t>
      </w:r>
      <w:r>
        <w:rPr>
          <w:rFonts w:ascii="Arial" w:cs="Arial" w:eastAsia="Arial" w:hAnsi="Arial"/>
          <w:sz w:val="18"/>
          <w:szCs w:val="18"/>
          <w:color w:val="000000"/>
        </w:rPr>
        <w:t>Generally, we target total direct compensation (salary, annual incentive and long-term incentives) within a</w:t>
      </w:r>
      <w:r>
        <w:rPr>
          <w:rFonts w:ascii="Arial" w:cs="Arial" w:eastAsia="Arial" w:hAnsi="Arial"/>
          <w:sz w:val="18"/>
          <w:szCs w:val="18"/>
          <w:b w:val="1"/>
          <w:bCs w:val="1"/>
          <w:color w:val="007549"/>
        </w:rPr>
        <w:t xml:space="preserve"> </w:t>
      </w:r>
      <w:r>
        <w:rPr>
          <w:rFonts w:ascii="Arial" w:cs="Arial" w:eastAsia="Arial" w:hAnsi="Arial"/>
          <w:sz w:val="18"/>
          <w:szCs w:val="18"/>
          <w:color w:val="000000"/>
        </w:rPr>
        <w:t>competitive range of market median.</w:t>
      </w:r>
    </w:p>
    <w:p>
      <w:pPr>
        <w:spacing w:after="0" w:line="74" w:lineRule="exact"/>
        <w:rPr>
          <w:sz w:val="20"/>
          <w:szCs w:val="20"/>
          <w:color w:val="auto"/>
        </w:rPr>
      </w:pPr>
    </w:p>
    <w:p>
      <w:pPr>
        <w:jc w:val="both"/>
        <w:ind w:left="380" w:right="120"/>
        <w:spacing w:after="0" w:line="263" w:lineRule="auto"/>
        <w:rPr>
          <w:sz w:val="20"/>
          <w:szCs w:val="20"/>
          <w:color w:val="auto"/>
        </w:rPr>
      </w:pPr>
      <w:r>
        <w:rPr>
          <w:rFonts w:ascii="Arial" w:cs="Arial" w:eastAsia="Arial" w:hAnsi="Arial"/>
          <w:sz w:val="18"/>
          <w:szCs w:val="18"/>
          <w:b w:val="1"/>
          <w:bCs w:val="1"/>
          <w:color w:val="007549"/>
        </w:rPr>
        <w:t xml:space="preserve">Individual Performance Rewarded. </w:t>
      </w:r>
      <w:r>
        <w:rPr>
          <w:rFonts w:ascii="Arial" w:cs="Arial" w:eastAsia="Arial" w:hAnsi="Arial"/>
          <w:sz w:val="18"/>
          <w:szCs w:val="18"/>
          <w:color w:val="000000"/>
        </w:rPr>
        <w:t>Sustained performance may be recognized in individual pay components, and pay will vary above</w:t>
      </w:r>
      <w:r>
        <w:rPr>
          <w:rFonts w:ascii="Arial" w:cs="Arial" w:eastAsia="Arial" w:hAnsi="Arial"/>
          <w:sz w:val="18"/>
          <w:szCs w:val="18"/>
          <w:b w:val="1"/>
          <w:bCs w:val="1"/>
          <w:color w:val="007549"/>
        </w:rPr>
        <w:t xml:space="preserve"> </w:t>
      </w:r>
      <w:r>
        <w:rPr>
          <w:rFonts w:ascii="Arial" w:cs="Arial" w:eastAsia="Arial" w:hAnsi="Arial"/>
          <w:sz w:val="18"/>
          <w:szCs w:val="18"/>
          <w:color w:val="000000"/>
        </w:rPr>
        <w:t>or below target based primarily on enterprise and, to a lesser degree, individual performance outcomes.</w:t>
      </w:r>
    </w:p>
    <w:p>
      <w:pPr>
        <w:spacing w:after="0" w:line="65" w:lineRule="exact"/>
        <w:rPr>
          <w:sz w:val="20"/>
          <w:szCs w:val="20"/>
          <w:color w:val="auto"/>
        </w:rPr>
      </w:pPr>
    </w:p>
    <w:p>
      <w:pPr>
        <w:jc w:val="both"/>
        <w:ind w:left="380" w:right="120"/>
        <w:spacing w:after="0" w:line="239" w:lineRule="auto"/>
        <w:rPr>
          <w:sz w:val="20"/>
          <w:szCs w:val="20"/>
          <w:color w:val="auto"/>
        </w:rPr>
      </w:pPr>
      <w:r>
        <w:rPr>
          <w:rFonts w:ascii="Arial" w:cs="Arial" w:eastAsia="Arial" w:hAnsi="Arial"/>
          <w:sz w:val="18"/>
          <w:szCs w:val="18"/>
          <w:b w:val="1"/>
          <w:bCs w:val="1"/>
          <w:color w:val="007549"/>
        </w:rPr>
        <w:t xml:space="preserve">Balanced Focus on Controllable Outcomes and Value Creation. </w:t>
      </w:r>
      <w:r>
        <w:rPr>
          <w:rFonts w:ascii="Arial" w:cs="Arial" w:eastAsia="Arial" w:hAnsi="Arial"/>
          <w:sz w:val="18"/>
          <w:szCs w:val="18"/>
          <w:color w:val="000000"/>
        </w:rPr>
        <w:t>In our industry, the macroeconomic environment and oil prices</w:t>
      </w:r>
      <w:r>
        <w:rPr>
          <w:rFonts w:ascii="Arial" w:cs="Arial" w:eastAsia="Arial" w:hAnsi="Arial"/>
          <w:sz w:val="18"/>
          <w:szCs w:val="18"/>
          <w:b w:val="1"/>
          <w:bCs w:val="1"/>
          <w:color w:val="007549"/>
        </w:rPr>
        <w:t xml:space="preserve"> </w:t>
      </w:r>
      <w:r>
        <w:rPr>
          <w:rFonts w:ascii="Arial" w:cs="Arial" w:eastAsia="Arial" w:hAnsi="Arial"/>
          <w:sz w:val="18"/>
          <w:szCs w:val="18"/>
          <w:color w:val="000000"/>
        </w:rPr>
        <w:t>have a significant impact on our financial results and stock price performance. As a result, our annual incentive plan (AIP) is designed to maintain an annual focus on management’s day-to-day efforts on outcomes largely within its control, with a strong emphasis on formulaic enterprise results. Our long-term incentive (LTI) plan focuses on longer term objectives, including stockholder value creation and alignment of management with stockholder interests.</w:t>
      </w:r>
    </w:p>
    <w:p>
      <w:pPr>
        <w:spacing w:after="0" w:line="87" w:lineRule="exact"/>
        <w:rPr>
          <w:sz w:val="20"/>
          <w:szCs w:val="20"/>
          <w:color w:val="auto"/>
        </w:rPr>
      </w:pPr>
    </w:p>
    <w:p>
      <w:pPr>
        <w:jc w:val="both"/>
        <w:ind w:left="380" w:right="120"/>
        <w:spacing w:after="0" w:line="263" w:lineRule="auto"/>
        <w:rPr>
          <w:sz w:val="20"/>
          <w:szCs w:val="20"/>
          <w:color w:val="auto"/>
        </w:rPr>
      </w:pPr>
      <w:r>
        <w:rPr>
          <w:rFonts w:ascii="Arial" w:cs="Arial" w:eastAsia="Arial" w:hAnsi="Arial"/>
          <w:sz w:val="18"/>
          <w:szCs w:val="18"/>
          <w:b w:val="1"/>
          <w:bCs w:val="1"/>
          <w:color w:val="007549"/>
        </w:rPr>
        <w:t xml:space="preserve">Long-term Orientation. </w:t>
      </w:r>
      <w:r>
        <w:rPr>
          <w:rFonts w:ascii="Arial" w:cs="Arial" w:eastAsia="Arial" w:hAnsi="Arial"/>
          <w:sz w:val="18"/>
          <w:szCs w:val="18"/>
          <w:color w:val="000000"/>
        </w:rPr>
        <w:t>LTI are delivered using different types of awards to balance both absolute stock price performance and stock</w:t>
      </w:r>
      <w:r>
        <w:rPr>
          <w:rFonts w:ascii="Arial" w:cs="Arial" w:eastAsia="Arial" w:hAnsi="Arial"/>
          <w:sz w:val="18"/>
          <w:szCs w:val="18"/>
          <w:b w:val="1"/>
          <w:bCs w:val="1"/>
          <w:color w:val="007549"/>
        </w:rPr>
        <w:t xml:space="preserve"> </w:t>
      </w:r>
      <w:r>
        <w:rPr>
          <w:rFonts w:ascii="Arial" w:cs="Arial" w:eastAsia="Arial" w:hAnsi="Arial"/>
          <w:sz w:val="18"/>
          <w:szCs w:val="18"/>
          <w:color w:val="000000"/>
        </w:rPr>
        <w:t>price performance relative to peers, over varying time horizons and retention considerations.</w:t>
      </w:r>
    </w:p>
    <w:p>
      <w:pPr>
        <w:spacing w:after="0" w:line="65" w:lineRule="exact"/>
        <w:rPr>
          <w:sz w:val="20"/>
          <w:szCs w:val="20"/>
          <w:color w:val="auto"/>
        </w:rPr>
      </w:pPr>
    </w:p>
    <w:p>
      <w:pPr>
        <w:jc w:val="both"/>
        <w:ind w:left="380" w:right="120"/>
        <w:spacing w:after="0" w:line="263" w:lineRule="auto"/>
        <w:rPr>
          <w:sz w:val="20"/>
          <w:szCs w:val="20"/>
          <w:color w:val="auto"/>
        </w:rPr>
      </w:pPr>
      <w:r>
        <w:rPr>
          <w:rFonts w:ascii="Arial" w:cs="Arial" w:eastAsia="Arial" w:hAnsi="Arial"/>
          <w:sz w:val="18"/>
          <w:szCs w:val="18"/>
          <w:b w:val="1"/>
          <w:bCs w:val="1"/>
          <w:color w:val="007549"/>
        </w:rPr>
        <w:t xml:space="preserve">Stockholder Alignment. </w:t>
      </w:r>
      <w:r>
        <w:rPr>
          <w:rFonts w:ascii="Arial" w:cs="Arial" w:eastAsia="Arial" w:hAnsi="Arial"/>
          <w:sz w:val="18"/>
          <w:szCs w:val="18"/>
          <w:color w:val="000000"/>
        </w:rPr>
        <w:t>Mix of long-term awards is heavily performance-contingent (80% to 100%), based on grant date target value,</w:t>
      </w:r>
      <w:r>
        <w:rPr>
          <w:rFonts w:ascii="Arial" w:cs="Arial" w:eastAsia="Arial" w:hAnsi="Arial"/>
          <w:sz w:val="18"/>
          <w:szCs w:val="18"/>
          <w:b w:val="1"/>
          <w:bCs w:val="1"/>
          <w:color w:val="007549"/>
        </w:rPr>
        <w:t xml:space="preserve"> </w:t>
      </w:r>
      <w:r>
        <w:rPr>
          <w:rFonts w:ascii="Arial" w:cs="Arial" w:eastAsia="Arial" w:hAnsi="Arial"/>
          <w:sz w:val="18"/>
          <w:szCs w:val="18"/>
          <w:color w:val="000000"/>
        </w:rPr>
        <w:t>aligning management with the long-term stockholder experience.</w:t>
      </w:r>
    </w:p>
    <w:p>
      <w:pPr>
        <w:spacing w:after="0" w:line="341" w:lineRule="exact"/>
        <w:rPr>
          <w:sz w:val="20"/>
          <w:szCs w:val="20"/>
          <w:color w:val="auto"/>
        </w:rPr>
      </w:pPr>
    </w:p>
    <w:tbl>
      <w:tblPr>
        <w:tblLayout w:type="fixed"/>
        <w:tblInd w:w="280" w:type="dxa"/>
        <w:tblCellMar>
          <w:top w:w="0" w:type="dxa"/>
          <w:left w:w="0" w:type="dxa"/>
          <w:bottom w:w="0" w:type="dxa"/>
          <w:right w:w="0" w:type="dxa"/>
        </w:tblCellMar>
      </w:tblPr>
      <w:tr>
        <w:trPr>
          <w:trHeight w:val="266"/>
        </w:trPr>
        <w:tc>
          <w:tcPr>
            <w:tcW w:w="500" w:type="dxa"/>
            <w:vAlign w:val="bottom"/>
            <w:shd w:val="clear" w:color="auto" w:fill="007549"/>
          </w:tcPr>
          <w:p>
            <w:pPr>
              <w:spacing w:after="0"/>
              <w:rPr>
                <w:sz w:val="23"/>
                <w:szCs w:val="23"/>
                <w:color w:val="auto"/>
              </w:rPr>
            </w:pPr>
          </w:p>
        </w:tc>
        <w:tc>
          <w:tcPr>
            <w:tcW w:w="4880" w:type="dxa"/>
            <w:vAlign w:val="bottom"/>
            <w:shd w:val="clear" w:color="auto" w:fill="007549"/>
          </w:tcPr>
          <w:p>
            <w:pPr>
              <w:ind w:left="1200"/>
              <w:spacing w:after="0"/>
              <w:rPr>
                <w:sz w:val="20"/>
                <w:szCs w:val="20"/>
                <w:color w:val="auto"/>
              </w:rPr>
            </w:pPr>
            <w:r>
              <w:rPr>
                <w:rFonts w:ascii="Arial" w:cs="Arial" w:eastAsia="Arial" w:hAnsi="Arial"/>
                <w:sz w:val="18"/>
                <w:szCs w:val="18"/>
                <w:b w:val="1"/>
                <w:bCs w:val="1"/>
                <w:color w:val="FFFFFF"/>
              </w:rPr>
              <w:t>Compensation Element</w:t>
            </w:r>
          </w:p>
        </w:tc>
        <w:tc>
          <w:tcPr>
            <w:tcW w:w="5480" w:type="dxa"/>
            <w:vAlign w:val="bottom"/>
            <w:shd w:val="clear" w:color="auto" w:fill="007549"/>
          </w:tcPr>
          <w:p>
            <w:pPr>
              <w:ind w:left="2240"/>
              <w:spacing w:after="0"/>
              <w:rPr>
                <w:sz w:val="20"/>
                <w:szCs w:val="20"/>
                <w:color w:val="auto"/>
              </w:rPr>
            </w:pPr>
            <w:r>
              <w:rPr>
                <w:rFonts w:ascii="Arial" w:cs="Arial" w:eastAsia="Arial" w:hAnsi="Arial"/>
                <w:sz w:val="18"/>
                <w:szCs w:val="18"/>
                <w:b w:val="1"/>
                <w:bCs w:val="1"/>
                <w:color w:val="FFFFFF"/>
              </w:rPr>
              <w:t>2017 Result</w:t>
            </w:r>
          </w:p>
        </w:tc>
        <w:tc>
          <w:tcPr>
            <w:tcW w:w="0" w:type="dxa"/>
            <w:vAlign w:val="bottom"/>
          </w:tcPr>
          <w:p>
            <w:pPr>
              <w:spacing w:after="0"/>
              <w:rPr>
                <w:sz w:val="1"/>
                <w:szCs w:val="1"/>
                <w:color w:val="auto"/>
              </w:rPr>
            </w:pPr>
          </w:p>
        </w:tc>
      </w:tr>
      <w:tr>
        <w:trPr>
          <w:trHeight w:val="177"/>
        </w:trPr>
        <w:tc>
          <w:tcPr>
            <w:tcW w:w="5380" w:type="dxa"/>
            <w:vAlign w:val="bottom"/>
            <w:gridSpan w:val="2"/>
            <w:shd w:val="clear" w:color="auto" w:fill="E5E5E5"/>
          </w:tcPr>
          <w:p>
            <w:pPr>
              <w:ind w:left="180"/>
              <w:spacing w:after="0" w:line="176" w:lineRule="exact"/>
              <w:rPr>
                <w:sz w:val="20"/>
                <w:szCs w:val="20"/>
                <w:color w:val="auto"/>
              </w:rPr>
            </w:pPr>
            <w:r>
              <w:rPr>
                <w:rFonts w:ascii="Arial" w:cs="Arial" w:eastAsia="Arial" w:hAnsi="Arial"/>
                <w:sz w:val="18"/>
                <w:szCs w:val="18"/>
                <w:b w:val="1"/>
                <w:bCs w:val="1"/>
                <w:color w:val="007549"/>
              </w:rPr>
              <w:t>Base salary</w:t>
            </w:r>
          </w:p>
        </w:tc>
        <w:tc>
          <w:tcPr>
            <w:tcW w:w="5480" w:type="dxa"/>
            <w:vAlign w:val="bottom"/>
            <w:shd w:val="clear" w:color="auto" w:fill="E5E5E5"/>
          </w:tcPr>
          <w:p>
            <w:pPr>
              <w:ind w:left="100"/>
              <w:spacing w:after="0" w:line="176" w:lineRule="exact"/>
              <w:rPr>
                <w:sz w:val="20"/>
                <w:szCs w:val="20"/>
                <w:color w:val="auto"/>
              </w:rPr>
            </w:pPr>
            <w:r>
              <w:rPr>
                <w:rFonts w:ascii="Arial" w:cs="Arial" w:eastAsia="Arial" w:hAnsi="Arial"/>
                <w:sz w:val="18"/>
                <w:szCs w:val="18"/>
                <w:b w:val="1"/>
                <w:bCs w:val="1"/>
                <w:color w:val="auto"/>
              </w:rPr>
              <w:t>Base salaries for our NEOs held flat since 2014, with one</w:t>
            </w:r>
          </w:p>
        </w:tc>
        <w:tc>
          <w:tcPr>
            <w:tcW w:w="0" w:type="dxa"/>
            <w:vAlign w:val="bottom"/>
          </w:tcPr>
          <w:p>
            <w:pPr>
              <w:spacing w:after="0"/>
              <w:rPr>
                <w:sz w:val="1"/>
                <w:szCs w:val="1"/>
                <w:color w:val="auto"/>
              </w:rPr>
            </w:pPr>
          </w:p>
        </w:tc>
      </w:tr>
      <w:tr>
        <w:trPr>
          <w:trHeight w:val="249"/>
        </w:trPr>
        <w:tc>
          <w:tcPr>
            <w:tcW w:w="5380" w:type="dxa"/>
            <w:vAlign w:val="bottom"/>
            <w:gridSpan w:val="2"/>
            <w:shd w:val="clear" w:color="auto" w:fill="E5E5E5"/>
          </w:tcPr>
          <w:p>
            <w:pPr>
              <w:ind w:left="360"/>
              <w:spacing w:after="0"/>
              <w:rPr>
                <w:sz w:val="20"/>
                <w:szCs w:val="20"/>
                <w:color w:val="auto"/>
              </w:rPr>
            </w:pPr>
            <w:r>
              <w:rPr>
                <w:rFonts w:ascii="Arial" w:cs="Arial" w:eastAsia="Arial" w:hAnsi="Arial"/>
                <w:sz w:val="18"/>
                <w:szCs w:val="18"/>
                <w:color w:val="auto"/>
              </w:rPr>
              <w:t>•  Fixed rate of pay</w:t>
            </w:r>
          </w:p>
        </w:tc>
        <w:tc>
          <w:tcPr>
            <w:tcW w:w="5480" w:type="dxa"/>
            <w:vAlign w:val="bottom"/>
            <w:shd w:val="clear" w:color="auto" w:fill="E5E5E5"/>
          </w:tcPr>
          <w:p>
            <w:pPr>
              <w:ind w:left="100"/>
              <w:spacing w:after="0"/>
              <w:rPr>
                <w:sz w:val="20"/>
                <w:szCs w:val="20"/>
                <w:color w:val="auto"/>
              </w:rPr>
            </w:pPr>
            <w:r>
              <w:rPr>
                <w:rFonts w:ascii="Arial" w:cs="Arial" w:eastAsia="Arial" w:hAnsi="Arial"/>
                <w:sz w:val="18"/>
                <w:szCs w:val="18"/>
                <w:b w:val="1"/>
                <w:bCs w:val="1"/>
                <w:color w:val="auto"/>
              </w:rPr>
              <w:t>exception in 2017 for increased job responsibilities</w:t>
            </w:r>
          </w:p>
        </w:tc>
        <w:tc>
          <w:tcPr>
            <w:tcW w:w="0" w:type="dxa"/>
            <w:vAlign w:val="bottom"/>
          </w:tcPr>
          <w:p>
            <w:pPr>
              <w:spacing w:after="0"/>
              <w:rPr>
                <w:sz w:val="1"/>
                <w:szCs w:val="1"/>
                <w:color w:val="auto"/>
              </w:rPr>
            </w:pPr>
          </w:p>
        </w:tc>
      </w:tr>
      <w:tr>
        <w:trPr>
          <w:trHeight w:val="187"/>
        </w:trPr>
        <w:tc>
          <w:tcPr>
            <w:tcW w:w="500" w:type="dxa"/>
            <w:vAlign w:val="bottom"/>
          </w:tcPr>
          <w:p>
            <w:pPr>
              <w:ind w:left="180"/>
              <w:spacing w:after="0" w:line="188" w:lineRule="exact"/>
              <w:rPr>
                <w:sz w:val="20"/>
                <w:szCs w:val="20"/>
                <w:color w:val="auto"/>
              </w:rPr>
            </w:pPr>
            <w:r>
              <w:rPr>
                <w:rFonts w:ascii="Arial" w:cs="Arial" w:eastAsia="Arial" w:hAnsi="Arial"/>
                <w:sz w:val="18"/>
                <w:szCs w:val="18"/>
                <w:b w:val="1"/>
                <w:bCs w:val="1"/>
                <w:color w:val="007549"/>
                <w:w w:val="99"/>
              </w:rPr>
              <w:t>AIP</w:t>
            </w:r>
          </w:p>
        </w:tc>
        <w:tc>
          <w:tcPr>
            <w:tcW w:w="4880" w:type="dxa"/>
            <w:vAlign w:val="bottom"/>
          </w:tcPr>
          <w:p>
            <w:pPr>
              <w:spacing w:after="0"/>
              <w:rPr>
                <w:sz w:val="16"/>
                <w:szCs w:val="16"/>
                <w:color w:val="auto"/>
              </w:rPr>
            </w:pPr>
          </w:p>
        </w:tc>
        <w:tc>
          <w:tcPr>
            <w:tcW w:w="5480" w:type="dxa"/>
            <w:vAlign w:val="bottom"/>
          </w:tcPr>
          <w:p>
            <w:pPr>
              <w:ind w:left="100"/>
              <w:spacing w:after="0" w:line="188" w:lineRule="exact"/>
              <w:rPr>
                <w:sz w:val="20"/>
                <w:szCs w:val="20"/>
                <w:color w:val="auto"/>
              </w:rPr>
            </w:pPr>
            <w:r>
              <w:rPr>
                <w:rFonts w:ascii="Arial" w:cs="Arial" w:eastAsia="Arial" w:hAnsi="Arial"/>
                <w:sz w:val="18"/>
                <w:szCs w:val="18"/>
                <w:b w:val="1"/>
                <w:bCs w:val="1"/>
                <w:color w:val="auto"/>
              </w:rPr>
              <w:t>Enterprise result was 119.7% of target</w:t>
            </w:r>
          </w:p>
        </w:tc>
        <w:tc>
          <w:tcPr>
            <w:tcW w:w="0" w:type="dxa"/>
            <w:vAlign w:val="bottom"/>
          </w:tcPr>
          <w:p>
            <w:pPr>
              <w:spacing w:after="0"/>
              <w:rPr>
                <w:sz w:val="1"/>
                <w:szCs w:val="1"/>
                <w:color w:val="auto"/>
              </w:rPr>
            </w:pPr>
          </w:p>
        </w:tc>
      </w:tr>
      <w:tr>
        <w:trPr>
          <w:trHeight w:val="213"/>
        </w:trPr>
        <w:tc>
          <w:tcPr>
            <w:tcW w:w="5380" w:type="dxa"/>
            <w:vAlign w:val="bottom"/>
            <w:gridSpan w:val="2"/>
          </w:tcPr>
          <w:p>
            <w:pPr>
              <w:ind w:left="360"/>
              <w:spacing w:after="0"/>
              <w:rPr>
                <w:sz w:val="20"/>
                <w:szCs w:val="20"/>
                <w:color w:val="auto"/>
              </w:rPr>
            </w:pPr>
            <w:r>
              <w:rPr>
                <w:rFonts w:ascii="Arial" w:cs="Arial" w:eastAsia="Arial" w:hAnsi="Arial"/>
                <w:sz w:val="18"/>
                <w:szCs w:val="18"/>
                <w:color w:val="auto"/>
              </w:rPr>
              <w:t>•  Payout from 0%-200% of target</w:t>
            </w:r>
          </w:p>
        </w:tc>
        <w:tc>
          <w:tcPr>
            <w:tcW w:w="5480" w:type="dxa"/>
            <w:vAlign w:val="bottom"/>
          </w:tcPr>
          <w:p>
            <w:pPr>
              <w:ind w:left="280"/>
              <w:spacing w:after="0"/>
              <w:rPr>
                <w:sz w:val="20"/>
                <w:szCs w:val="20"/>
                <w:color w:val="auto"/>
              </w:rPr>
            </w:pPr>
            <w:r>
              <w:rPr>
                <w:rFonts w:ascii="Arial" w:cs="Arial" w:eastAsia="Arial" w:hAnsi="Arial"/>
                <w:sz w:val="18"/>
                <w:szCs w:val="18"/>
                <w:color w:val="auto"/>
              </w:rPr>
              <w:t>•  Individual modifiers for all NEOs resulted in no adjustment to</w:t>
            </w:r>
          </w:p>
        </w:tc>
        <w:tc>
          <w:tcPr>
            <w:tcW w:w="0" w:type="dxa"/>
            <w:vAlign w:val="bottom"/>
          </w:tcPr>
          <w:p>
            <w:pPr>
              <w:spacing w:after="0"/>
              <w:rPr>
                <w:sz w:val="1"/>
                <w:szCs w:val="1"/>
                <w:color w:val="auto"/>
              </w:rPr>
            </w:pPr>
          </w:p>
        </w:tc>
      </w:tr>
      <w:tr>
        <w:trPr>
          <w:trHeight w:val="224"/>
        </w:trPr>
        <w:tc>
          <w:tcPr>
            <w:tcW w:w="5380" w:type="dxa"/>
            <w:vAlign w:val="bottom"/>
            <w:gridSpan w:val="2"/>
          </w:tcPr>
          <w:p>
            <w:pPr>
              <w:ind w:left="360"/>
              <w:spacing w:after="0"/>
              <w:rPr>
                <w:sz w:val="20"/>
                <w:szCs w:val="20"/>
                <w:color w:val="auto"/>
              </w:rPr>
            </w:pPr>
            <w:r>
              <w:rPr>
                <w:rFonts w:ascii="Arial" w:cs="Arial" w:eastAsia="Arial" w:hAnsi="Arial"/>
                <w:sz w:val="18"/>
                <w:szCs w:val="18"/>
                <w:color w:val="auto"/>
              </w:rPr>
              <w:t>•  Payout based on enterprise performance factor (0%-175%</w:t>
            </w:r>
          </w:p>
        </w:tc>
        <w:tc>
          <w:tcPr>
            <w:tcW w:w="5480" w:type="dxa"/>
            <w:vAlign w:val="bottom"/>
          </w:tcPr>
          <w:p>
            <w:pPr>
              <w:ind w:left="460"/>
              <w:spacing w:after="0"/>
              <w:rPr>
                <w:sz w:val="20"/>
                <w:szCs w:val="20"/>
                <w:color w:val="auto"/>
              </w:rPr>
            </w:pPr>
            <w:r>
              <w:rPr>
                <w:rFonts w:ascii="Arial" w:cs="Arial" w:eastAsia="Arial" w:hAnsi="Arial"/>
                <w:sz w:val="18"/>
                <w:szCs w:val="18"/>
                <w:color w:val="auto"/>
              </w:rPr>
              <w:t>enterprise results, as described on pages 28 to 31</w:t>
            </w:r>
          </w:p>
        </w:tc>
        <w:tc>
          <w:tcPr>
            <w:tcW w:w="0" w:type="dxa"/>
            <w:vAlign w:val="bottom"/>
          </w:tcPr>
          <w:p>
            <w:pPr>
              <w:spacing w:after="0"/>
              <w:rPr>
                <w:sz w:val="1"/>
                <w:szCs w:val="1"/>
                <w:color w:val="auto"/>
              </w:rPr>
            </w:pPr>
          </w:p>
        </w:tc>
      </w:tr>
      <w:tr>
        <w:trPr>
          <w:trHeight w:val="200"/>
        </w:trPr>
        <w:tc>
          <w:tcPr>
            <w:tcW w:w="500" w:type="dxa"/>
            <w:vAlign w:val="bottom"/>
          </w:tcPr>
          <w:p>
            <w:pPr>
              <w:spacing w:after="0"/>
              <w:rPr>
                <w:sz w:val="17"/>
                <w:szCs w:val="17"/>
                <w:color w:val="auto"/>
              </w:rPr>
            </w:pPr>
          </w:p>
        </w:tc>
        <w:tc>
          <w:tcPr>
            <w:tcW w:w="4880" w:type="dxa"/>
            <w:vAlign w:val="bottom"/>
          </w:tcPr>
          <w:p>
            <w:pPr>
              <w:ind w:left="40"/>
              <w:spacing w:after="0" w:line="200" w:lineRule="exact"/>
              <w:rPr>
                <w:sz w:val="20"/>
                <w:szCs w:val="20"/>
                <w:color w:val="auto"/>
              </w:rPr>
            </w:pPr>
            <w:r>
              <w:rPr>
                <w:rFonts w:ascii="Arial" w:cs="Arial" w:eastAsia="Arial" w:hAnsi="Arial"/>
                <w:sz w:val="18"/>
                <w:szCs w:val="18"/>
                <w:color w:val="auto"/>
              </w:rPr>
              <w:t>of target) and an individual performance modifier of 0% to</w:t>
            </w:r>
          </w:p>
        </w:tc>
        <w:tc>
          <w:tcPr>
            <w:tcW w:w="5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00" w:type="dxa"/>
            <w:vAlign w:val="bottom"/>
          </w:tcPr>
          <w:p>
            <w:pPr>
              <w:spacing w:after="0"/>
              <w:rPr>
                <w:sz w:val="18"/>
                <w:szCs w:val="18"/>
                <w:color w:val="auto"/>
              </w:rPr>
            </w:pPr>
          </w:p>
        </w:tc>
        <w:tc>
          <w:tcPr>
            <w:tcW w:w="4880" w:type="dxa"/>
            <w:vAlign w:val="bottom"/>
          </w:tcPr>
          <w:p>
            <w:pPr>
              <w:ind w:left="40"/>
              <w:spacing w:after="0"/>
              <w:rPr>
                <w:sz w:val="20"/>
                <w:szCs w:val="20"/>
                <w:color w:val="auto"/>
              </w:rPr>
            </w:pPr>
            <w:r>
              <w:rPr>
                <w:rFonts w:ascii="Arial" w:cs="Arial" w:eastAsia="Arial" w:hAnsi="Arial"/>
                <w:sz w:val="18"/>
                <w:szCs w:val="18"/>
                <w:color w:val="auto"/>
              </w:rPr>
              <w:t>+25% of target</w:t>
            </w:r>
          </w:p>
        </w:tc>
        <w:tc>
          <w:tcPr>
            <w:tcW w:w="5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500" w:type="dxa"/>
            <w:vAlign w:val="bottom"/>
          </w:tcPr>
          <w:p>
            <w:pPr>
              <w:spacing w:after="0"/>
              <w:rPr>
                <w:sz w:val="3"/>
                <w:szCs w:val="3"/>
                <w:color w:val="auto"/>
              </w:rPr>
            </w:pPr>
          </w:p>
        </w:tc>
        <w:tc>
          <w:tcPr>
            <w:tcW w:w="4880" w:type="dxa"/>
            <w:vAlign w:val="bottom"/>
          </w:tcPr>
          <w:p>
            <w:pPr>
              <w:spacing w:after="0"/>
              <w:rPr>
                <w:sz w:val="3"/>
                <w:szCs w:val="3"/>
                <w:color w:val="auto"/>
              </w:rPr>
            </w:pPr>
          </w:p>
        </w:tc>
        <w:tc>
          <w:tcPr>
            <w:tcW w:w="5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500" w:type="dxa"/>
            <w:vAlign w:val="bottom"/>
            <w:shd w:val="clear" w:color="auto" w:fill="E5E5E5"/>
          </w:tcPr>
          <w:p>
            <w:pPr>
              <w:ind w:left="180"/>
              <w:spacing w:after="0" w:line="176" w:lineRule="exact"/>
              <w:rPr>
                <w:sz w:val="20"/>
                <w:szCs w:val="20"/>
                <w:color w:val="auto"/>
              </w:rPr>
            </w:pPr>
            <w:r>
              <w:rPr>
                <w:rFonts w:ascii="Arial" w:cs="Arial" w:eastAsia="Arial" w:hAnsi="Arial"/>
                <w:sz w:val="18"/>
                <w:szCs w:val="18"/>
                <w:b w:val="1"/>
                <w:bCs w:val="1"/>
                <w:color w:val="007549"/>
              </w:rPr>
              <w:t>LTI</w:t>
            </w:r>
          </w:p>
        </w:tc>
        <w:tc>
          <w:tcPr>
            <w:tcW w:w="4880" w:type="dxa"/>
            <w:vAlign w:val="bottom"/>
            <w:shd w:val="clear" w:color="auto" w:fill="E5E5E5"/>
          </w:tcPr>
          <w:p>
            <w:pPr>
              <w:spacing w:after="0"/>
              <w:rPr>
                <w:sz w:val="15"/>
                <w:szCs w:val="15"/>
                <w:color w:val="auto"/>
              </w:rPr>
            </w:pPr>
          </w:p>
        </w:tc>
        <w:tc>
          <w:tcPr>
            <w:tcW w:w="5480" w:type="dxa"/>
            <w:vAlign w:val="bottom"/>
            <w:shd w:val="clear" w:color="auto" w:fill="E5E5E5"/>
          </w:tcPr>
          <w:p>
            <w:pPr>
              <w:ind w:left="100"/>
              <w:spacing w:after="0" w:line="176" w:lineRule="exact"/>
              <w:rPr>
                <w:sz w:val="20"/>
                <w:szCs w:val="20"/>
                <w:color w:val="auto"/>
              </w:rPr>
            </w:pPr>
            <w:r>
              <w:rPr>
                <w:rFonts w:ascii="Arial" w:cs="Arial" w:eastAsia="Arial" w:hAnsi="Arial"/>
                <w:sz w:val="18"/>
                <w:szCs w:val="18"/>
                <w:b w:val="1"/>
                <w:bCs w:val="1"/>
                <w:color w:val="auto"/>
              </w:rPr>
              <w:t>Reduced CEO’s 2017 LTI award by 10% from target; other</w:t>
            </w:r>
          </w:p>
        </w:tc>
        <w:tc>
          <w:tcPr>
            <w:tcW w:w="0" w:type="dxa"/>
            <w:vAlign w:val="bottom"/>
          </w:tcPr>
          <w:p>
            <w:pPr>
              <w:spacing w:after="0"/>
              <w:rPr>
                <w:sz w:val="1"/>
                <w:szCs w:val="1"/>
                <w:color w:val="auto"/>
              </w:rPr>
            </w:pPr>
          </w:p>
        </w:tc>
      </w:tr>
      <w:tr>
        <w:trPr>
          <w:trHeight w:val="210"/>
        </w:trPr>
        <w:tc>
          <w:tcPr>
            <w:tcW w:w="500" w:type="dxa"/>
            <w:vAlign w:val="bottom"/>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4880" w:type="dxa"/>
            <w:vAlign w:val="bottom"/>
            <w:shd w:val="clear" w:color="auto" w:fill="E5E5E5"/>
          </w:tcPr>
          <w:p>
            <w:pPr>
              <w:ind w:left="40"/>
              <w:spacing w:after="0"/>
              <w:rPr>
                <w:sz w:val="20"/>
                <w:szCs w:val="20"/>
                <w:color w:val="auto"/>
              </w:rPr>
            </w:pPr>
            <w:r>
              <w:rPr>
                <w:rFonts w:ascii="Arial" w:cs="Arial" w:eastAsia="Arial" w:hAnsi="Arial"/>
                <w:sz w:val="18"/>
                <w:szCs w:val="18"/>
                <w:color w:val="auto"/>
              </w:rPr>
              <w:t>60% Performance Share Units (“PSUs”) (70% for CEO);</w:t>
            </w:r>
          </w:p>
        </w:tc>
        <w:tc>
          <w:tcPr>
            <w:tcW w:w="5480" w:type="dxa"/>
            <w:vAlign w:val="bottom"/>
            <w:shd w:val="clear" w:color="auto" w:fill="E5E5E5"/>
          </w:tcPr>
          <w:p>
            <w:pPr>
              <w:ind w:left="100"/>
              <w:spacing w:after="0"/>
              <w:rPr>
                <w:sz w:val="20"/>
                <w:szCs w:val="20"/>
                <w:color w:val="auto"/>
              </w:rPr>
            </w:pPr>
            <w:r>
              <w:rPr>
                <w:rFonts w:ascii="Arial" w:cs="Arial" w:eastAsia="Arial" w:hAnsi="Arial"/>
                <w:sz w:val="18"/>
                <w:szCs w:val="18"/>
                <w:b w:val="1"/>
                <w:bCs w:val="1"/>
                <w:color w:val="auto"/>
              </w:rPr>
              <w:t>NEOs received target-level LTI awards</w:t>
            </w:r>
          </w:p>
        </w:tc>
        <w:tc>
          <w:tcPr>
            <w:tcW w:w="0" w:type="dxa"/>
            <w:vAlign w:val="bottom"/>
          </w:tcPr>
          <w:p>
            <w:pPr>
              <w:spacing w:after="0"/>
              <w:rPr>
                <w:sz w:val="1"/>
                <w:szCs w:val="1"/>
                <w:color w:val="auto"/>
              </w:rPr>
            </w:pPr>
          </w:p>
        </w:tc>
      </w:tr>
      <w:tr>
        <w:trPr>
          <w:trHeight w:val="213"/>
        </w:trPr>
        <w:tc>
          <w:tcPr>
            <w:tcW w:w="500" w:type="dxa"/>
            <w:vAlign w:val="bottom"/>
            <w:shd w:val="clear" w:color="auto" w:fill="E5E5E5"/>
          </w:tcPr>
          <w:p>
            <w:pPr>
              <w:spacing w:after="0"/>
              <w:rPr>
                <w:sz w:val="18"/>
                <w:szCs w:val="18"/>
                <w:color w:val="auto"/>
              </w:rPr>
            </w:pPr>
          </w:p>
        </w:tc>
        <w:tc>
          <w:tcPr>
            <w:tcW w:w="4880" w:type="dxa"/>
            <w:vAlign w:val="bottom"/>
            <w:shd w:val="clear" w:color="auto" w:fill="E5E5E5"/>
          </w:tcPr>
          <w:p>
            <w:pPr>
              <w:ind w:left="40"/>
              <w:spacing w:after="0"/>
              <w:rPr>
                <w:sz w:val="20"/>
                <w:szCs w:val="20"/>
                <w:color w:val="auto"/>
              </w:rPr>
            </w:pPr>
            <w:r>
              <w:rPr>
                <w:rFonts w:ascii="Arial" w:cs="Arial" w:eastAsia="Arial" w:hAnsi="Arial"/>
                <w:sz w:val="18"/>
                <w:szCs w:val="18"/>
                <w:color w:val="auto"/>
              </w:rPr>
              <w:t>payout from 0%-200% of target</w:t>
            </w:r>
          </w:p>
        </w:tc>
        <w:tc>
          <w:tcPr>
            <w:tcW w:w="5480" w:type="dxa"/>
            <w:vAlign w:val="bottom"/>
            <w:shd w:val="clear" w:color="auto" w:fill="E5E5E5"/>
          </w:tcPr>
          <w:p>
            <w:pPr>
              <w:ind w:left="280"/>
              <w:spacing w:after="0"/>
              <w:rPr>
                <w:sz w:val="20"/>
                <w:szCs w:val="20"/>
                <w:color w:val="auto"/>
              </w:rPr>
            </w:pPr>
            <w:r>
              <w:rPr>
                <w:rFonts w:ascii="Arial" w:cs="Arial" w:eastAsia="Arial" w:hAnsi="Arial"/>
                <w:sz w:val="18"/>
                <w:szCs w:val="18"/>
                <w:color w:val="auto"/>
              </w:rPr>
              <w:t>•  PSUs at-risk based on three-year relative TSR performance</w:t>
            </w:r>
          </w:p>
        </w:tc>
        <w:tc>
          <w:tcPr>
            <w:tcW w:w="0" w:type="dxa"/>
            <w:vAlign w:val="bottom"/>
          </w:tcPr>
          <w:p>
            <w:pPr>
              <w:spacing w:after="0"/>
              <w:rPr>
                <w:sz w:val="1"/>
                <w:szCs w:val="1"/>
                <w:color w:val="auto"/>
              </w:rPr>
            </w:pPr>
          </w:p>
        </w:tc>
      </w:tr>
      <w:tr>
        <w:trPr>
          <w:trHeight w:val="200"/>
        </w:trPr>
        <w:tc>
          <w:tcPr>
            <w:tcW w:w="5380" w:type="dxa"/>
            <w:vAlign w:val="bottom"/>
            <w:gridSpan w:val="2"/>
            <w:shd w:val="clear" w:color="auto" w:fill="E5E5E5"/>
          </w:tcPr>
          <w:p>
            <w:pPr>
              <w:ind w:left="360"/>
              <w:spacing w:after="0" w:line="200" w:lineRule="exact"/>
              <w:rPr>
                <w:sz w:val="20"/>
                <w:szCs w:val="20"/>
                <w:color w:val="auto"/>
              </w:rPr>
            </w:pPr>
            <w:r>
              <w:rPr>
                <w:rFonts w:ascii="Arial" w:cs="Arial" w:eastAsia="Arial" w:hAnsi="Arial"/>
                <w:sz w:val="18"/>
                <w:szCs w:val="18"/>
                <w:color w:val="auto"/>
              </w:rPr>
              <w:t>•  20%  Stock  Options  (30%  for  CEO);  stock  price  must</w:t>
            </w:r>
          </w:p>
        </w:tc>
        <w:tc>
          <w:tcPr>
            <w:tcW w:w="5480" w:type="dxa"/>
            <w:vAlign w:val="bottom"/>
            <w:shd w:val="clear" w:color="auto" w:fill="E5E5E5"/>
          </w:tcPr>
          <w:p>
            <w:pPr>
              <w:ind w:left="460"/>
              <w:spacing w:after="0" w:line="200" w:lineRule="exact"/>
              <w:rPr>
                <w:sz w:val="20"/>
                <w:szCs w:val="20"/>
                <w:color w:val="auto"/>
              </w:rPr>
            </w:pPr>
            <w:r>
              <w:rPr>
                <w:rFonts w:ascii="Arial" w:cs="Arial" w:eastAsia="Arial" w:hAnsi="Arial"/>
                <w:sz w:val="18"/>
                <w:szCs w:val="18"/>
                <w:color w:val="auto"/>
              </w:rPr>
              <w:t>compared to peers</w:t>
            </w:r>
          </w:p>
        </w:tc>
        <w:tc>
          <w:tcPr>
            <w:tcW w:w="0" w:type="dxa"/>
            <w:vAlign w:val="bottom"/>
          </w:tcPr>
          <w:p>
            <w:pPr>
              <w:spacing w:after="0"/>
              <w:rPr>
                <w:sz w:val="1"/>
                <w:szCs w:val="1"/>
                <w:color w:val="auto"/>
              </w:rPr>
            </w:pPr>
          </w:p>
        </w:tc>
      </w:tr>
      <w:tr>
        <w:trPr>
          <w:trHeight w:val="224"/>
        </w:trPr>
        <w:tc>
          <w:tcPr>
            <w:tcW w:w="500" w:type="dxa"/>
            <w:vAlign w:val="bottom"/>
            <w:vMerge w:val="restart"/>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4880" w:type="dxa"/>
            <w:vAlign w:val="bottom"/>
            <w:shd w:val="clear" w:color="auto" w:fill="E5E5E5"/>
          </w:tcPr>
          <w:p>
            <w:pPr>
              <w:ind w:left="40"/>
              <w:spacing w:after="0"/>
              <w:rPr>
                <w:sz w:val="20"/>
                <w:szCs w:val="20"/>
                <w:color w:val="auto"/>
              </w:rPr>
            </w:pPr>
            <w:r>
              <w:rPr>
                <w:rFonts w:ascii="Arial" w:cs="Arial" w:eastAsia="Arial" w:hAnsi="Arial"/>
                <w:sz w:val="18"/>
                <w:szCs w:val="18"/>
                <w:color w:val="auto"/>
              </w:rPr>
              <w:t>appreciate for any value to be realized</w:t>
            </w:r>
          </w:p>
        </w:tc>
        <w:tc>
          <w:tcPr>
            <w:tcW w:w="5480" w:type="dxa"/>
            <w:vAlign w:val="bottom"/>
            <w:shd w:val="clear" w:color="auto" w:fill="E5E5E5"/>
          </w:tcPr>
          <w:p>
            <w:pPr>
              <w:ind w:left="280"/>
              <w:spacing w:after="0"/>
              <w:rPr>
                <w:sz w:val="20"/>
                <w:szCs w:val="20"/>
                <w:color w:val="auto"/>
              </w:rPr>
            </w:pPr>
            <w:r>
              <w:rPr>
                <w:rFonts w:ascii="Arial" w:cs="Arial" w:eastAsia="Arial" w:hAnsi="Arial"/>
                <w:sz w:val="18"/>
                <w:szCs w:val="18"/>
                <w:color w:val="auto"/>
              </w:rPr>
              <w:t>•  Payout of PSUs for the 2015-17 performance period was 63%</w:t>
            </w:r>
          </w:p>
        </w:tc>
        <w:tc>
          <w:tcPr>
            <w:tcW w:w="0" w:type="dxa"/>
            <w:vAlign w:val="bottom"/>
          </w:tcPr>
          <w:p>
            <w:pPr>
              <w:spacing w:after="0"/>
              <w:rPr>
                <w:sz w:val="1"/>
                <w:szCs w:val="1"/>
                <w:color w:val="auto"/>
              </w:rPr>
            </w:pPr>
          </w:p>
        </w:tc>
      </w:tr>
      <w:tr>
        <w:trPr>
          <w:trHeight w:val="212"/>
        </w:trPr>
        <w:tc>
          <w:tcPr>
            <w:tcW w:w="500" w:type="dxa"/>
            <w:vAlign w:val="bottom"/>
            <w:vMerge w:val="continue"/>
            <w:shd w:val="clear" w:color="auto" w:fill="E5E5E5"/>
          </w:tcPr>
          <w:p>
            <w:pPr>
              <w:spacing w:after="0"/>
              <w:rPr>
                <w:sz w:val="18"/>
                <w:szCs w:val="18"/>
                <w:color w:val="auto"/>
              </w:rPr>
            </w:pPr>
          </w:p>
        </w:tc>
        <w:tc>
          <w:tcPr>
            <w:tcW w:w="4880" w:type="dxa"/>
            <w:vAlign w:val="bottom"/>
            <w:shd w:val="clear" w:color="auto" w:fill="E5E5E5"/>
          </w:tcPr>
          <w:p>
            <w:pPr>
              <w:ind w:left="40"/>
              <w:spacing w:after="0"/>
              <w:rPr>
                <w:sz w:val="20"/>
                <w:szCs w:val="20"/>
                <w:color w:val="auto"/>
              </w:rPr>
            </w:pPr>
            <w:r>
              <w:rPr>
                <w:rFonts w:ascii="Arial" w:cs="Arial" w:eastAsia="Arial" w:hAnsi="Arial"/>
                <w:sz w:val="18"/>
                <w:szCs w:val="18"/>
                <w:color w:val="auto"/>
              </w:rPr>
              <w:t>20% Restricted Stock (0% for CEO); vesting occurs ratably</w:t>
            </w:r>
          </w:p>
        </w:tc>
        <w:tc>
          <w:tcPr>
            <w:tcW w:w="5480" w:type="dxa"/>
            <w:vAlign w:val="bottom"/>
            <w:shd w:val="clear" w:color="auto" w:fill="E5E5E5"/>
          </w:tcPr>
          <w:p>
            <w:pPr>
              <w:ind w:left="460"/>
              <w:spacing w:after="0"/>
              <w:rPr>
                <w:sz w:val="20"/>
                <w:szCs w:val="20"/>
                <w:color w:val="auto"/>
              </w:rPr>
            </w:pPr>
            <w:r>
              <w:rPr>
                <w:rFonts w:ascii="Arial" w:cs="Arial" w:eastAsia="Arial" w:hAnsi="Arial"/>
                <w:sz w:val="18"/>
                <w:szCs w:val="18"/>
                <w:color w:val="auto"/>
              </w:rPr>
              <w:t>of target, given our relative TSR performance</w:t>
            </w:r>
          </w:p>
        </w:tc>
        <w:tc>
          <w:tcPr>
            <w:tcW w:w="0" w:type="dxa"/>
            <w:vAlign w:val="bottom"/>
          </w:tcPr>
          <w:p>
            <w:pPr>
              <w:spacing w:after="0"/>
              <w:rPr>
                <w:sz w:val="1"/>
                <w:szCs w:val="1"/>
                <w:color w:val="auto"/>
              </w:rPr>
            </w:pPr>
          </w:p>
        </w:tc>
      </w:tr>
      <w:tr>
        <w:trPr>
          <w:trHeight w:val="213"/>
        </w:trPr>
        <w:tc>
          <w:tcPr>
            <w:tcW w:w="500" w:type="dxa"/>
            <w:vAlign w:val="bottom"/>
            <w:tcBorders>
              <w:bottom w:val="single" w:sz="8" w:color="007549"/>
            </w:tcBorders>
            <w:shd w:val="clear" w:color="auto" w:fill="E5E5E5"/>
          </w:tcPr>
          <w:p>
            <w:pPr>
              <w:spacing w:after="0"/>
              <w:rPr>
                <w:sz w:val="18"/>
                <w:szCs w:val="18"/>
                <w:color w:val="auto"/>
              </w:rPr>
            </w:pPr>
          </w:p>
        </w:tc>
        <w:tc>
          <w:tcPr>
            <w:tcW w:w="4880" w:type="dxa"/>
            <w:vAlign w:val="bottom"/>
            <w:tcBorders>
              <w:bottom w:val="single" w:sz="8" w:color="007549"/>
            </w:tcBorders>
            <w:shd w:val="clear" w:color="auto" w:fill="E5E5E5"/>
          </w:tcPr>
          <w:p>
            <w:pPr>
              <w:ind w:left="40"/>
              <w:spacing w:after="0"/>
              <w:rPr>
                <w:sz w:val="20"/>
                <w:szCs w:val="20"/>
                <w:color w:val="auto"/>
              </w:rPr>
            </w:pPr>
            <w:r>
              <w:rPr>
                <w:rFonts w:ascii="Arial" w:cs="Arial" w:eastAsia="Arial" w:hAnsi="Arial"/>
                <w:sz w:val="18"/>
                <w:szCs w:val="18"/>
                <w:color w:val="auto"/>
              </w:rPr>
              <w:t>over three years</w:t>
            </w:r>
          </w:p>
        </w:tc>
        <w:tc>
          <w:tcPr>
            <w:tcW w:w="5480" w:type="dxa"/>
            <w:vAlign w:val="bottom"/>
            <w:tcBorders>
              <w:bottom w:val="single" w:sz="8" w:color="007549"/>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jc w:val="both"/>
        <w:ind w:left="280"/>
        <w:spacing w:after="0" w:line="238" w:lineRule="auto"/>
        <w:rPr>
          <w:sz w:val="20"/>
          <w:szCs w:val="20"/>
          <w:color w:val="auto"/>
        </w:rPr>
      </w:pPr>
      <w:r>
        <w:rPr>
          <w:rFonts w:ascii="Arial" w:cs="Arial" w:eastAsia="Arial" w:hAnsi="Arial"/>
          <w:sz w:val="18"/>
          <w:szCs w:val="18"/>
          <w:b w:val="1"/>
          <w:bCs w:val="1"/>
          <w:i w:val="1"/>
          <w:iCs w:val="1"/>
          <w:color w:val="007549"/>
        </w:rPr>
        <w:t>Pay Mix</w:t>
      </w:r>
      <w:r>
        <w:rPr>
          <w:rFonts w:ascii="Arial" w:cs="Arial" w:eastAsia="Arial" w:hAnsi="Arial"/>
          <w:sz w:val="18"/>
          <w:szCs w:val="18"/>
          <w:b w:val="1"/>
          <w:bCs w:val="1"/>
          <w:color w:val="007549"/>
        </w:rPr>
        <w:t>.</w:t>
      </w:r>
      <w:r>
        <w:rPr>
          <w:rFonts w:ascii="Arial" w:cs="Arial" w:eastAsia="Arial" w:hAnsi="Arial"/>
          <w:sz w:val="18"/>
          <w:szCs w:val="18"/>
          <w:b w:val="1"/>
          <w:bCs w:val="1"/>
          <w:i w:val="1"/>
          <w:iCs w:val="1"/>
          <w:color w:val="007549"/>
        </w:rPr>
        <w:t xml:space="preserve"> </w:t>
      </w:r>
      <w:r>
        <w:rPr>
          <w:rFonts w:ascii="Arial" w:cs="Arial" w:eastAsia="Arial" w:hAnsi="Arial"/>
          <w:sz w:val="18"/>
          <w:szCs w:val="18"/>
          <w:color w:val="000000"/>
        </w:rPr>
        <w:t>The majority of NEO compensation is variable and performance-based. For our CEO and other NEOs, approximately 90% and</w:t>
      </w:r>
      <w:r>
        <w:rPr>
          <w:rFonts w:ascii="Arial" w:cs="Arial" w:eastAsia="Arial" w:hAnsi="Arial"/>
          <w:sz w:val="18"/>
          <w:szCs w:val="18"/>
          <w:b w:val="1"/>
          <w:bCs w:val="1"/>
          <w:i w:val="1"/>
          <w:iCs w:val="1"/>
          <w:color w:val="007549"/>
        </w:rPr>
        <w:t xml:space="preserve"> </w:t>
      </w:r>
      <w:r>
        <w:rPr>
          <w:rFonts w:ascii="Arial" w:cs="Arial" w:eastAsia="Arial" w:hAnsi="Arial"/>
          <w:sz w:val="18"/>
          <w:szCs w:val="18"/>
          <w:color w:val="000000"/>
        </w:rPr>
        <w:t>80%, respectively, on average, of 2017 target total direct compensation was variable. Variable pay directly ties each NEO’s pay to company performance outcomes, including financial results, operational results, strategic initiatives, and stock price performance. Beginning in 2016, the committee focused Mr. Hess’ long-term incentive mix on a combination of PSUs and stock options, making 100% of his long-term incentive compensation performance-contingent and further aligning Mr. Hess’ total compensation to the company’s long-term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203835</wp:posOffset>
            </wp:positionV>
            <wp:extent cx="2821940" cy="22472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821940" cy="224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9140" w:type="dxa"/>
        <w:tblCellMar>
          <w:top w:w="0" w:type="dxa"/>
          <w:left w:w="0" w:type="dxa"/>
          <w:bottom w:w="0" w:type="dxa"/>
          <w:right w:w="0" w:type="dxa"/>
        </w:tblCellMar>
      </w:tblPr>
      <w:tr>
        <w:trPr>
          <w:trHeight w:val="188"/>
        </w:trPr>
        <w:tc>
          <w:tcPr>
            <w:tcW w:w="1680" w:type="dxa"/>
            <w:vAlign w:val="bottom"/>
          </w:tcPr>
          <w:p>
            <w:pPr>
              <w:spacing w:after="0"/>
              <w:rPr>
                <w:sz w:val="20"/>
                <w:szCs w:val="20"/>
                <w:color w:val="auto"/>
              </w:rPr>
            </w:pPr>
            <w:r>
              <w:rPr>
                <w:rFonts w:ascii="Arial" w:cs="Arial" w:eastAsia="Arial" w:hAnsi="Arial"/>
                <w:sz w:val="12"/>
                <w:szCs w:val="12"/>
                <w:b w:val="1"/>
                <w:bCs w:val="1"/>
                <w:color w:val="666666"/>
              </w:rPr>
              <w:t>2018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007549"/>
              </w:rPr>
              <w:t>23</w:t>
            </w:r>
          </w:p>
        </w:tc>
      </w:tr>
    </w:tbl>
    <w:p>
      <w:pPr>
        <w:sectPr>
          <w:pgSz w:w="11900" w:h="16838" w:orient="portrait"/>
          <w:cols w:equalWidth="0" w:num="1">
            <w:col w:w="11140"/>
          </w:cols>
          <w:pgMar w:left="240" w:top="454" w:right="5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007549"/>
        </w:rPr>
        <w:t xml:space="preserve">Executive Compensation </w:t>
      </w:r>
      <w:r>
        <w:rPr>
          <w:rFonts w:ascii="Arial" w:cs="Arial" w:eastAsia="Arial" w:hAnsi="Arial"/>
          <w:sz w:val="16"/>
          <w:szCs w:val="16"/>
          <w:b w:val="1"/>
          <w:bCs w:val="1"/>
          <w:color w:val="000000"/>
        </w:rPr>
        <w:t>+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55245</wp:posOffset>
            </wp:positionV>
            <wp:extent cx="689356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244" w:lineRule="exact"/>
        <w:rPr>
          <w:sz w:val="20"/>
          <w:szCs w:val="20"/>
          <w:color w:val="auto"/>
        </w:rPr>
      </w:pPr>
    </w:p>
    <w:p>
      <w:pPr>
        <w:jc w:val="both"/>
        <w:ind w:left="280"/>
        <w:spacing w:after="0" w:line="239" w:lineRule="auto"/>
        <w:rPr>
          <w:sz w:val="20"/>
          <w:szCs w:val="20"/>
          <w:color w:val="auto"/>
        </w:rPr>
      </w:pPr>
      <w:r>
        <w:rPr>
          <w:rFonts w:ascii="Arial" w:cs="Arial" w:eastAsia="Arial" w:hAnsi="Arial"/>
          <w:sz w:val="18"/>
          <w:szCs w:val="18"/>
          <w:b w:val="1"/>
          <w:bCs w:val="1"/>
          <w:i w:val="1"/>
          <w:iCs w:val="1"/>
          <w:color w:val="007549"/>
        </w:rPr>
        <w:t>Pay vs. Performance Alignment - Realizable Compensation</w:t>
      </w:r>
      <w:r>
        <w:rPr>
          <w:rFonts w:ascii="Arial" w:cs="Arial" w:eastAsia="Arial" w:hAnsi="Arial"/>
          <w:sz w:val="18"/>
          <w:szCs w:val="18"/>
          <w:b w:val="1"/>
          <w:bCs w:val="1"/>
          <w:color w:val="007549"/>
        </w:rPr>
        <w:t>.</w:t>
      </w:r>
      <w:r>
        <w:rPr>
          <w:rFonts w:ascii="Arial" w:cs="Arial" w:eastAsia="Arial" w:hAnsi="Arial"/>
          <w:sz w:val="18"/>
          <w:szCs w:val="18"/>
          <w:b w:val="1"/>
          <w:bCs w:val="1"/>
          <w:i w:val="1"/>
          <w:iCs w:val="1"/>
          <w:color w:val="007549"/>
        </w:rPr>
        <w:t xml:space="preserve"> </w:t>
      </w:r>
      <w:r>
        <w:rPr>
          <w:rFonts w:ascii="Arial" w:cs="Arial" w:eastAsia="Arial" w:hAnsi="Arial"/>
          <w:sz w:val="18"/>
          <w:szCs w:val="18"/>
          <w:color w:val="000000"/>
        </w:rPr>
        <w:t>A comparison of realizable pay to target pay, based on the grant date</w:t>
      </w:r>
      <w:r>
        <w:rPr>
          <w:rFonts w:ascii="Arial" w:cs="Arial" w:eastAsia="Arial" w:hAnsi="Arial"/>
          <w:sz w:val="18"/>
          <w:szCs w:val="18"/>
          <w:b w:val="1"/>
          <w:bCs w:val="1"/>
          <w:i w:val="1"/>
          <w:iCs w:val="1"/>
          <w:color w:val="007549"/>
        </w:rPr>
        <w:t xml:space="preserve"> </w:t>
      </w:r>
      <w:r>
        <w:rPr>
          <w:rFonts w:ascii="Arial" w:cs="Arial" w:eastAsia="Arial" w:hAnsi="Arial"/>
          <w:sz w:val="18"/>
          <w:szCs w:val="18"/>
          <w:color w:val="000000"/>
        </w:rPr>
        <w:t>opportunity, and TSR illustrates how performance outcomes have impacted pay over time. The graph below shows the average realizable pay of the CEO for each of the three-year periods ending December 31, 2015, 2016 and 2017 and the correlation with the indexed TSR of Hess common stock. As shown below, realizable CEO compensation is sensitive to TSR, thereby illustrating meaningful alignment with stockholder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297815</wp:posOffset>
            </wp:positionV>
            <wp:extent cx="5727700" cy="325247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727700" cy="3252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20" w:hanging="434"/>
        <w:spacing w:after="0" w:line="238"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Grant date opportunity reflects the average of salary, target cash bonus, and grant date fair market value of equity awards, as reported in the Grants of Plan-Based Awards table on page 38, for each respective year.</w:t>
      </w:r>
    </w:p>
    <w:p>
      <w:pPr>
        <w:spacing w:after="0" w:line="108" w:lineRule="exact"/>
        <w:rPr>
          <w:rFonts w:ascii="Arial" w:cs="Arial" w:eastAsia="Arial" w:hAnsi="Arial"/>
          <w:sz w:val="18"/>
          <w:szCs w:val="18"/>
          <w:color w:val="auto"/>
        </w:rPr>
      </w:pPr>
    </w:p>
    <w:p>
      <w:pPr>
        <w:jc w:val="both"/>
        <w:ind w:left="720" w:hanging="434"/>
        <w:spacing w:after="0" w:line="236"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Realizable pay reflects the average of salary, actual cash bonus, and the intrinsic value of stock options, the market value of restricted stock, and the market value of PSUs (tracking actual performance), in each case awarded in each of these three-year periods. Stock options, restricted stock, and PSUs are valued at year end 2015, 2016 and 2017 closing prices of common stock.</w:t>
      </w:r>
    </w:p>
    <w:p>
      <w:pPr>
        <w:spacing w:after="0" w:line="107" w:lineRule="exact"/>
        <w:rPr>
          <w:rFonts w:ascii="Arial" w:cs="Arial" w:eastAsia="Arial" w:hAnsi="Arial"/>
          <w:sz w:val="18"/>
          <w:szCs w:val="18"/>
          <w:color w:val="auto"/>
        </w:rPr>
      </w:pPr>
    </w:p>
    <w:p>
      <w:pPr>
        <w:jc w:val="both"/>
        <w:ind w:left="720" w:hanging="434"/>
        <w:spacing w:after="0" w:line="236"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more information on total compensation as calculated under SEC rules, see the narrative and notes accompanying the Summary Compensation Table on page 37. The amounts reported as realizable compensation differs substantially from the amounts reported as total compensation in the Summary Compensation Table and is not a substitute for those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1820545</wp:posOffset>
            </wp:positionH>
            <wp:positionV relativeFrom="paragraph">
              <wp:posOffset>85725</wp:posOffset>
            </wp:positionV>
            <wp:extent cx="405765" cy="2451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215" w:lineRule="exact"/>
        <w:rPr>
          <w:sz w:val="20"/>
          <w:szCs w:val="20"/>
          <w:color w:val="auto"/>
        </w:rPr>
      </w:pPr>
    </w:p>
    <w:p>
      <w:pPr>
        <w:ind w:left="760" w:hanging="474"/>
        <w:spacing w:after="0"/>
        <w:tabs>
          <w:tab w:leader="none" w:pos="760" w:val="left"/>
        </w:tabs>
        <w:numPr>
          <w:ilvl w:val="0"/>
          <w:numId w:val="46"/>
        </w:numPr>
        <w:rPr>
          <w:rFonts w:ascii="Arial" w:cs="Arial" w:eastAsia="Arial" w:hAnsi="Arial"/>
          <w:sz w:val="14"/>
          <w:szCs w:val="14"/>
          <w:b w:val="1"/>
          <w:bCs w:val="1"/>
          <w:color w:val="007549"/>
        </w:rPr>
      </w:pPr>
      <w:r>
        <w:rPr>
          <w:rFonts w:ascii="Arial" w:cs="Arial" w:eastAsia="Arial" w:hAnsi="Arial"/>
          <w:sz w:val="12"/>
          <w:szCs w:val="12"/>
          <w:b w:val="1"/>
          <w:bCs w:val="1"/>
          <w:color w:val="666666"/>
        </w:rPr>
        <w:t>2018 PROXY STATEMENT</w:t>
      </w:r>
    </w:p>
    <w:p>
      <w:pPr>
        <w:sectPr>
          <w:pgSz w:w="11900" w:h="16838" w:orient="portrait"/>
          <w:cols w:equalWidth="0" w:num="1">
            <w:col w:w="11140"/>
          </w:cols>
          <w:pgMar w:left="240" w:top="454" w:right="5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7549"/>
        </w:rPr>
        <w:t xml:space="preserve">Executive Compensation </w:t>
      </w:r>
      <w:r>
        <w:rPr>
          <w:rFonts w:ascii="Arial" w:cs="Arial" w:eastAsia="Arial" w:hAnsi="Arial"/>
          <w:sz w:val="16"/>
          <w:szCs w:val="16"/>
          <w:b w:val="1"/>
          <w:bCs w:val="1"/>
          <w:color w:val="000000"/>
        </w:rPr>
        <w:t>+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55245</wp:posOffset>
            </wp:positionV>
            <wp:extent cx="68935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234"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007549"/>
        </w:rPr>
        <w:t>2017 Stockholder Engagement and Response to Low Oil Price Environment</w:t>
      </w:r>
    </w:p>
    <w:p>
      <w:pPr>
        <w:spacing w:after="0" w:line="96" w:lineRule="exact"/>
        <w:rPr>
          <w:sz w:val="20"/>
          <w:szCs w:val="20"/>
          <w:color w:val="auto"/>
        </w:rPr>
      </w:pPr>
    </w:p>
    <w:p>
      <w:pPr>
        <w:jc w:val="both"/>
        <w:ind w:left="280"/>
        <w:spacing w:after="0" w:line="233" w:lineRule="auto"/>
        <w:rPr>
          <w:sz w:val="20"/>
          <w:szCs w:val="20"/>
          <w:color w:val="auto"/>
        </w:rPr>
      </w:pPr>
      <w:r>
        <w:rPr>
          <w:rFonts w:ascii="Arial" w:cs="Arial" w:eastAsia="Arial" w:hAnsi="Arial"/>
          <w:sz w:val="18"/>
          <w:szCs w:val="18"/>
          <w:color w:val="auto"/>
        </w:rPr>
        <w:t>At our 2017 annual meeting of stockholders, over 96% of votes present and entitled to vote supported Hess’ executive compensation program, in-line with stockholder support for the three prior years. In addition, we regularly engage stockholders to ensure we fully understand the factors they consider to be the most important when evaluating our executive compensation program. During 2017, our CEO and other members of senior management, at times accompanied by our independent chairman, conducted a broad outreach effort which included meetings with more than 300 institutional investors representing, in the aggregate, approximately 70% of our outstanding shares. The purpose of our stockholders engagement is to discuss and solicit stockholder views on our strategy, business plan, corporate governance and other matters of concern, including executive compensation.</w:t>
      </w:r>
    </w:p>
    <w:p>
      <w:pPr>
        <w:spacing w:after="0" w:line="177" w:lineRule="exact"/>
        <w:rPr>
          <w:sz w:val="20"/>
          <w:szCs w:val="20"/>
          <w:color w:val="auto"/>
        </w:rPr>
      </w:pPr>
    </w:p>
    <w:p>
      <w:pPr>
        <w:jc w:val="both"/>
        <w:ind w:left="280"/>
        <w:spacing w:after="0" w:line="238" w:lineRule="auto"/>
        <w:rPr>
          <w:sz w:val="20"/>
          <w:szCs w:val="20"/>
          <w:color w:val="auto"/>
        </w:rPr>
      </w:pPr>
      <w:r>
        <w:rPr>
          <w:rFonts w:ascii="Arial" w:cs="Arial" w:eastAsia="Arial" w:hAnsi="Arial"/>
          <w:sz w:val="18"/>
          <w:szCs w:val="18"/>
          <w:color w:val="auto"/>
        </w:rPr>
        <w:t>Over the last several years, the committee implemented a number of changes to our compensation program based on feedback we received and to align with the low oil price environment and our stockholders’ interests:</w:t>
      </w:r>
    </w:p>
    <w:p>
      <w:pPr>
        <w:spacing w:after="0" w:line="229" w:lineRule="exact"/>
        <w:rPr>
          <w:sz w:val="20"/>
          <w:szCs w:val="20"/>
          <w:color w:val="auto"/>
        </w:rPr>
      </w:pPr>
    </w:p>
    <w:tbl>
      <w:tblPr>
        <w:tblLayout w:type="fixed"/>
        <w:tblInd w:w="280" w:type="dxa"/>
        <w:tblCellMar>
          <w:top w:w="0" w:type="dxa"/>
          <w:left w:w="0" w:type="dxa"/>
          <w:bottom w:w="0" w:type="dxa"/>
          <w:right w:w="0" w:type="dxa"/>
        </w:tblCellMar>
      </w:tblPr>
      <w:tr>
        <w:trPr>
          <w:trHeight w:val="271"/>
        </w:trPr>
        <w:tc>
          <w:tcPr>
            <w:tcW w:w="2380" w:type="dxa"/>
            <w:vAlign w:val="bottom"/>
            <w:shd w:val="clear" w:color="auto" w:fill="007549"/>
          </w:tcPr>
          <w:p>
            <w:pPr>
              <w:jc w:val="center"/>
              <w:spacing w:after="0"/>
              <w:rPr>
                <w:sz w:val="20"/>
                <w:szCs w:val="20"/>
                <w:color w:val="auto"/>
              </w:rPr>
            </w:pPr>
            <w:r>
              <w:rPr>
                <w:rFonts w:ascii="Arial" w:cs="Arial" w:eastAsia="Arial" w:hAnsi="Arial"/>
                <w:sz w:val="18"/>
                <w:szCs w:val="18"/>
                <w:b w:val="1"/>
                <w:bCs w:val="1"/>
                <w:color w:val="FFFFFF"/>
                <w:w w:val="99"/>
              </w:rPr>
              <w:t>2014</w:t>
            </w:r>
          </w:p>
        </w:tc>
        <w:tc>
          <w:tcPr>
            <w:tcW w:w="160" w:type="dxa"/>
            <w:vAlign w:val="bottom"/>
          </w:tcPr>
          <w:p>
            <w:pPr>
              <w:spacing w:after="0"/>
              <w:rPr>
                <w:sz w:val="23"/>
                <w:szCs w:val="23"/>
                <w:color w:val="auto"/>
              </w:rPr>
            </w:pPr>
          </w:p>
        </w:tc>
        <w:tc>
          <w:tcPr>
            <w:tcW w:w="2000" w:type="dxa"/>
            <w:vAlign w:val="bottom"/>
            <w:shd w:val="clear" w:color="auto" w:fill="007549"/>
          </w:tcPr>
          <w:p>
            <w:pPr>
              <w:jc w:val="center"/>
              <w:spacing w:after="0"/>
              <w:rPr>
                <w:sz w:val="20"/>
                <w:szCs w:val="20"/>
                <w:color w:val="auto"/>
              </w:rPr>
            </w:pPr>
            <w:r>
              <w:rPr>
                <w:rFonts w:ascii="Arial" w:cs="Arial" w:eastAsia="Arial" w:hAnsi="Arial"/>
                <w:sz w:val="18"/>
                <w:szCs w:val="18"/>
                <w:b w:val="1"/>
                <w:bCs w:val="1"/>
                <w:color w:val="FFFFFF"/>
                <w:w w:val="94"/>
              </w:rPr>
              <w:t>2015</w:t>
            </w:r>
          </w:p>
        </w:tc>
        <w:tc>
          <w:tcPr>
            <w:tcW w:w="160" w:type="dxa"/>
            <w:vAlign w:val="bottom"/>
          </w:tcPr>
          <w:p>
            <w:pPr>
              <w:spacing w:after="0"/>
              <w:rPr>
                <w:sz w:val="23"/>
                <w:szCs w:val="23"/>
                <w:color w:val="auto"/>
              </w:rPr>
            </w:pPr>
          </w:p>
        </w:tc>
        <w:tc>
          <w:tcPr>
            <w:tcW w:w="2020" w:type="dxa"/>
            <w:vAlign w:val="bottom"/>
            <w:shd w:val="clear" w:color="auto" w:fill="007549"/>
          </w:tcPr>
          <w:p>
            <w:pPr>
              <w:jc w:val="center"/>
              <w:spacing w:after="0"/>
              <w:rPr>
                <w:sz w:val="20"/>
                <w:szCs w:val="20"/>
                <w:color w:val="auto"/>
              </w:rPr>
            </w:pPr>
            <w:r>
              <w:rPr>
                <w:rFonts w:ascii="Arial" w:cs="Arial" w:eastAsia="Arial" w:hAnsi="Arial"/>
                <w:sz w:val="18"/>
                <w:szCs w:val="18"/>
                <w:b w:val="1"/>
                <w:bCs w:val="1"/>
                <w:color w:val="FFFFFF"/>
                <w:w w:val="99"/>
              </w:rPr>
              <w:t>2016</w:t>
            </w:r>
          </w:p>
        </w:tc>
        <w:tc>
          <w:tcPr>
            <w:tcW w:w="160" w:type="dxa"/>
            <w:vAlign w:val="bottom"/>
          </w:tcPr>
          <w:p>
            <w:pPr>
              <w:spacing w:after="0"/>
              <w:rPr>
                <w:sz w:val="23"/>
                <w:szCs w:val="23"/>
                <w:color w:val="auto"/>
              </w:rPr>
            </w:pPr>
          </w:p>
        </w:tc>
        <w:tc>
          <w:tcPr>
            <w:tcW w:w="1900" w:type="dxa"/>
            <w:vAlign w:val="bottom"/>
            <w:shd w:val="clear" w:color="auto" w:fill="007549"/>
          </w:tcPr>
          <w:p>
            <w:pPr>
              <w:jc w:val="center"/>
              <w:ind w:left="5"/>
              <w:spacing w:after="0"/>
              <w:rPr>
                <w:sz w:val="20"/>
                <w:szCs w:val="20"/>
                <w:color w:val="auto"/>
              </w:rPr>
            </w:pPr>
            <w:r>
              <w:rPr>
                <w:rFonts w:ascii="Arial" w:cs="Arial" w:eastAsia="Arial" w:hAnsi="Arial"/>
                <w:sz w:val="18"/>
                <w:szCs w:val="18"/>
                <w:b w:val="1"/>
                <w:bCs w:val="1"/>
                <w:color w:val="FFFFFF"/>
                <w:w w:val="94"/>
              </w:rPr>
              <w:t>2017</w:t>
            </w:r>
          </w:p>
        </w:tc>
        <w:tc>
          <w:tcPr>
            <w:tcW w:w="180" w:type="dxa"/>
            <w:vAlign w:val="bottom"/>
          </w:tcPr>
          <w:p>
            <w:pPr>
              <w:spacing w:after="0"/>
              <w:rPr>
                <w:sz w:val="23"/>
                <w:szCs w:val="23"/>
                <w:color w:val="auto"/>
              </w:rPr>
            </w:pPr>
          </w:p>
        </w:tc>
        <w:tc>
          <w:tcPr>
            <w:tcW w:w="1900" w:type="dxa"/>
            <w:vAlign w:val="bottom"/>
            <w:shd w:val="clear" w:color="auto" w:fill="007549"/>
          </w:tcPr>
          <w:p>
            <w:pPr>
              <w:jc w:val="center"/>
              <w:spacing w:after="0"/>
              <w:rPr>
                <w:sz w:val="20"/>
                <w:szCs w:val="20"/>
                <w:color w:val="auto"/>
              </w:rPr>
            </w:pPr>
            <w:r>
              <w:rPr>
                <w:rFonts w:ascii="Arial" w:cs="Arial" w:eastAsia="Arial" w:hAnsi="Arial"/>
                <w:sz w:val="18"/>
                <w:szCs w:val="18"/>
                <w:b w:val="1"/>
                <w:bCs w:val="1"/>
                <w:color w:val="FFFFFF"/>
                <w:w w:val="99"/>
              </w:rPr>
              <w:t>2018</w:t>
            </w:r>
          </w:p>
        </w:tc>
      </w:tr>
      <w:tr>
        <w:trPr>
          <w:trHeight w:val="160"/>
        </w:trPr>
        <w:tc>
          <w:tcPr>
            <w:tcW w:w="2380" w:type="dxa"/>
            <w:vAlign w:val="bottom"/>
            <w:shd w:val="clear" w:color="auto" w:fill="007549"/>
          </w:tcPr>
          <w:p>
            <w:pPr>
              <w:jc w:val="center"/>
              <w:spacing w:after="0" w:line="160" w:lineRule="exact"/>
              <w:rPr>
                <w:sz w:val="20"/>
                <w:szCs w:val="20"/>
                <w:color w:val="auto"/>
              </w:rPr>
            </w:pPr>
            <w:r>
              <w:rPr>
                <w:rFonts w:ascii="Arial" w:cs="Arial" w:eastAsia="Arial" w:hAnsi="Arial"/>
                <w:sz w:val="14"/>
                <w:szCs w:val="14"/>
                <w:color w:val="FFFFFF"/>
              </w:rPr>
              <w:t>Increased performance-</w:t>
            </w:r>
          </w:p>
        </w:tc>
        <w:tc>
          <w:tcPr>
            <w:tcW w:w="160" w:type="dxa"/>
            <w:vAlign w:val="bottom"/>
          </w:tcPr>
          <w:p>
            <w:pPr>
              <w:spacing w:after="0"/>
              <w:rPr>
                <w:sz w:val="13"/>
                <w:szCs w:val="13"/>
                <w:color w:val="auto"/>
              </w:rPr>
            </w:pPr>
          </w:p>
        </w:tc>
        <w:tc>
          <w:tcPr>
            <w:tcW w:w="2000" w:type="dxa"/>
            <w:vAlign w:val="bottom"/>
            <w:shd w:val="clear" w:color="auto" w:fill="007549"/>
          </w:tcPr>
          <w:p>
            <w:pPr>
              <w:jc w:val="center"/>
              <w:spacing w:after="0" w:line="160" w:lineRule="exact"/>
              <w:rPr>
                <w:sz w:val="20"/>
                <w:szCs w:val="20"/>
                <w:color w:val="auto"/>
              </w:rPr>
            </w:pPr>
            <w:r>
              <w:rPr>
                <w:rFonts w:ascii="Arial" w:cs="Arial" w:eastAsia="Arial" w:hAnsi="Arial"/>
                <w:sz w:val="14"/>
                <w:szCs w:val="14"/>
                <w:color w:val="FFFFFF"/>
              </w:rPr>
              <w:t>Eliminated restricted</w:t>
            </w:r>
          </w:p>
        </w:tc>
        <w:tc>
          <w:tcPr>
            <w:tcW w:w="160" w:type="dxa"/>
            <w:vAlign w:val="bottom"/>
          </w:tcPr>
          <w:p>
            <w:pPr>
              <w:spacing w:after="0"/>
              <w:rPr>
                <w:sz w:val="13"/>
                <w:szCs w:val="13"/>
                <w:color w:val="auto"/>
              </w:rPr>
            </w:pPr>
          </w:p>
        </w:tc>
        <w:tc>
          <w:tcPr>
            <w:tcW w:w="2020" w:type="dxa"/>
            <w:vAlign w:val="bottom"/>
            <w:shd w:val="clear" w:color="auto" w:fill="007549"/>
          </w:tcPr>
          <w:p>
            <w:pPr>
              <w:jc w:val="center"/>
              <w:spacing w:after="0" w:line="160" w:lineRule="exact"/>
              <w:rPr>
                <w:sz w:val="20"/>
                <w:szCs w:val="20"/>
                <w:color w:val="auto"/>
              </w:rPr>
            </w:pPr>
            <w:r>
              <w:rPr>
                <w:rFonts w:ascii="Arial" w:cs="Arial" w:eastAsia="Arial" w:hAnsi="Arial"/>
                <w:sz w:val="14"/>
                <w:szCs w:val="14"/>
                <w:color w:val="FFFFFF"/>
              </w:rPr>
              <w:t>Applied negative</w:t>
            </w:r>
          </w:p>
        </w:tc>
        <w:tc>
          <w:tcPr>
            <w:tcW w:w="160" w:type="dxa"/>
            <w:vAlign w:val="bottom"/>
          </w:tcPr>
          <w:p>
            <w:pPr>
              <w:spacing w:after="0"/>
              <w:rPr>
                <w:sz w:val="13"/>
                <w:szCs w:val="13"/>
                <w:color w:val="auto"/>
              </w:rPr>
            </w:pPr>
          </w:p>
        </w:tc>
        <w:tc>
          <w:tcPr>
            <w:tcW w:w="1900" w:type="dxa"/>
            <w:vAlign w:val="bottom"/>
            <w:shd w:val="clear" w:color="auto" w:fill="007549"/>
          </w:tcPr>
          <w:p>
            <w:pPr>
              <w:jc w:val="center"/>
              <w:ind w:left="5"/>
              <w:spacing w:after="0" w:line="160" w:lineRule="exact"/>
              <w:rPr>
                <w:sz w:val="20"/>
                <w:szCs w:val="20"/>
                <w:color w:val="auto"/>
              </w:rPr>
            </w:pPr>
            <w:r>
              <w:rPr>
                <w:rFonts w:ascii="Arial" w:cs="Arial" w:eastAsia="Arial" w:hAnsi="Arial"/>
                <w:sz w:val="14"/>
                <w:szCs w:val="14"/>
                <w:color w:val="FFFFFF"/>
              </w:rPr>
              <w:t>Reduced the size of</w:t>
            </w:r>
          </w:p>
        </w:tc>
        <w:tc>
          <w:tcPr>
            <w:tcW w:w="180" w:type="dxa"/>
            <w:vAlign w:val="bottom"/>
          </w:tcPr>
          <w:p>
            <w:pPr>
              <w:spacing w:after="0"/>
              <w:rPr>
                <w:sz w:val="13"/>
                <w:szCs w:val="13"/>
                <w:color w:val="auto"/>
              </w:rPr>
            </w:pPr>
          </w:p>
        </w:tc>
        <w:tc>
          <w:tcPr>
            <w:tcW w:w="1900" w:type="dxa"/>
            <w:vAlign w:val="bottom"/>
            <w:shd w:val="clear" w:color="auto" w:fill="007549"/>
          </w:tcPr>
          <w:p>
            <w:pPr>
              <w:jc w:val="center"/>
              <w:spacing w:after="0" w:line="160" w:lineRule="exact"/>
              <w:rPr>
                <w:sz w:val="20"/>
                <w:szCs w:val="20"/>
                <w:color w:val="auto"/>
              </w:rPr>
            </w:pPr>
            <w:r>
              <w:rPr>
                <w:rFonts w:ascii="Arial" w:cs="Arial" w:eastAsia="Arial" w:hAnsi="Arial"/>
                <w:sz w:val="14"/>
                <w:szCs w:val="14"/>
                <w:color w:val="FFFFFF"/>
              </w:rPr>
              <w:t>Reset CEO LTI target</w:t>
            </w:r>
          </w:p>
        </w:tc>
      </w:tr>
      <w:tr>
        <w:trPr>
          <w:trHeight w:val="160"/>
        </w:trPr>
        <w:tc>
          <w:tcPr>
            <w:tcW w:w="2380" w:type="dxa"/>
            <w:vAlign w:val="bottom"/>
            <w:shd w:val="clear" w:color="auto" w:fill="007549"/>
          </w:tcPr>
          <w:p>
            <w:pPr>
              <w:jc w:val="center"/>
              <w:spacing w:after="0" w:line="160" w:lineRule="exact"/>
              <w:rPr>
                <w:sz w:val="20"/>
                <w:szCs w:val="20"/>
                <w:color w:val="auto"/>
              </w:rPr>
            </w:pPr>
            <w:r>
              <w:rPr>
                <w:rFonts w:ascii="Arial" w:cs="Arial" w:eastAsia="Arial" w:hAnsi="Arial"/>
                <w:sz w:val="14"/>
                <w:szCs w:val="14"/>
                <w:color w:val="FFFFFF"/>
              </w:rPr>
              <w:t>contingent component</w:t>
            </w:r>
          </w:p>
        </w:tc>
        <w:tc>
          <w:tcPr>
            <w:tcW w:w="160" w:type="dxa"/>
            <w:vAlign w:val="bottom"/>
          </w:tcPr>
          <w:p>
            <w:pPr>
              <w:spacing w:after="0"/>
              <w:rPr>
                <w:sz w:val="13"/>
                <w:szCs w:val="13"/>
                <w:color w:val="auto"/>
              </w:rPr>
            </w:pPr>
          </w:p>
        </w:tc>
        <w:tc>
          <w:tcPr>
            <w:tcW w:w="2000" w:type="dxa"/>
            <w:vAlign w:val="bottom"/>
            <w:shd w:val="clear" w:color="auto" w:fill="007549"/>
          </w:tcPr>
          <w:p>
            <w:pPr>
              <w:jc w:val="center"/>
              <w:spacing w:after="0" w:line="160" w:lineRule="exact"/>
              <w:rPr>
                <w:sz w:val="20"/>
                <w:szCs w:val="20"/>
                <w:color w:val="auto"/>
              </w:rPr>
            </w:pPr>
            <w:r>
              <w:rPr>
                <w:rFonts w:ascii="Arial" w:cs="Arial" w:eastAsia="Arial" w:hAnsi="Arial"/>
                <w:sz w:val="14"/>
                <w:szCs w:val="14"/>
                <w:color w:val="FFFFFF"/>
              </w:rPr>
              <w:t>stock from CEO’s LTI</w:t>
            </w:r>
          </w:p>
        </w:tc>
        <w:tc>
          <w:tcPr>
            <w:tcW w:w="160" w:type="dxa"/>
            <w:vAlign w:val="bottom"/>
          </w:tcPr>
          <w:p>
            <w:pPr>
              <w:spacing w:after="0"/>
              <w:rPr>
                <w:sz w:val="13"/>
                <w:szCs w:val="13"/>
                <w:color w:val="auto"/>
              </w:rPr>
            </w:pPr>
          </w:p>
        </w:tc>
        <w:tc>
          <w:tcPr>
            <w:tcW w:w="2020" w:type="dxa"/>
            <w:vAlign w:val="bottom"/>
            <w:shd w:val="clear" w:color="auto" w:fill="007549"/>
          </w:tcPr>
          <w:p>
            <w:pPr>
              <w:jc w:val="center"/>
              <w:spacing w:after="0" w:line="160" w:lineRule="exact"/>
              <w:rPr>
                <w:sz w:val="20"/>
                <w:szCs w:val="20"/>
                <w:color w:val="auto"/>
              </w:rPr>
            </w:pPr>
            <w:r>
              <w:rPr>
                <w:rFonts w:ascii="Arial" w:cs="Arial" w:eastAsia="Arial" w:hAnsi="Arial"/>
                <w:sz w:val="14"/>
                <w:szCs w:val="14"/>
                <w:color w:val="FFFFFF"/>
              </w:rPr>
              <w:t>discretion on AIP</w:t>
            </w:r>
          </w:p>
        </w:tc>
        <w:tc>
          <w:tcPr>
            <w:tcW w:w="160" w:type="dxa"/>
            <w:vAlign w:val="bottom"/>
          </w:tcPr>
          <w:p>
            <w:pPr>
              <w:spacing w:after="0"/>
              <w:rPr>
                <w:sz w:val="13"/>
                <w:szCs w:val="13"/>
                <w:color w:val="auto"/>
              </w:rPr>
            </w:pPr>
          </w:p>
        </w:tc>
        <w:tc>
          <w:tcPr>
            <w:tcW w:w="1900" w:type="dxa"/>
            <w:vAlign w:val="bottom"/>
            <w:shd w:val="clear" w:color="auto" w:fill="007549"/>
          </w:tcPr>
          <w:p>
            <w:pPr>
              <w:jc w:val="center"/>
              <w:ind w:left="5"/>
              <w:spacing w:after="0" w:line="160" w:lineRule="exact"/>
              <w:rPr>
                <w:sz w:val="20"/>
                <w:szCs w:val="20"/>
                <w:color w:val="auto"/>
              </w:rPr>
            </w:pPr>
            <w:r>
              <w:rPr>
                <w:rFonts w:ascii="Arial" w:cs="Arial" w:eastAsia="Arial" w:hAnsi="Arial"/>
                <w:sz w:val="14"/>
                <w:szCs w:val="14"/>
                <w:color w:val="FFFFFF"/>
                <w:w w:val="99"/>
              </w:rPr>
              <w:t>CEO’s LTI grant by 10%</w:t>
            </w:r>
          </w:p>
        </w:tc>
        <w:tc>
          <w:tcPr>
            <w:tcW w:w="180" w:type="dxa"/>
            <w:vAlign w:val="bottom"/>
          </w:tcPr>
          <w:p>
            <w:pPr>
              <w:spacing w:after="0"/>
              <w:rPr>
                <w:sz w:val="13"/>
                <w:szCs w:val="13"/>
                <w:color w:val="auto"/>
              </w:rPr>
            </w:pPr>
          </w:p>
        </w:tc>
        <w:tc>
          <w:tcPr>
            <w:tcW w:w="1900" w:type="dxa"/>
            <w:vAlign w:val="bottom"/>
            <w:shd w:val="clear" w:color="auto" w:fill="007549"/>
          </w:tcPr>
          <w:p>
            <w:pPr>
              <w:jc w:val="center"/>
              <w:ind w:left="6"/>
              <w:spacing w:after="0" w:line="160" w:lineRule="exact"/>
              <w:rPr>
                <w:sz w:val="20"/>
                <w:szCs w:val="20"/>
                <w:color w:val="auto"/>
              </w:rPr>
            </w:pPr>
            <w:r>
              <w:rPr>
                <w:rFonts w:ascii="Arial" w:cs="Arial" w:eastAsia="Arial" w:hAnsi="Arial"/>
                <w:sz w:val="14"/>
                <w:szCs w:val="14"/>
                <w:color w:val="FFFFFF"/>
              </w:rPr>
              <w:t>award going</w:t>
            </w:r>
          </w:p>
        </w:tc>
      </w:tr>
      <w:tr>
        <w:trPr>
          <w:trHeight w:val="160"/>
        </w:trPr>
        <w:tc>
          <w:tcPr>
            <w:tcW w:w="2380" w:type="dxa"/>
            <w:vAlign w:val="bottom"/>
            <w:shd w:val="clear" w:color="auto" w:fill="007549"/>
          </w:tcPr>
          <w:p>
            <w:pPr>
              <w:jc w:val="center"/>
              <w:spacing w:after="0" w:line="160" w:lineRule="exact"/>
              <w:rPr>
                <w:sz w:val="20"/>
                <w:szCs w:val="20"/>
                <w:color w:val="auto"/>
              </w:rPr>
            </w:pPr>
            <w:r>
              <w:rPr>
                <w:rFonts w:ascii="Arial" w:cs="Arial" w:eastAsia="Arial" w:hAnsi="Arial"/>
                <w:sz w:val="14"/>
                <w:szCs w:val="14"/>
                <w:color w:val="FFFFFF"/>
              </w:rPr>
              <w:t>of NEOs’ LTI awards</w:t>
            </w:r>
          </w:p>
        </w:tc>
        <w:tc>
          <w:tcPr>
            <w:tcW w:w="160" w:type="dxa"/>
            <w:vAlign w:val="bottom"/>
          </w:tcPr>
          <w:p>
            <w:pPr>
              <w:spacing w:after="0"/>
              <w:rPr>
                <w:sz w:val="13"/>
                <w:szCs w:val="13"/>
                <w:color w:val="auto"/>
              </w:rPr>
            </w:pPr>
          </w:p>
        </w:tc>
        <w:tc>
          <w:tcPr>
            <w:tcW w:w="2000" w:type="dxa"/>
            <w:vAlign w:val="bottom"/>
            <w:shd w:val="clear" w:color="auto" w:fill="007549"/>
          </w:tcPr>
          <w:p>
            <w:pPr>
              <w:jc w:val="center"/>
              <w:spacing w:after="0" w:line="160" w:lineRule="exact"/>
              <w:rPr>
                <w:sz w:val="20"/>
                <w:szCs w:val="20"/>
                <w:color w:val="auto"/>
              </w:rPr>
            </w:pPr>
            <w:r>
              <w:rPr>
                <w:rFonts w:ascii="Arial" w:cs="Arial" w:eastAsia="Arial" w:hAnsi="Arial"/>
                <w:sz w:val="14"/>
                <w:szCs w:val="14"/>
                <w:color w:val="FFFFFF"/>
              </w:rPr>
              <w:t>mix, making 100% of</w:t>
            </w:r>
          </w:p>
        </w:tc>
        <w:tc>
          <w:tcPr>
            <w:tcW w:w="160" w:type="dxa"/>
            <w:vAlign w:val="bottom"/>
          </w:tcPr>
          <w:p>
            <w:pPr>
              <w:spacing w:after="0"/>
              <w:rPr>
                <w:sz w:val="13"/>
                <w:szCs w:val="13"/>
                <w:color w:val="auto"/>
              </w:rPr>
            </w:pPr>
          </w:p>
        </w:tc>
        <w:tc>
          <w:tcPr>
            <w:tcW w:w="2020" w:type="dxa"/>
            <w:vAlign w:val="bottom"/>
            <w:shd w:val="clear" w:color="auto" w:fill="007549"/>
          </w:tcPr>
          <w:p>
            <w:pPr>
              <w:jc w:val="center"/>
              <w:spacing w:after="0" w:line="160" w:lineRule="exact"/>
              <w:rPr>
                <w:sz w:val="20"/>
                <w:szCs w:val="20"/>
                <w:color w:val="auto"/>
              </w:rPr>
            </w:pPr>
            <w:r>
              <w:rPr>
                <w:rFonts w:ascii="Arial" w:cs="Arial" w:eastAsia="Arial" w:hAnsi="Arial"/>
                <w:sz w:val="14"/>
                <w:szCs w:val="14"/>
                <w:color w:val="FFFFFF"/>
              </w:rPr>
              <w:t>payouts of 26% and</w:t>
            </w:r>
          </w:p>
        </w:tc>
        <w:tc>
          <w:tcPr>
            <w:tcW w:w="160" w:type="dxa"/>
            <w:vAlign w:val="bottom"/>
          </w:tcPr>
          <w:p>
            <w:pPr>
              <w:spacing w:after="0"/>
              <w:rPr>
                <w:sz w:val="13"/>
                <w:szCs w:val="13"/>
                <w:color w:val="auto"/>
              </w:rPr>
            </w:pPr>
          </w:p>
        </w:tc>
        <w:tc>
          <w:tcPr>
            <w:tcW w:w="1900" w:type="dxa"/>
            <w:vAlign w:val="bottom"/>
            <w:shd w:val="clear" w:color="auto" w:fill="007549"/>
          </w:tcPr>
          <w:p>
            <w:pPr>
              <w:jc w:val="center"/>
              <w:ind w:left="5"/>
              <w:spacing w:after="0" w:line="160" w:lineRule="exact"/>
              <w:rPr>
                <w:sz w:val="20"/>
                <w:szCs w:val="20"/>
                <w:color w:val="auto"/>
              </w:rPr>
            </w:pPr>
            <w:r>
              <w:rPr>
                <w:rFonts w:ascii="Arial" w:cs="Arial" w:eastAsia="Arial" w:hAnsi="Arial"/>
                <w:sz w:val="14"/>
                <w:szCs w:val="14"/>
                <w:color w:val="FFFFFF"/>
              </w:rPr>
              <w:t>from target</w:t>
            </w:r>
          </w:p>
        </w:tc>
        <w:tc>
          <w:tcPr>
            <w:tcW w:w="180" w:type="dxa"/>
            <w:vAlign w:val="bottom"/>
          </w:tcPr>
          <w:p>
            <w:pPr>
              <w:spacing w:after="0"/>
              <w:rPr>
                <w:sz w:val="13"/>
                <w:szCs w:val="13"/>
                <w:color w:val="auto"/>
              </w:rPr>
            </w:pPr>
          </w:p>
        </w:tc>
        <w:tc>
          <w:tcPr>
            <w:tcW w:w="1900" w:type="dxa"/>
            <w:vAlign w:val="bottom"/>
            <w:shd w:val="clear" w:color="auto" w:fill="007549"/>
          </w:tcPr>
          <w:p>
            <w:pPr>
              <w:jc w:val="center"/>
              <w:spacing w:after="0" w:line="160" w:lineRule="exact"/>
              <w:rPr>
                <w:sz w:val="20"/>
                <w:szCs w:val="20"/>
                <w:color w:val="auto"/>
              </w:rPr>
            </w:pPr>
            <w:r>
              <w:rPr>
                <w:rFonts w:ascii="Arial" w:cs="Arial" w:eastAsia="Arial" w:hAnsi="Arial"/>
                <w:sz w:val="14"/>
                <w:szCs w:val="14"/>
                <w:color w:val="FFFFFF"/>
              </w:rPr>
              <w:t>forward to reflect portfolio</w:t>
            </w:r>
          </w:p>
        </w:tc>
      </w:tr>
      <w:tr>
        <w:trPr>
          <w:trHeight w:val="160"/>
        </w:trPr>
        <w:tc>
          <w:tcPr>
            <w:tcW w:w="2380" w:type="dxa"/>
            <w:vAlign w:val="bottom"/>
            <w:shd w:val="clear" w:color="auto" w:fill="007549"/>
          </w:tcPr>
          <w:p>
            <w:pPr>
              <w:jc w:val="center"/>
              <w:spacing w:after="0" w:line="160" w:lineRule="exact"/>
              <w:rPr>
                <w:sz w:val="20"/>
                <w:szCs w:val="20"/>
                <w:color w:val="auto"/>
              </w:rPr>
            </w:pPr>
            <w:r>
              <w:rPr>
                <w:rFonts w:ascii="Arial" w:cs="Arial" w:eastAsia="Arial" w:hAnsi="Arial"/>
                <w:sz w:val="14"/>
                <w:szCs w:val="14"/>
                <w:color w:val="FFFFFF"/>
              </w:rPr>
              <w:t>from 50% to 80% and</w:t>
            </w:r>
          </w:p>
        </w:tc>
        <w:tc>
          <w:tcPr>
            <w:tcW w:w="160" w:type="dxa"/>
            <w:vAlign w:val="bottom"/>
          </w:tcPr>
          <w:p>
            <w:pPr>
              <w:spacing w:after="0"/>
              <w:rPr>
                <w:sz w:val="13"/>
                <w:szCs w:val="13"/>
                <w:color w:val="auto"/>
              </w:rPr>
            </w:pPr>
          </w:p>
        </w:tc>
        <w:tc>
          <w:tcPr>
            <w:tcW w:w="2000" w:type="dxa"/>
            <w:vAlign w:val="bottom"/>
            <w:shd w:val="clear" w:color="auto" w:fill="007549"/>
          </w:tcPr>
          <w:p>
            <w:pPr>
              <w:jc w:val="center"/>
              <w:spacing w:after="0" w:line="160" w:lineRule="exact"/>
              <w:rPr>
                <w:sz w:val="20"/>
                <w:szCs w:val="20"/>
                <w:color w:val="auto"/>
              </w:rPr>
            </w:pPr>
            <w:r>
              <w:rPr>
                <w:rFonts w:ascii="Arial" w:cs="Arial" w:eastAsia="Arial" w:hAnsi="Arial"/>
                <w:sz w:val="14"/>
                <w:szCs w:val="14"/>
                <w:color w:val="FFFFFF"/>
                <w:w w:val="99"/>
              </w:rPr>
              <w:t>CEO LTI</w:t>
            </w:r>
          </w:p>
        </w:tc>
        <w:tc>
          <w:tcPr>
            <w:tcW w:w="160" w:type="dxa"/>
            <w:vAlign w:val="bottom"/>
          </w:tcPr>
          <w:p>
            <w:pPr>
              <w:spacing w:after="0"/>
              <w:rPr>
                <w:sz w:val="13"/>
                <w:szCs w:val="13"/>
                <w:color w:val="auto"/>
              </w:rPr>
            </w:pPr>
          </w:p>
        </w:tc>
        <w:tc>
          <w:tcPr>
            <w:tcW w:w="2020" w:type="dxa"/>
            <w:vAlign w:val="bottom"/>
            <w:shd w:val="clear" w:color="auto" w:fill="007549"/>
          </w:tcPr>
          <w:p>
            <w:pPr>
              <w:jc w:val="center"/>
              <w:spacing w:after="0" w:line="160" w:lineRule="exact"/>
              <w:rPr>
                <w:sz w:val="20"/>
                <w:szCs w:val="20"/>
                <w:color w:val="auto"/>
              </w:rPr>
            </w:pPr>
            <w:r>
              <w:rPr>
                <w:rFonts w:ascii="Arial" w:cs="Arial" w:eastAsia="Arial" w:hAnsi="Arial"/>
                <w:sz w:val="14"/>
                <w:szCs w:val="14"/>
                <w:color w:val="FFFFFF"/>
              </w:rPr>
              <w:t>reduced grant date</w:t>
            </w:r>
          </w:p>
        </w:tc>
        <w:tc>
          <w:tcPr>
            <w:tcW w:w="160" w:type="dxa"/>
            <w:vAlign w:val="bottom"/>
          </w:tcPr>
          <w:p>
            <w:pPr>
              <w:spacing w:after="0"/>
              <w:rPr>
                <w:sz w:val="13"/>
                <w:szCs w:val="13"/>
                <w:color w:val="auto"/>
              </w:rPr>
            </w:pPr>
          </w:p>
        </w:tc>
        <w:tc>
          <w:tcPr>
            <w:tcW w:w="1900" w:type="dxa"/>
            <w:vAlign w:val="bottom"/>
            <w:shd w:val="clear" w:color="auto" w:fill="007549"/>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shd w:val="clear" w:color="auto" w:fill="007549"/>
          </w:tcPr>
          <w:p>
            <w:pPr>
              <w:jc w:val="center"/>
              <w:spacing w:after="0" w:line="160" w:lineRule="exact"/>
              <w:rPr>
                <w:sz w:val="20"/>
                <w:szCs w:val="20"/>
                <w:color w:val="auto"/>
              </w:rPr>
            </w:pPr>
            <w:r>
              <w:rPr>
                <w:rFonts w:ascii="Arial" w:cs="Arial" w:eastAsia="Arial" w:hAnsi="Arial"/>
                <w:sz w:val="14"/>
                <w:szCs w:val="14"/>
                <w:color w:val="FFFFFF"/>
              </w:rPr>
              <w:t>changes - reduced by</w:t>
            </w:r>
          </w:p>
        </w:tc>
      </w:tr>
      <w:tr>
        <w:trPr>
          <w:trHeight w:val="160"/>
        </w:trPr>
        <w:tc>
          <w:tcPr>
            <w:tcW w:w="2380" w:type="dxa"/>
            <w:vAlign w:val="bottom"/>
            <w:shd w:val="clear" w:color="auto" w:fill="007549"/>
          </w:tcPr>
          <w:p>
            <w:pPr>
              <w:jc w:val="center"/>
              <w:spacing w:after="0" w:line="160" w:lineRule="exact"/>
              <w:rPr>
                <w:sz w:val="20"/>
                <w:szCs w:val="20"/>
                <w:color w:val="auto"/>
              </w:rPr>
            </w:pPr>
            <w:r>
              <w:rPr>
                <w:rFonts w:ascii="Arial" w:cs="Arial" w:eastAsia="Arial" w:hAnsi="Arial"/>
                <w:sz w:val="14"/>
                <w:szCs w:val="14"/>
                <w:color w:val="FFFFFF"/>
              </w:rPr>
              <w:t>added cash return on</w:t>
            </w:r>
          </w:p>
        </w:tc>
        <w:tc>
          <w:tcPr>
            <w:tcW w:w="160" w:type="dxa"/>
            <w:vAlign w:val="bottom"/>
          </w:tcPr>
          <w:p>
            <w:pPr>
              <w:spacing w:after="0"/>
              <w:rPr>
                <w:sz w:val="13"/>
                <w:szCs w:val="13"/>
                <w:color w:val="auto"/>
              </w:rPr>
            </w:pPr>
          </w:p>
        </w:tc>
        <w:tc>
          <w:tcPr>
            <w:tcW w:w="2000" w:type="dxa"/>
            <w:vAlign w:val="bottom"/>
            <w:shd w:val="clear" w:color="auto" w:fill="007549"/>
          </w:tcPr>
          <w:p>
            <w:pPr>
              <w:jc w:val="center"/>
              <w:spacing w:after="0" w:line="160" w:lineRule="exact"/>
              <w:rPr>
                <w:sz w:val="20"/>
                <w:szCs w:val="20"/>
                <w:color w:val="auto"/>
              </w:rPr>
            </w:pPr>
            <w:r>
              <w:rPr>
                <w:rFonts w:ascii="Arial" w:cs="Arial" w:eastAsia="Arial" w:hAnsi="Arial"/>
                <w:sz w:val="14"/>
                <w:szCs w:val="14"/>
                <w:color w:val="FFFFFF"/>
              </w:rPr>
              <w:t>performance-contingent</w:t>
            </w:r>
          </w:p>
        </w:tc>
        <w:tc>
          <w:tcPr>
            <w:tcW w:w="160" w:type="dxa"/>
            <w:vAlign w:val="bottom"/>
          </w:tcPr>
          <w:p>
            <w:pPr>
              <w:spacing w:after="0"/>
              <w:rPr>
                <w:sz w:val="13"/>
                <w:szCs w:val="13"/>
                <w:color w:val="auto"/>
              </w:rPr>
            </w:pPr>
          </w:p>
        </w:tc>
        <w:tc>
          <w:tcPr>
            <w:tcW w:w="2020" w:type="dxa"/>
            <w:vAlign w:val="bottom"/>
            <w:shd w:val="clear" w:color="auto" w:fill="007549"/>
          </w:tcPr>
          <w:p>
            <w:pPr>
              <w:jc w:val="center"/>
              <w:spacing w:after="0" w:line="160" w:lineRule="exact"/>
              <w:rPr>
                <w:sz w:val="20"/>
                <w:szCs w:val="20"/>
                <w:color w:val="auto"/>
              </w:rPr>
            </w:pPr>
            <w:r>
              <w:rPr>
                <w:rFonts w:ascii="Arial" w:cs="Arial" w:eastAsia="Arial" w:hAnsi="Arial"/>
                <w:sz w:val="14"/>
                <w:szCs w:val="14"/>
                <w:color w:val="FFFFFF"/>
              </w:rPr>
              <w:t>values of LTI awards for</w:t>
            </w:r>
          </w:p>
        </w:tc>
        <w:tc>
          <w:tcPr>
            <w:tcW w:w="160" w:type="dxa"/>
            <w:vAlign w:val="bottom"/>
          </w:tcPr>
          <w:p>
            <w:pPr>
              <w:spacing w:after="0"/>
              <w:rPr>
                <w:sz w:val="13"/>
                <w:szCs w:val="13"/>
                <w:color w:val="auto"/>
              </w:rPr>
            </w:pPr>
          </w:p>
        </w:tc>
        <w:tc>
          <w:tcPr>
            <w:tcW w:w="1900" w:type="dxa"/>
            <w:vAlign w:val="bottom"/>
            <w:shd w:val="clear" w:color="auto" w:fill="007549"/>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shd w:val="clear" w:color="auto" w:fill="007549"/>
          </w:tcPr>
          <w:p>
            <w:pPr>
              <w:jc w:val="center"/>
              <w:ind w:left="6"/>
              <w:spacing w:after="0" w:line="160" w:lineRule="exact"/>
              <w:rPr>
                <w:sz w:val="20"/>
                <w:szCs w:val="20"/>
                <w:color w:val="auto"/>
              </w:rPr>
            </w:pPr>
            <w:r>
              <w:rPr>
                <w:rFonts w:ascii="Arial" w:cs="Arial" w:eastAsia="Arial" w:hAnsi="Arial"/>
                <w:sz w:val="14"/>
                <w:szCs w:val="14"/>
                <w:color w:val="FFFFFF"/>
              </w:rPr>
              <w:t>$2 million (-21%)</w:t>
            </w:r>
          </w:p>
        </w:tc>
      </w:tr>
      <w:tr>
        <w:trPr>
          <w:trHeight w:val="160"/>
        </w:trPr>
        <w:tc>
          <w:tcPr>
            <w:tcW w:w="2380" w:type="dxa"/>
            <w:vAlign w:val="bottom"/>
            <w:shd w:val="clear" w:color="auto" w:fill="007549"/>
          </w:tcPr>
          <w:p>
            <w:pPr>
              <w:jc w:val="center"/>
              <w:spacing w:after="0" w:line="160" w:lineRule="exact"/>
              <w:rPr>
                <w:sz w:val="20"/>
                <w:szCs w:val="20"/>
                <w:color w:val="auto"/>
              </w:rPr>
            </w:pPr>
            <w:r>
              <w:rPr>
                <w:rFonts w:ascii="Arial" w:cs="Arial" w:eastAsia="Arial" w:hAnsi="Arial"/>
                <w:sz w:val="14"/>
                <w:szCs w:val="14"/>
                <w:color w:val="FFFFFF"/>
              </w:rPr>
              <w:t>capital employed as an</w:t>
            </w:r>
          </w:p>
        </w:tc>
        <w:tc>
          <w:tcPr>
            <w:tcW w:w="160" w:type="dxa"/>
            <w:vAlign w:val="bottom"/>
          </w:tcPr>
          <w:p>
            <w:pPr>
              <w:spacing w:after="0"/>
              <w:rPr>
                <w:sz w:val="13"/>
                <w:szCs w:val="13"/>
                <w:color w:val="auto"/>
              </w:rPr>
            </w:pPr>
          </w:p>
        </w:tc>
        <w:tc>
          <w:tcPr>
            <w:tcW w:w="2000" w:type="dxa"/>
            <w:vAlign w:val="bottom"/>
            <w:shd w:val="clear" w:color="auto" w:fill="007549"/>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shd w:val="clear" w:color="auto" w:fill="007549"/>
          </w:tcPr>
          <w:p>
            <w:pPr>
              <w:jc w:val="center"/>
              <w:spacing w:after="0" w:line="160" w:lineRule="exact"/>
              <w:rPr>
                <w:sz w:val="20"/>
                <w:szCs w:val="20"/>
                <w:color w:val="auto"/>
              </w:rPr>
            </w:pPr>
            <w:r>
              <w:rPr>
                <w:rFonts w:ascii="Arial" w:cs="Arial" w:eastAsia="Arial" w:hAnsi="Arial"/>
                <w:sz w:val="14"/>
                <w:szCs w:val="14"/>
                <w:color w:val="FFFFFF"/>
              </w:rPr>
              <w:t>NEOs by 15% from</w:t>
            </w:r>
          </w:p>
        </w:tc>
        <w:tc>
          <w:tcPr>
            <w:tcW w:w="160" w:type="dxa"/>
            <w:vAlign w:val="bottom"/>
          </w:tcPr>
          <w:p>
            <w:pPr>
              <w:spacing w:after="0"/>
              <w:rPr>
                <w:sz w:val="13"/>
                <w:szCs w:val="13"/>
                <w:color w:val="auto"/>
              </w:rPr>
            </w:pPr>
          </w:p>
        </w:tc>
        <w:tc>
          <w:tcPr>
            <w:tcW w:w="1900" w:type="dxa"/>
            <w:vAlign w:val="bottom"/>
            <w:shd w:val="clear" w:color="auto" w:fill="007549"/>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shd w:val="clear" w:color="auto" w:fill="007549"/>
          </w:tcPr>
          <w:p>
            <w:pPr>
              <w:spacing w:after="0"/>
              <w:rPr>
                <w:sz w:val="13"/>
                <w:szCs w:val="13"/>
                <w:color w:val="auto"/>
              </w:rPr>
            </w:pPr>
          </w:p>
        </w:tc>
      </w:tr>
      <w:tr>
        <w:trPr>
          <w:trHeight w:val="182"/>
        </w:trPr>
        <w:tc>
          <w:tcPr>
            <w:tcW w:w="2380" w:type="dxa"/>
            <w:vAlign w:val="bottom"/>
            <w:shd w:val="clear" w:color="auto" w:fill="007549"/>
          </w:tcPr>
          <w:p>
            <w:pPr>
              <w:jc w:val="center"/>
              <w:spacing w:after="0"/>
              <w:rPr>
                <w:sz w:val="20"/>
                <w:szCs w:val="20"/>
                <w:color w:val="auto"/>
              </w:rPr>
            </w:pPr>
            <w:r>
              <w:rPr>
                <w:rFonts w:ascii="Arial" w:cs="Arial" w:eastAsia="Arial" w:hAnsi="Arial"/>
                <w:sz w:val="14"/>
                <w:szCs w:val="14"/>
                <w:color w:val="FFFFFF"/>
              </w:rPr>
              <w:t>AIP performance metric</w:t>
            </w:r>
          </w:p>
        </w:tc>
        <w:tc>
          <w:tcPr>
            <w:tcW w:w="160" w:type="dxa"/>
            <w:vAlign w:val="bottom"/>
          </w:tcPr>
          <w:p>
            <w:pPr>
              <w:spacing w:after="0"/>
              <w:rPr>
                <w:sz w:val="15"/>
                <w:szCs w:val="15"/>
                <w:color w:val="auto"/>
              </w:rPr>
            </w:pPr>
          </w:p>
        </w:tc>
        <w:tc>
          <w:tcPr>
            <w:tcW w:w="2000" w:type="dxa"/>
            <w:vAlign w:val="bottom"/>
            <w:shd w:val="clear" w:color="auto" w:fill="007549"/>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shd w:val="clear" w:color="auto" w:fill="007549"/>
          </w:tcPr>
          <w:p>
            <w:pPr>
              <w:jc w:val="center"/>
              <w:spacing w:after="0"/>
              <w:rPr>
                <w:sz w:val="20"/>
                <w:szCs w:val="20"/>
                <w:color w:val="auto"/>
              </w:rPr>
            </w:pPr>
            <w:r>
              <w:rPr>
                <w:rFonts w:ascii="Arial" w:cs="Arial" w:eastAsia="Arial" w:hAnsi="Arial"/>
                <w:sz w:val="14"/>
                <w:szCs w:val="14"/>
                <w:color w:val="FFFFFF"/>
              </w:rPr>
              <w:t>2015 levels</w:t>
            </w:r>
          </w:p>
        </w:tc>
        <w:tc>
          <w:tcPr>
            <w:tcW w:w="160" w:type="dxa"/>
            <w:vAlign w:val="bottom"/>
          </w:tcPr>
          <w:p>
            <w:pPr>
              <w:spacing w:after="0"/>
              <w:rPr>
                <w:sz w:val="15"/>
                <w:szCs w:val="15"/>
                <w:color w:val="auto"/>
              </w:rPr>
            </w:pPr>
          </w:p>
        </w:tc>
        <w:tc>
          <w:tcPr>
            <w:tcW w:w="1900" w:type="dxa"/>
            <w:vAlign w:val="bottom"/>
            <w:shd w:val="clear" w:color="auto" w:fill="007549"/>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shd w:val="clear" w:color="auto" w:fill="007549"/>
          </w:tcPr>
          <w:p>
            <w:pPr>
              <w:spacing w:after="0"/>
              <w:rPr>
                <w:sz w:val="15"/>
                <w:szCs w:val="15"/>
                <w:color w:val="auto"/>
              </w:rPr>
            </w:pPr>
          </w:p>
        </w:tc>
      </w:tr>
    </w:tbl>
    <w:p>
      <w:pPr>
        <w:spacing w:after="0" w:line="180"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007549"/>
        </w:rPr>
        <w:t>Compensation Program Key Practices Promote Alignment with Stockholder Interests</w:t>
      </w:r>
    </w:p>
    <w:p>
      <w:pPr>
        <w:spacing w:after="0" w:line="96" w:lineRule="exact"/>
        <w:rPr>
          <w:sz w:val="20"/>
          <w:szCs w:val="20"/>
          <w:color w:val="auto"/>
        </w:rPr>
      </w:pPr>
    </w:p>
    <w:p>
      <w:pPr>
        <w:jc w:val="both"/>
        <w:ind w:left="280"/>
        <w:spacing w:after="0" w:line="238" w:lineRule="auto"/>
        <w:rPr>
          <w:sz w:val="20"/>
          <w:szCs w:val="20"/>
          <w:color w:val="auto"/>
        </w:rPr>
      </w:pPr>
      <w:r>
        <w:rPr>
          <w:rFonts w:ascii="Arial" w:cs="Arial" w:eastAsia="Arial" w:hAnsi="Arial"/>
          <w:sz w:val="18"/>
          <w:szCs w:val="18"/>
          <w:color w:val="auto"/>
        </w:rPr>
        <w:t>Key executive compensation practices are summarized below. We believe these practices promote close alignment with the interests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115570</wp:posOffset>
            </wp:positionV>
            <wp:extent cx="6918960" cy="26530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18960" cy="2653030"/>
                    </a:xfrm>
                    <a:prstGeom prst="rect">
                      <a:avLst/>
                    </a:prstGeom>
                    <a:noFill/>
                  </pic:spPr>
                </pic:pic>
              </a:graphicData>
            </a:graphic>
          </wp:anchor>
        </w:drawing>
      </w:r>
    </w:p>
    <w:p>
      <w:pPr>
        <w:spacing w:after="0" w:line="19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007549"/>
        </w:rPr>
        <w:t>What We Do</w:t>
      </w:r>
    </w:p>
    <w:p>
      <w:pPr>
        <w:sectPr>
          <w:pgSz w:w="11900" w:h="16838" w:orient="portrait"/>
          <w:cols w:equalWidth="0" w:num="1">
            <w:col w:w="11140"/>
          </w:cols>
          <w:pgMar w:left="240" w:top="454" w:right="519" w:bottom="1440" w:gutter="0" w:footer="0" w:header="0"/>
        </w:sectPr>
      </w:pPr>
    </w:p>
    <w:p>
      <w:pPr>
        <w:spacing w:after="0" w:line="156" w:lineRule="exact"/>
        <w:rPr>
          <w:sz w:val="20"/>
          <w:szCs w:val="20"/>
          <w:color w:val="auto"/>
        </w:rPr>
      </w:pPr>
    </w:p>
    <w:p>
      <w:pPr>
        <w:ind w:left="940" w:hanging="574"/>
        <w:spacing w:after="0" w:line="231" w:lineRule="auto"/>
        <w:tabs>
          <w:tab w:leader="none" w:pos="940" w:val="left"/>
        </w:tabs>
        <w:numPr>
          <w:ilvl w:val="0"/>
          <w:numId w:val="47"/>
        </w:numPr>
        <w:rPr>
          <w:rFonts w:ascii="Arial" w:cs="Arial" w:eastAsia="Arial" w:hAnsi="Arial"/>
          <w:sz w:val="18"/>
          <w:szCs w:val="18"/>
          <w:b w:val="1"/>
          <w:bCs w:val="1"/>
          <w:color w:val="007549"/>
        </w:rPr>
      </w:pPr>
      <w:r>
        <w:rPr>
          <w:rFonts w:ascii="Arial" w:cs="Arial" w:eastAsia="Arial" w:hAnsi="Arial"/>
          <w:sz w:val="17"/>
          <w:szCs w:val="17"/>
          <w:color w:val="auto"/>
        </w:rPr>
        <w:t>Directly link pay to performance outcomes, operational results and stockholder returns</w:t>
      </w:r>
    </w:p>
    <w:p>
      <w:pPr>
        <w:spacing w:after="0" w:line="51" w:lineRule="exact"/>
        <w:rPr>
          <w:rFonts w:ascii="Arial" w:cs="Arial" w:eastAsia="Arial" w:hAnsi="Arial"/>
          <w:sz w:val="18"/>
          <w:szCs w:val="18"/>
          <w:b w:val="1"/>
          <w:bCs w:val="1"/>
          <w:color w:val="007549"/>
        </w:rPr>
      </w:pPr>
    </w:p>
    <w:p>
      <w:pPr>
        <w:ind w:left="940" w:hanging="574"/>
        <w:spacing w:after="0" w:line="231" w:lineRule="auto"/>
        <w:tabs>
          <w:tab w:leader="none" w:pos="940" w:val="left"/>
        </w:tabs>
        <w:numPr>
          <w:ilvl w:val="0"/>
          <w:numId w:val="47"/>
        </w:numPr>
        <w:rPr>
          <w:rFonts w:ascii="Arial" w:cs="Arial" w:eastAsia="Arial" w:hAnsi="Arial"/>
          <w:sz w:val="18"/>
          <w:szCs w:val="18"/>
          <w:b w:val="1"/>
          <w:bCs w:val="1"/>
          <w:color w:val="007549"/>
        </w:rPr>
      </w:pPr>
      <w:r>
        <w:rPr>
          <w:rFonts w:ascii="Arial" w:cs="Arial" w:eastAsia="Arial" w:hAnsi="Arial"/>
          <w:sz w:val="17"/>
          <w:szCs w:val="17"/>
          <w:color w:val="auto"/>
        </w:rPr>
        <w:t>Engage in ongoing dialogue with stockholders to incorporate feedback into our compensation programs</w:t>
      </w:r>
    </w:p>
    <w:p>
      <w:pPr>
        <w:spacing w:after="0" w:line="51" w:lineRule="exact"/>
        <w:rPr>
          <w:rFonts w:ascii="Arial" w:cs="Arial" w:eastAsia="Arial" w:hAnsi="Arial"/>
          <w:sz w:val="18"/>
          <w:szCs w:val="18"/>
          <w:b w:val="1"/>
          <w:bCs w:val="1"/>
          <w:color w:val="007549"/>
        </w:rPr>
      </w:pPr>
    </w:p>
    <w:p>
      <w:pPr>
        <w:jc w:val="both"/>
        <w:ind w:left="940" w:hanging="574"/>
        <w:spacing w:after="0" w:line="230" w:lineRule="auto"/>
        <w:tabs>
          <w:tab w:leader="none" w:pos="940" w:val="left"/>
        </w:tabs>
        <w:numPr>
          <w:ilvl w:val="0"/>
          <w:numId w:val="47"/>
        </w:numPr>
        <w:rPr>
          <w:rFonts w:ascii="Arial" w:cs="Arial" w:eastAsia="Arial" w:hAnsi="Arial"/>
          <w:sz w:val="18"/>
          <w:szCs w:val="18"/>
          <w:b w:val="1"/>
          <w:bCs w:val="1"/>
          <w:color w:val="007549"/>
        </w:rPr>
      </w:pPr>
      <w:r>
        <w:rPr>
          <w:rFonts w:ascii="Arial" w:cs="Arial" w:eastAsia="Arial" w:hAnsi="Arial"/>
          <w:sz w:val="17"/>
          <w:szCs w:val="17"/>
          <w:color w:val="auto"/>
        </w:rPr>
        <w:t>Target total direct compensation (base salary / annual incentive / long-term incentives) within a competitive range of market median</w:t>
      </w:r>
    </w:p>
    <w:p>
      <w:pPr>
        <w:spacing w:after="0" w:line="52" w:lineRule="exact"/>
        <w:rPr>
          <w:rFonts w:ascii="Arial" w:cs="Arial" w:eastAsia="Arial" w:hAnsi="Arial"/>
          <w:sz w:val="18"/>
          <w:szCs w:val="18"/>
          <w:b w:val="1"/>
          <w:bCs w:val="1"/>
          <w:color w:val="007549"/>
        </w:rPr>
      </w:pPr>
    </w:p>
    <w:p>
      <w:pPr>
        <w:ind w:left="940" w:hanging="574"/>
        <w:spacing w:after="0" w:line="231" w:lineRule="auto"/>
        <w:tabs>
          <w:tab w:leader="none" w:pos="940" w:val="left"/>
        </w:tabs>
        <w:numPr>
          <w:ilvl w:val="0"/>
          <w:numId w:val="47"/>
        </w:numPr>
        <w:rPr>
          <w:rFonts w:ascii="Arial" w:cs="Arial" w:eastAsia="Arial" w:hAnsi="Arial"/>
          <w:sz w:val="18"/>
          <w:szCs w:val="18"/>
          <w:b w:val="1"/>
          <w:bCs w:val="1"/>
          <w:color w:val="007549"/>
        </w:rPr>
      </w:pPr>
      <w:r>
        <w:rPr>
          <w:rFonts w:ascii="Arial" w:cs="Arial" w:eastAsia="Arial" w:hAnsi="Arial"/>
          <w:sz w:val="17"/>
          <w:szCs w:val="17"/>
          <w:color w:val="auto"/>
        </w:rPr>
        <w:t>Use a structured approach to CEO performance evaluation and related compensation decisions</w:t>
      </w:r>
    </w:p>
    <w:p>
      <w:pPr>
        <w:spacing w:after="0" w:line="47" w:lineRule="exact"/>
        <w:rPr>
          <w:rFonts w:ascii="Arial" w:cs="Arial" w:eastAsia="Arial" w:hAnsi="Arial"/>
          <w:sz w:val="18"/>
          <w:szCs w:val="18"/>
          <w:b w:val="1"/>
          <w:bCs w:val="1"/>
          <w:color w:val="007549"/>
        </w:rPr>
      </w:pPr>
    </w:p>
    <w:p>
      <w:pPr>
        <w:ind w:left="940" w:hanging="574"/>
        <w:spacing w:after="0"/>
        <w:tabs>
          <w:tab w:leader="none" w:pos="940" w:val="left"/>
        </w:tabs>
        <w:numPr>
          <w:ilvl w:val="0"/>
          <w:numId w:val="47"/>
        </w:numPr>
        <w:rPr>
          <w:rFonts w:ascii="Arial" w:cs="Arial" w:eastAsia="Arial" w:hAnsi="Arial"/>
          <w:sz w:val="18"/>
          <w:szCs w:val="18"/>
          <w:b w:val="1"/>
          <w:bCs w:val="1"/>
          <w:color w:val="007549"/>
        </w:rPr>
      </w:pPr>
      <w:r>
        <w:rPr>
          <w:rFonts w:ascii="Arial" w:cs="Arial" w:eastAsia="Arial" w:hAnsi="Arial"/>
          <w:sz w:val="17"/>
          <w:szCs w:val="17"/>
          <w:color w:val="auto"/>
        </w:rPr>
        <w:t>Maintain a cap on CEO incentive compensation payments</w:t>
      </w:r>
    </w:p>
    <w:p>
      <w:pPr>
        <w:spacing w:after="0" w:line="76" w:lineRule="exact"/>
        <w:rPr>
          <w:rFonts w:ascii="Arial" w:cs="Arial" w:eastAsia="Arial" w:hAnsi="Arial"/>
          <w:sz w:val="18"/>
          <w:szCs w:val="18"/>
          <w:b w:val="1"/>
          <w:bCs w:val="1"/>
          <w:color w:val="007549"/>
        </w:rPr>
      </w:pPr>
    </w:p>
    <w:p>
      <w:pPr>
        <w:ind w:left="940" w:hanging="574"/>
        <w:spacing w:after="0" w:line="231" w:lineRule="auto"/>
        <w:tabs>
          <w:tab w:leader="none" w:pos="940" w:val="left"/>
        </w:tabs>
        <w:numPr>
          <w:ilvl w:val="0"/>
          <w:numId w:val="47"/>
        </w:numPr>
        <w:rPr>
          <w:rFonts w:ascii="Arial" w:cs="Arial" w:eastAsia="Arial" w:hAnsi="Arial"/>
          <w:sz w:val="18"/>
          <w:szCs w:val="18"/>
          <w:b w:val="1"/>
          <w:bCs w:val="1"/>
          <w:color w:val="007549"/>
        </w:rPr>
      </w:pPr>
      <w:r>
        <w:rPr>
          <w:rFonts w:ascii="Arial" w:cs="Arial" w:eastAsia="Arial" w:hAnsi="Arial"/>
          <w:sz w:val="17"/>
          <w:szCs w:val="17"/>
          <w:color w:val="auto"/>
        </w:rPr>
        <w:t>Emphasize a culture of safety (a weighted metric in the bonus program for all employees)</w:t>
      </w:r>
    </w:p>
    <w:p>
      <w:pPr>
        <w:spacing w:after="0" w:line="47" w:lineRule="exact"/>
        <w:rPr>
          <w:rFonts w:ascii="Arial" w:cs="Arial" w:eastAsia="Arial" w:hAnsi="Arial"/>
          <w:sz w:val="18"/>
          <w:szCs w:val="18"/>
          <w:b w:val="1"/>
          <w:bCs w:val="1"/>
          <w:color w:val="007549"/>
        </w:rPr>
      </w:pPr>
    </w:p>
    <w:p>
      <w:pPr>
        <w:ind w:left="940" w:hanging="574"/>
        <w:spacing w:after="0"/>
        <w:tabs>
          <w:tab w:leader="none" w:pos="940" w:val="left"/>
        </w:tabs>
        <w:numPr>
          <w:ilvl w:val="0"/>
          <w:numId w:val="47"/>
        </w:numPr>
        <w:rPr>
          <w:rFonts w:ascii="Arial" w:cs="Arial" w:eastAsia="Arial" w:hAnsi="Arial"/>
          <w:sz w:val="18"/>
          <w:szCs w:val="18"/>
          <w:b w:val="1"/>
          <w:bCs w:val="1"/>
          <w:color w:val="007549"/>
        </w:rPr>
      </w:pPr>
      <w:r>
        <w:rPr>
          <w:rFonts w:ascii="Arial" w:cs="Arial" w:eastAsia="Arial" w:hAnsi="Arial"/>
          <w:sz w:val="17"/>
          <w:szCs w:val="17"/>
          <w:color w:val="auto"/>
        </w:rPr>
        <w:t>Maintain stock ownership guidelines for senior executives</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left="286" w:right="280" w:hanging="286"/>
        <w:spacing w:after="0" w:line="231" w:lineRule="auto"/>
        <w:tabs>
          <w:tab w:leader="none" w:pos="286" w:val="left"/>
        </w:tabs>
        <w:numPr>
          <w:ilvl w:val="0"/>
          <w:numId w:val="48"/>
        </w:numPr>
        <w:rPr>
          <w:rFonts w:ascii="Arial" w:cs="Arial" w:eastAsia="Arial" w:hAnsi="Arial"/>
          <w:sz w:val="18"/>
          <w:szCs w:val="18"/>
          <w:b w:val="1"/>
          <w:bCs w:val="1"/>
          <w:color w:val="007549"/>
        </w:rPr>
      </w:pPr>
      <w:r>
        <w:rPr>
          <w:rFonts w:ascii="Arial" w:cs="Arial" w:eastAsia="Arial" w:hAnsi="Arial"/>
          <w:sz w:val="17"/>
          <w:szCs w:val="17"/>
          <w:color w:val="auto"/>
        </w:rPr>
        <w:t>Design compensation plans with provisions to mitigate undue risk</w:t>
      </w:r>
    </w:p>
    <w:p>
      <w:pPr>
        <w:spacing w:after="0" w:line="47" w:lineRule="exact"/>
        <w:rPr>
          <w:rFonts w:ascii="Arial" w:cs="Arial" w:eastAsia="Arial" w:hAnsi="Arial"/>
          <w:sz w:val="18"/>
          <w:szCs w:val="18"/>
          <w:b w:val="1"/>
          <w:bCs w:val="1"/>
          <w:color w:val="007549"/>
        </w:rPr>
      </w:pPr>
    </w:p>
    <w:p>
      <w:pPr>
        <w:ind w:left="286" w:hanging="286"/>
        <w:spacing w:after="0"/>
        <w:tabs>
          <w:tab w:leader="none" w:pos="286" w:val="left"/>
        </w:tabs>
        <w:numPr>
          <w:ilvl w:val="0"/>
          <w:numId w:val="48"/>
        </w:numPr>
        <w:rPr>
          <w:rFonts w:ascii="Arial" w:cs="Arial" w:eastAsia="Arial" w:hAnsi="Arial"/>
          <w:sz w:val="18"/>
          <w:szCs w:val="18"/>
          <w:b w:val="1"/>
          <w:bCs w:val="1"/>
          <w:color w:val="007549"/>
        </w:rPr>
      </w:pPr>
      <w:r>
        <w:rPr>
          <w:rFonts w:ascii="Arial" w:cs="Arial" w:eastAsia="Arial" w:hAnsi="Arial"/>
          <w:sz w:val="17"/>
          <w:szCs w:val="17"/>
          <w:color w:val="auto"/>
        </w:rPr>
        <w:t>Double-trigger change-in-control severance benefits</w:t>
      </w:r>
    </w:p>
    <w:p>
      <w:pPr>
        <w:spacing w:after="0" w:line="76" w:lineRule="exact"/>
        <w:rPr>
          <w:rFonts w:ascii="Arial" w:cs="Arial" w:eastAsia="Arial" w:hAnsi="Arial"/>
          <w:sz w:val="18"/>
          <w:szCs w:val="18"/>
          <w:b w:val="1"/>
          <w:bCs w:val="1"/>
          <w:color w:val="007549"/>
        </w:rPr>
      </w:pPr>
    </w:p>
    <w:p>
      <w:pPr>
        <w:ind w:left="286" w:right="280" w:hanging="286"/>
        <w:spacing w:after="0" w:line="231" w:lineRule="auto"/>
        <w:tabs>
          <w:tab w:leader="none" w:pos="286" w:val="left"/>
        </w:tabs>
        <w:numPr>
          <w:ilvl w:val="0"/>
          <w:numId w:val="48"/>
        </w:numPr>
        <w:rPr>
          <w:rFonts w:ascii="Arial" w:cs="Arial" w:eastAsia="Arial" w:hAnsi="Arial"/>
          <w:sz w:val="18"/>
          <w:szCs w:val="18"/>
          <w:b w:val="1"/>
          <w:bCs w:val="1"/>
          <w:color w:val="007549"/>
        </w:rPr>
      </w:pPr>
      <w:r>
        <w:rPr>
          <w:rFonts w:ascii="Arial" w:cs="Arial" w:eastAsia="Arial" w:hAnsi="Arial"/>
          <w:sz w:val="17"/>
          <w:szCs w:val="17"/>
          <w:color w:val="auto"/>
        </w:rPr>
        <w:t>Maintain a compensation clawback policy, which includes recoupment and forfeiture provisions</w:t>
      </w:r>
    </w:p>
    <w:p>
      <w:pPr>
        <w:spacing w:after="0" w:line="51" w:lineRule="exact"/>
        <w:rPr>
          <w:rFonts w:ascii="Arial" w:cs="Arial" w:eastAsia="Arial" w:hAnsi="Arial"/>
          <w:sz w:val="18"/>
          <w:szCs w:val="18"/>
          <w:b w:val="1"/>
          <w:bCs w:val="1"/>
          <w:color w:val="007549"/>
        </w:rPr>
      </w:pPr>
    </w:p>
    <w:p>
      <w:pPr>
        <w:ind w:left="286" w:right="280" w:hanging="286"/>
        <w:spacing w:after="0" w:line="231" w:lineRule="auto"/>
        <w:tabs>
          <w:tab w:leader="none" w:pos="286" w:val="left"/>
        </w:tabs>
        <w:numPr>
          <w:ilvl w:val="0"/>
          <w:numId w:val="48"/>
        </w:numPr>
        <w:rPr>
          <w:rFonts w:ascii="Arial" w:cs="Arial" w:eastAsia="Arial" w:hAnsi="Arial"/>
          <w:sz w:val="18"/>
          <w:szCs w:val="18"/>
          <w:b w:val="1"/>
          <w:bCs w:val="1"/>
          <w:color w:val="007549"/>
        </w:rPr>
      </w:pPr>
      <w:r>
        <w:rPr>
          <w:rFonts w:ascii="Arial" w:cs="Arial" w:eastAsia="Arial" w:hAnsi="Arial"/>
          <w:sz w:val="17"/>
          <w:szCs w:val="17"/>
          <w:color w:val="auto"/>
        </w:rPr>
        <w:t>Have an anti-hedging policy and an anti-pledging policy for all executives</w:t>
      </w:r>
    </w:p>
    <w:p>
      <w:pPr>
        <w:spacing w:after="0" w:line="51" w:lineRule="exact"/>
        <w:rPr>
          <w:rFonts w:ascii="Arial" w:cs="Arial" w:eastAsia="Arial" w:hAnsi="Arial"/>
          <w:sz w:val="18"/>
          <w:szCs w:val="18"/>
          <w:b w:val="1"/>
          <w:bCs w:val="1"/>
          <w:color w:val="007549"/>
        </w:rPr>
      </w:pPr>
    </w:p>
    <w:p>
      <w:pPr>
        <w:ind w:left="286" w:right="280" w:hanging="286"/>
        <w:spacing w:after="0" w:line="231" w:lineRule="auto"/>
        <w:tabs>
          <w:tab w:leader="none" w:pos="286" w:val="left"/>
        </w:tabs>
        <w:numPr>
          <w:ilvl w:val="0"/>
          <w:numId w:val="48"/>
        </w:numPr>
        <w:rPr>
          <w:rFonts w:ascii="Arial" w:cs="Arial" w:eastAsia="Arial" w:hAnsi="Arial"/>
          <w:sz w:val="18"/>
          <w:szCs w:val="18"/>
          <w:b w:val="1"/>
          <w:bCs w:val="1"/>
          <w:color w:val="007549"/>
        </w:rPr>
      </w:pPr>
      <w:r>
        <w:rPr>
          <w:rFonts w:ascii="Arial" w:cs="Arial" w:eastAsia="Arial" w:hAnsi="Arial"/>
          <w:sz w:val="17"/>
          <w:szCs w:val="17"/>
          <w:color w:val="auto"/>
        </w:rPr>
        <w:t>Employ best-practice share counting and review share utilization annually</w:t>
      </w:r>
    </w:p>
    <w:p>
      <w:pPr>
        <w:spacing w:after="0" w:line="33" w:lineRule="exact"/>
        <w:rPr>
          <w:rFonts w:ascii="Arial" w:cs="Arial" w:eastAsia="Arial" w:hAnsi="Arial"/>
          <w:sz w:val="18"/>
          <w:szCs w:val="18"/>
          <w:b w:val="1"/>
          <w:bCs w:val="1"/>
          <w:color w:val="007549"/>
        </w:rPr>
      </w:pPr>
    </w:p>
    <w:p>
      <w:pPr>
        <w:ind w:left="286" w:hanging="286"/>
        <w:spacing w:after="0"/>
        <w:tabs>
          <w:tab w:leader="none" w:pos="286" w:val="left"/>
        </w:tabs>
        <w:numPr>
          <w:ilvl w:val="0"/>
          <w:numId w:val="48"/>
        </w:numPr>
        <w:rPr>
          <w:rFonts w:ascii="Arial" w:cs="Arial" w:eastAsia="Arial" w:hAnsi="Arial"/>
          <w:sz w:val="18"/>
          <w:szCs w:val="18"/>
          <w:b w:val="1"/>
          <w:bCs w:val="1"/>
          <w:color w:val="007549"/>
        </w:rPr>
      </w:pPr>
      <w:r>
        <w:rPr>
          <w:rFonts w:ascii="Arial" w:cs="Arial" w:eastAsia="Arial" w:hAnsi="Arial"/>
          <w:sz w:val="17"/>
          <w:szCs w:val="17"/>
          <w:color w:val="auto"/>
        </w:rPr>
        <w:t xml:space="preserve">Provide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perquisites for executives</w:t>
      </w:r>
    </w:p>
    <w:p>
      <w:pPr>
        <w:spacing w:after="0" w:line="90" w:lineRule="exact"/>
        <w:rPr>
          <w:rFonts w:ascii="Arial" w:cs="Arial" w:eastAsia="Arial" w:hAnsi="Arial"/>
          <w:sz w:val="18"/>
          <w:szCs w:val="18"/>
          <w:b w:val="1"/>
          <w:bCs w:val="1"/>
          <w:color w:val="007549"/>
        </w:rPr>
      </w:pPr>
    </w:p>
    <w:p>
      <w:pPr>
        <w:ind w:left="286" w:right="280" w:hanging="286"/>
        <w:spacing w:after="0" w:line="231" w:lineRule="auto"/>
        <w:tabs>
          <w:tab w:leader="none" w:pos="286" w:val="left"/>
        </w:tabs>
        <w:numPr>
          <w:ilvl w:val="0"/>
          <w:numId w:val="48"/>
        </w:numPr>
        <w:rPr>
          <w:rFonts w:ascii="Arial" w:cs="Arial" w:eastAsia="Arial" w:hAnsi="Arial"/>
          <w:sz w:val="18"/>
          <w:szCs w:val="18"/>
          <w:b w:val="1"/>
          <w:bCs w:val="1"/>
          <w:color w:val="007549"/>
        </w:rPr>
      </w:pPr>
      <w:r>
        <w:rPr>
          <w:rFonts w:ascii="Arial" w:cs="Arial" w:eastAsia="Arial" w:hAnsi="Arial"/>
          <w:sz w:val="17"/>
          <w:szCs w:val="17"/>
          <w:color w:val="auto"/>
        </w:rPr>
        <w:t>Offer executives the same health and welfare benefit and savings plans as other salaried employees</w:t>
      </w:r>
    </w:p>
    <w:p>
      <w:pPr>
        <w:spacing w:after="0" w:line="51" w:lineRule="exact"/>
        <w:rPr>
          <w:rFonts w:ascii="Arial" w:cs="Arial" w:eastAsia="Arial" w:hAnsi="Arial"/>
          <w:sz w:val="18"/>
          <w:szCs w:val="18"/>
          <w:b w:val="1"/>
          <w:bCs w:val="1"/>
          <w:color w:val="007549"/>
        </w:rPr>
      </w:pPr>
    </w:p>
    <w:p>
      <w:pPr>
        <w:ind w:left="286" w:right="280" w:hanging="286"/>
        <w:spacing w:after="0" w:line="231" w:lineRule="auto"/>
        <w:tabs>
          <w:tab w:leader="none" w:pos="286" w:val="left"/>
        </w:tabs>
        <w:numPr>
          <w:ilvl w:val="0"/>
          <w:numId w:val="48"/>
        </w:numPr>
        <w:rPr>
          <w:rFonts w:ascii="Arial" w:cs="Arial" w:eastAsia="Arial" w:hAnsi="Arial"/>
          <w:sz w:val="18"/>
          <w:szCs w:val="18"/>
          <w:b w:val="1"/>
          <w:bCs w:val="1"/>
          <w:color w:val="007549"/>
        </w:rPr>
      </w:pPr>
      <w:r>
        <w:rPr>
          <w:rFonts w:ascii="Arial" w:cs="Arial" w:eastAsia="Arial" w:hAnsi="Arial"/>
          <w:sz w:val="17"/>
          <w:szCs w:val="17"/>
          <w:color w:val="auto"/>
        </w:rPr>
        <w:t>Devote significant time to management succession and leadership development efforts</w:t>
      </w:r>
    </w:p>
    <w:p>
      <w:pPr>
        <w:spacing w:after="0" w:line="51" w:lineRule="exact"/>
        <w:rPr>
          <w:rFonts w:ascii="Arial" w:cs="Arial" w:eastAsia="Arial" w:hAnsi="Arial"/>
          <w:sz w:val="18"/>
          <w:szCs w:val="18"/>
          <w:b w:val="1"/>
          <w:bCs w:val="1"/>
          <w:color w:val="007549"/>
        </w:rPr>
      </w:pPr>
    </w:p>
    <w:p>
      <w:pPr>
        <w:ind w:left="286" w:right="300" w:hanging="286"/>
        <w:spacing w:after="0" w:line="231" w:lineRule="auto"/>
        <w:tabs>
          <w:tab w:leader="none" w:pos="286" w:val="left"/>
        </w:tabs>
        <w:numPr>
          <w:ilvl w:val="0"/>
          <w:numId w:val="48"/>
        </w:numPr>
        <w:rPr>
          <w:rFonts w:ascii="Arial" w:cs="Arial" w:eastAsia="Arial" w:hAnsi="Arial"/>
          <w:sz w:val="18"/>
          <w:szCs w:val="18"/>
          <w:b w:val="1"/>
          <w:bCs w:val="1"/>
          <w:color w:val="007549"/>
        </w:rPr>
      </w:pPr>
      <w:r>
        <w:rPr>
          <w:rFonts w:ascii="Arial" w:cs="Arial" w:eastAsia="Arial" w:hAnsi="Arial"/>
          <w:sz w:val="17"/>
          <w:szCs w:val="17"/>
          <w:color w:val="auto"/>
        </w:rPr>
        <w:t>Retain an independent compensation consultant to advise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175895</wp:posOffset>
            </wp:positionV>
            <wp:extent cx="6918960" cy="10985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18960" cy="10985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60" w:space="394"/>
            <w:col w:w="5286"/>
          </w:cols>
          <w:pgMar w:left="240" w:top="454" w:right="519" w:bottom="1440" w:gutter="0" w:footer="0" w:header="0"/>
          <w:type w:val="continuous"/>
        </w:sectPr>
      </w:pP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FF2135"/>
        </w:rPr>
        <w:t>What We Don’t Do</w:t>
      </w:r>
    </w:p>
    <w:p>
      <w:pPr>
        <w:sectPr>
          <w:pgSz w:w="11900" w:h="16838" w:orient="portrait"/>
          <w:cols w:equalWidth="0" w:num="1">
            <w:col w:w="11140"/>
          </w:cols>
          <w:pgMar w:left="240" w:top="454" w:right="519" w:bottom="1440" w:gutter="0" w:footer="0" w:header="0"/>
          <w:type w:val="continuous"/>
        </w:sectPr>
      </w:pPr>
    </w:p>
    <w:p>
      <w:pPr>
        <w:spacing w:after="0" w:line="167"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No employment contracts for NEOs</w:t>
      </w:r>
    </w:p>
    <w:p>
      <w:pPr>
        <w:spacing w:after="0" w:line="97" w:lineRule="exact"/>
        <w:rPr>
          <w:sz w:val="20"/>
          <w:szCs w:val="20"/>
          <w:color w:val="auto"/>
        </w:rPr>
      </w:pPr>
    </w:p>
    <w:p>
      <w:pPr>
        <w:ind w:left="1000" w:right="40"/>
        <w:spacing w:after="0" w:line="238" w:lineRule="auto"/>
        <w:rPr>
          <w:sz w:val="20"/>
          <w:szCs w:val="20"/>
          <w:color w:val="auto"/>
        </w:rPr>
      </w:pPr>
      <w:r>
        <w:rPr>
          <w:rFonts w:ascii="Arial" w:cs="Arial" w:eastAsia="Arial" w:hAnsi="Arial"/>
          <w:sz w:val="17"/>
          <w:szCs w:val="17"/>
          <w:color w:val="auto"/>
        </w:rPr>
        <w:t>No payment of dividends or dividend equivalents on unearned restricted stock or PSUs</w:t>
      </w:r>
    </w:p>
    <w:p>
      <w:pPr>
        <w:spacing w:after="0" w:line="51" w:lineRule="exact"/>
        <w:rPr>
          <w:sz w:val="20"/>
          <w:szCs w:val="20"/>
          <w:color w:val="auto"/>
        </w:rPr>
      </w:pPr>
    </w:p>
    <w:p>
      <w:pPr>
        <w:ind w:left="1000" w:right="40"/>
        <w:spacing w:after="0" w:line="238" w:lineRule="auto"/>
        <w:rPr>
          <w:sz w:val="20"/>
          <w:szCs w:val="20"/>
          <w:color w:val="auto"/>
        </w:rPr>
      </w:pPr>
      <w:r>
        <w:rPr>
          <w:rFonts w:ascii="Arial" w:cs="Arial" w:eastAsia="Arial" w:hAnsi="Arial"/>
          <w:sz w:val="17"/>
          <w:szCs w:val="17"/>
          <w:color w:val="auto"/>
        </w:rPr>
        <w:t>No excise tax gross-ups in new change-in-control agreements since 2010</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right="280"/>
        <w:spacing w:after="0" w:line="238" w:lineRule="auto"/>
        <w:rPr>
          <w:sz w:val="20"/>
          <w:szCs w:val="20"/>
          <w:color w:val="auto"/>
        </w:rPr>
      </w:pPr>
      <w:r>
        <w:rPr>
          <w:rFonts w:ascii="Arial" w:cs="Arial" w:eastAsia="Arial" w:hAnsi="Arial"/>
          <w:sz w:val="17"/>
          <w:szCs w:val="17"/>
          <w:color w:val="auto"/>
        </w:rPr>
        <w:t>No re-pricing of underwater stock options without stockholder approval</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No excessive severance or change-in-control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1115060</wp:posOffset>
            </wp:positionH>
            <wp:positionV relativeFrom="paragraph">
              <wp:posOffset>521970</wp:posOffset>
            </wp:positionV>
            <wp:extent cx="405765" cy="2451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684" w:lineRule="exact"/>
        <w:rPr>
          <w:sz w:val="20"/>
          <w:szCs w:val="20"/>
          <w:color w:val="auto"/>
        </w:rPr>
      </w:pPr>
    </w:p>
    <w:p>
      <w:pPr>
        <w:sectPr>
          <w:pgSz w:w="11900" w:h="16838" w:orient="portrait"/>
          <w:cols w:equalWidth="0" w:num="2">
            <w:col w:w="5500" w:space="720"/>
            <w:col w:w="4920"/>
          </w:cols>
          <w:pgMar w:left="240" w:top="454" w:right="519" w:bottom="1440" w:gutter="0" w:footer="0" w:header="0"/>
          <w:type w:val="continuous"/>
        </w:sectPr>
      </w:pPr>
    </w:p>
    <w:p>
      <w:pPr>
        <w:spacing w:after="0" w:line="230" w:lineRule="exact"/>
        <w:rPr>
          <w:sz w:val="20"/>
          <w:szCs w:val="20"/>
          <w:color w:val="auto"/>
        </w:rPr>
      </w:pPr>
    </w:p>
    <w:tbl>
      <w:tblPr>
        <w:tblLayout w:type="fixed"/>
        <w:tblInd w:w="9140" w:type="dxa"/>
        <w:tblCellMar>
          <w:top w:w="0" w:type="dxa"/>
          <w:left w:w="0" w:type="dxa"/>
          <w:bottom w:w="0" w:type="dxa"/>
          <w:right w:w="0" w:type="dxa"/>
        </w:tblCellMar>
      </w:tblPr>
      <w:tr>
        <w:trPr>
          <w:trHeight w:val="188"/>
        </w:trPr>
        <w:tc>
          <w:tcPr>
            <w:tcW w:w="1680" w:type="dxa"/>
            <w:vAlign w:val="bottom"/>
          </w:tcPr>
          <w:p>
            <w:pPr>
              <w:spacing w:after="0"/>
              <w:rPr>
                <w:sz w:val="20"/>
                <w:szCs w:val="20"/>
                <w:color w:val="auto"/>
              </w:rPr>
            </w:pPr>
            <w:r>
              <w:rPr>
                <w:rFonts w:ascii="Arial" w:cs="Arial" w:eastAsia="Arial" w:hAnsi="Arial"/>
                <w:sz w:val="12"/>
                <w:szCs w:val="12"/>
                <w:b w:val="1"/>
                <w:bCs w:val="1"/>
                <w:color w:val="666666"/>
              </w:rPr>
              <w:t>2018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007549"/>
              </w:rPr>
              <w:t>25</w:t>
            </w:r>
          </w:p>
        </w:tc>
      </w:tr>
    </w:tbl>
    <w:p>
      <w:pPr>
        <w:sectPr>
          <w:pgSz w:w="11900" w:h="16838" w:orient="portrait"/>
          <w:cols w:equalWidth="0" w:num="1">
            <w:col w:w="11140"/>
          </w:cols>
          <w:pgMar w:left="240" w:top="454" w:right="51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007549"/>
        </w:rPr>
        <w:t xml:space="preserve">Executive Compensation </w:t>
      </w:r>
      <w:r>
        <w:rPr>
          <w:rFonts w:ascii="Arial" w:cs="Arial" w:eastAsia="Arial" w:hAnsi="Arial"/>
          <w:sz w:val="16"/>
          <w:szCs w:val="16"/>
          <w:b w:val="1"/>
          <w:bCs w:val="1"/>
          <w:color w:val="000000"/>
        </w:rPr>
        <w:t>+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55245</wp:posOffset>
            </wp:positionV>
            <wp:extent cx="689356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234"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007549"/>
        </w:rPr>
        <w:t>Compensation Objective and Philosophy</w:t>
      </w:r>
    </w:p>
    <w:p>
      <w:pPr>
        <w:spacing w:after="0" w:line="74" w:lineRule="exact"/>
        <w:rPr>
          <w:sz w:val="20"/>
          <w:szCs w:val="20"/>
          <w:color w:val="auto"/>
        </w:rPr>
      </w:pPr>
    </w:p>
    <w:p>
      <w:pPr>
        <w:jc w:val="both"/>
        <w:ind w:left="280"/>
        <w:spacing w:after="0" w:line="247" w:lineRule="auto"/>
        <w:rPr>
          <w:sz w:val="20"/>
          <w:szCs w:val="20"/>
          <w:color w:val="auto"/>
        </w:rPr>
      </w:pPr>
      <w:r>
        <w:rPr>
          <w:rFonts w:ascii="Arial" w:cs="Arial" w:eastAsia="Arial" w:hAnsi="Arial"/>
          <w:sz w:val="18"/>
          <w:szCs w:val="18"/>
          <w:b w:val="1"/>
          <w:bCs w:val="1"/>
          <w:i w:val="1"/>
          <w:iCs w:val="1"/>
          <w:color w:val="007549"/>
        </w:rPr>
        <w:t xml:space="preserve">Compensation Objective. </w:t>
      </w:r>
      <w:r>
        <w:rPr>
          <w:rFonts w:ascii="Arial" w:cs="Arial" w:eastAsia="Arial" w:hAnsi="Arial"/>
          <w:sz w:val="18"/>
          <w:szCs w:val="18"/>
          <w:color w:val="000000"/>
        </w:rPr>
        <w:t>The objective of our executive compensation program is to attract and retain talented executives and motivate</w:t>
      </w:r>
      <w:r>
        <w:rPr>
          <w:rFonts w:ascii="Arial" w:cs="Arial" w:eastAsia="Arial" w:hAnsi="Arial"/>
          <w:sz w:val="18"/>
          <w:szCs w:val="18"/>
          <w:b w:val="1"/>
          <w:bCs w:val="1"/>
          <w:i w:val="1"/>
          <w:iCs w:val="1"/>
          <w:color w:val="007549"/>
        </w:rPr>
        <w:t xml:space="preserve"> </w:t>
      </w:r>
      <w:r>
        <w:rPr>
          <w:rFonts w:ascii="Arial" w:cs="Arial" w:eastAsia="Arial" w:hAnsi="Arial"/>
          <w:sz w:val="18"/>
          <w:szCs w:val="18"/>
          <w:color w:val="000000"/>
        </w:rPr>
        <w:t>them to achieve our business goals through a combination of cash and stock-based compensation. The principal elements of an executive’s total compensation consist of base salary, annual incentive, and long-term incentives.</w:t>
      </w:r>
    </w:p>
    <w:p>
      <w:pPr>
        <w:spacing w:after="0" w:line="168" w:lineRule="exact"/>
        <w:rPr>
          <w:sz w:val="20"/>
          <w:szCs w:val="20"/>
          <w:color w:val="auto"/>
        </w:rPr>
      </w:pPr>
    </w:p>
    <w:p>
      <w:pPr>
        <w:jc w:val="both"/>
        <w:ind w:left="280"/>
        <w:spacing w:after="0" w:line="235" w:lineRule="auto"/>
        <w:rPr>
          <w:sz w:val="20"/>
          <w:szCs w:val="20"/>
          <w:color w:val="auto"/>
        </w:rPr>
      </w:pPr>
      <w:r>
        <w:rPr>
          <w:rFonts w:ascii="Arial" w:cs="Arial" w:eastAsia="Arial" w:hAnsi="Arial"/>
          <w:sz w:val="18"/>
          <w:szCs w:val="18"/>
          <w:color w:val="auto"/>
        </w:rPr>
        <w:t>We are focused on building long-term value in an industry where a significant portion of financial and stock price performance, especially over shorter time periods, is driven by oil price and other macroeconomic factors over which management has limited, if any, control. The board believes that the compensation program should set short-term targets that lead to long-term success and long-term targets based on total shareholder returns, which we believe to be the most effective measure of long-term value creation currently available.</w:t>
      </w:r>
    </w:p>
    <w:p>
      <w:pPr>
        <w:spacing w:after="0" w:line="161" w:lineRule="exact"/>
        <w:rPr>
          <w:sz w:val="20"/>
          <w:szCs w:val="20"/>
          <w:color w:val="auto"/>
        </w:rPr>
      </w:pPr>
    </w:p>
    <w:p>
      <w:pPr>
        <w:jc w:val="both"/>
        <w:ind w:left="280"/>
        <w:spacing w:after="0" w:line="238" w:lineRule="auto"/>
        <w:rPr>
          <w:sz w:val="20"/>
          <w:szCs w:val="20"/>
          <w:color w:val="auto"/>
        </w:rPr>
      </w:pPr>
      <w:r>
        <w:rPr>
          <w:rFonts w:ascii="Arial" w:cs="Arial" w:eastAsia="Arial" w:hAnsi="Arial"/>
          <w:sz w:val="18"/>
          <w:szCs w:val="18"/>
          <w:color w:val="auto"/>
        </w:rPr>
        <w:t>We also review other elements of compensation, including retirement benefits, health and welfare plans and other benefits offered to employees generally in order to evaluate the entire compensation package offered to executives.</w:t>
      </w:r>
    </w:p>
    <w:p>
      <w:pPr>
        <w:spacing w:after="0" w:line="140" w:lineRule="exact"/>
        <w:rPr>
          <w:sz w:val="20"/>
          <w:szCs w:val="20"/>
          <w:color w:val="auto"/>
        </w:rPr>
      </w:pPr>
    </w:p>
    <w:p>
      <w:pPr>
        <w:jc w:val="both"/>
        <w:ind w:left="280"/>
        <w:spacing w:after="0" w:line="238" w:lineRule="auto"/>
        <w:rPr>
          <w:sz w:val="20"/>
          <w:szCs w:val="20"/>
          <w:color w:val="auto"/>
        </w:rPr>
      </w:pPr>
      <w:r>
        <w:rPr>
          <w:rFonts w:ascii="Arial" w:cs="Arial" w:eastAsia="Arial" w:hAnsi="Arial"/>
          <w:sz w:val="18"/>
          <w:szCs w:val="18"/>
          <w:b w:val="1"/>
          <w:bCs w:val="1"/>
          <w:i w:val="1"/>
          <w:iCs w:val="1"/>
          <w:color w:val="007549"/>
        </w:rPr>
        <w:t xml:space="preserve">Compensation Philosophy. </w:t>
      </w:r>
      <w:r>
        <w:rPr>
          <w:rFonts w:ascii="Arial" w:cs="Arial" w:eastAsia="Arial" w:hAnsi="Arial"/>
          <w:sz w:val="18"/>
          <w:szCs w:val="18"/>
          <w:color w:val="000000"/>
        </w:rPr>
        <w:t>Our compensation program is designed to provide competitive pay to executives, reward for individual and</w:t>
      </w:r>
      <w:r>
        <w:rPr>
          <w:rFonts w:ascii="Arial" w:cs="Arial" w:eastAsia="Arial" w:hAnsi="Arial"/>
          <w:sz w:val="18"/>
          <w:szCs w:val="18"/>
          <w:b w:val="1"/>
          <w:bCs w:val="1"/>
          <w:i w:val="1"/>
          <w:iCs w:val="1"/>
          <w:color w:val="007549"/>
        </w:rPr>
        <w:t xml:space="preserve"> </w:t>
      </w:r>
      <w:r>
        <w:rPr>
          <w:rFonts w:ascii="Arial" w:cs="Arial" w:eastAsia="Arial" w:hAnsi="Arial"/>
          <w:sz w:val="18"/>
          <w:szCs w:val="18"/>
          <w:color w:val="000000"/>
        </w:rPr>
        <w:t>company performance, and maintain a long-term orientation that aligns with stockholder interests. The annual incentive plan emphasizes formulaic enterprise results with a focus on measures largely within management’s control that reflect the core operating functions throughout the business cycle. The long-term incentives balance absolute stock price performance and stock price performance relative to peers, and is designed to support our long-term business strategy, serve as a retention tool and align employees with stockholder interests.</w:t>
      </w:r>
    </w:p>
    <w:p>
      <w:pPr>
        <w:spacing w:after="0" w:line="174" w:lineRule="exact"/>
        <w:rPr>
          <w:sz w:val="20"/>
          <w:szCs w:val="20"/>
          <w:color w:val="auto"/>
        </w:rPr>
      </w:pPr>
    </w:p>
    <w:p>
      <w:pPr>
        <w:jc w:val="both"/>
        <w:ind w:left="280"/>
        <w:spacing w:after="0" w:line="233" w:lineRule="auto"/>
        <w:rPr>
          <w:sz w:val="20"/>
          <w:szCs w:val="20"/>
          <w:color w:val="auto"/>
        </w:rPr>
      </w:pPr>
      <w:r>
        <w:rPr>
          <w:rFonts w:ascii="Arial" w:cs="Arial" w:eastAsia="Arial" w:hAnsi="Arial"/>
          <w:sz w:val="18"/>
          <w:szCs w:val="18"/>
          <w:color w:val="auto"/>
        </w:rPr>
        <w:t>Generally, we target total direct compensation (salary, annual incentive and long-term incentives) within a competitive range of market median. Sustained performance may be recognized in individual pay components, and pay will vary above or below target based primarily on actual enterprise performance and, to a lesser degree, individual performance. Variations in total direct compensation among the NEOs reflect differences in competitive pay for their respective positions as well as the size and complexity of the groups or functions they oversee, the performance of those groups or functions, and individual performance. The committee also considers market conditions in our industry when making compensation decisions.</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007549"/>
        </w:rPr>
        <w:t>2017 Total Direct Compensation</w:t>
      </w:r>
    </w:p>
    <w:p>
      <w:pPr>
        <w:spacing w:after="0" w:line="96" w:lineRule="exact"/>
        <w:rPr>
          <w:sz w:val="20"/>
          <w:szCs w:val="20"/>
          <w:color w:val="auto"/>
        </w:rPr>
      </w:pPr>
    </w:p>
    <w:p>
      <w:pPr>
        <w:jc w:val="both"/>
        <w:ind w:left="280"/>
        <w:spacing w:after="0" w:line="235" w:lineRule="auto"/>
        <w:rPr>
          <w:sz w:val="20"/>
          <w:szCs w:val="20"/>
          <w:color w:val="auto"/>
        </w:rPr>
      </w:pPr>
      <w:r>
        <w:rPr>
          <w:rFonts w:ascii="Arial" w:cs="Arial" w:eastAsia="Arial" w:hAnsi="Arial"/>
          <w:sz w:val="18"/>
          <w:szCs w:val="18"/>
          <w:color w:val="auto"/>
        </w:rPr>
        <w:t>We structure NEO total direct compensation so that the majority is delivered in the form of long-term incentive awards in order to provide incentives to work toward growth of long-term profitability that will enhance stockholder returns. We also structure NEOs’ cash compensation so that a significant portion is at risk under the company’s annual incentive plan, payable primarily based on enterprise results, and to a lesser degree individual performance. We further detail each component of total direct compensation below.</w:t>
      </w:r>
    </w:p>
    <w:p>
      <w:pPr>
        <w:spacing w:after="0" w:line="139" w:lineRule="exact"/>
        <w:rPr>
          <w:sz w:val="20"/>
          <w:szCs w:val="20"/>
          <w:color w:val="auto"/>
        </w:rPr>
      </w:pPr>
    </w:p>
    <w:p>
      <w:pPr>
        <w:jc w:val="both"/>
        <w:ind w:left="280"/>
        <w:spacing w:after="0" w:line="242" w:lineRule="auto"/>
        <w:rPr>
          <w:sz w:val="20"/>
          <w:szCs w:val="20"/>
          <w:color w:val="auto"/>
        </w:rPr>
      </w:pPr>
      <w:r>
        <w:rPr>
          <w:rFonts w:ascii="Arial" w:cs="Arial" w:eastAsia="Arial" w:hAnsi="Arial"/>
          <w:sz w:val="18"/>
          <w:szCs w:val="18"/>
          <w:b w:val="1"/>
          <w:bCs w:val="1"/>
          <w:i w:val="1"/>
          <w:iCs w:val="1"/>
          <w:color w:val="007549"/>
        </w:rPr>
        <w:t xml:space="preserve">Base Salary. </w:t>
      </w:r>
      <w:r>
        <w:rPr>
          <w:rFonts w:ascii="Arial" w:cs="Arial" w:eastAsia="Arial" w:hAnsi="Arial"/>
          <w:sz w:val="18"/>
          <w:szCs w:val="18"/>
          <w:color w:val="000000"/>
        </w:rPr>
        <w:t>We review base salaries annually, but we do not necessarily make adjustments to NEO salaries each year. In determining</w:t>
      </w:r>
      <w:r>
        <w:rPr>
          <w:rFonts w:ascii="Arial" w:cs="Arial" w:eastAsia="Arial" w:hAnsi="Arial"/>
          <w:sz w:val="18"/>
          <w:szCs w:val="18"/>
          <w:b w:val="1"/>
          <w:bCs w:val="1"/>
          <w:i w:val="1"/>
          <w:iCs w:val="1"/>
          <w:color w:val="007549"/>
        </w:rPr>
        <w:t xml:space="preserve"> </w:t>
      </w:r>
      <w:r>
        <w:rPr>
          <w:rFonts w:ascii="Arial" w:cs="Arial" w:eastAsia="Arial" w:hAnsi="Arial"/>
          <w:sz w:val="18"/>
          <w:szCs w:val="18"/>
          <w:color w:val="000000"/>
        </w:rPr>
        <w:t>base salary levels for executive officers, the committee considers the following qualitative and quantitative factors: job level and responsibilities, relevant experience, individual performance, recent corporate and business unit performance, internal equity and our objective of paying competitive total direct compensation if performance is met.</w:t>
      </w:r>
    </w:p>
    <w:p>
      <w:pPr>
        <w:spacing w:after="0" w:line="172" w:lineRule="exact"/>
        <w:rPr>
          <w:sz w:val="20"/>
          <w:szCs w:val="20"/>
          <w:color w:val="auto"/>
        </w:rPr>
      </w:pPr>
    </w:p>
    <w:p>
      <w:pPr>
        <w:jc w:val="both"/>
        <w:ind w:left="280"/>
        <w:spacing w:after="0" w:line="235" w:lineRule="auto"/>
        <w:rPr>
          <w:sz w:val="20"/>
          <w:szCs w:val="20"/>
          <w:color w:val="auto"/>
        </w:rPr>
      </w:pPr>
      <w:r>
        <w:rPr>
          <w:rFonts w:ascii="Arial" w:cs="Arial" w:eastAsia="Arial" w:hAnsi="Arial"/>
          <w:sz w:val="18"/>
          <w:szCs w:val="18"/>
          <w:color w:val="auto"/>
        </w:rPr>
        <w:t>From time to time base salaries may be adjusted other than as a result of an annual review in order to address competitive pressures or in connection with a promotion. Given the difficult oil price environment, we have held salaries flat for our NEOs since 2014, other than Mr. Turner. In 2017, we increased Mr. Turner’s salary to recognize the increased scope of his job responsibilities from Senior Vice President, Onshore to Senior Vice President, Global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1820545</wp:posOffset>
            </wp:positionH>
            <wp:positionV relativeFrom="paragraph">
              <wp:posOffset>85725</wp:posOffset>
            </wp:positionV>
            <wp:extent cx="405765" cy="2451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215" w:lineRule="exact"/>
        <w:rPr>
          <w:sz w:val="20"/>
          <w:szCs w:val="20"/>
          <w:color w:val="auto"/>
        </w:rPr>
      </w:pPr>
    </w:p>
    <w:p>
      <w:pPr>
        <w:ind w:left="760" w:hanging="474"/>
        <w:spacing w:after="0"/>
        <w:tabs>
          <w:tab w:leader="none" w:pos="760" w:val="left"/>
        </w:tabs>
        <w:numPr>
          <w:ilvl w:val="0"/>
          <w:numId w:val="49"/>
        </w:numPr>
        <w:rPr>
          <w:rFonts w:ascii="Arial" w:cs="Arial" w:eastAsia="Arial" w:hAnsi="Arial"/>
          <w:sz w:val="14"/>
          <w:szCs w:val="14"/>
          <w:b w:val="1"/>
          <w:bCs w:val="1"/>
          <w:color w:val="007549"/>
        </w:rPr>
      </w:pPr>
      <w:r>
        <w:rPr>
          <w:rFonts w:ascii="Arial" w:cs="Arial" w:eastAsia="Arial" w:hAnsi="Arial"/>
          <w:sz w:val="12"/>
          <w:szCs w:val="12"/>
          <w:b w:val="1"/>
          <w:bCs w:val="1"/>
          <w:color w:val="666666"/>
        </w:rPr>
        <w:t>2018 PROXY STATEMENT</w:t>
      </w:r>
    </w:p>
    <w:p>
      <w:pPr>
        <w:sectPr>
          <w:pgSz w:w="11900" w:h="16838" w:orient="portrait"/>
          <w:cols w:equalWidth="0" w:num="1">
            <w:col w:w="11140"/>
          </w:cols>
          <w:pgMar w:left="240" w:top="454" w:right="5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7549"/>
        </w:rPr>
        <w:t xml:space="preserve">Executive Compensation </w:t>
      </w:r>
      <w:r>
        <w:rPr>
          <w:rFonts w:ascii="Arial" w:cs="Arial" w:eastAsia="Arial" w:hAnsi="Arial"/>
          <w:sz w:val="16"/>
          <w:szCs w:val="16"/>
          <w:b w:val="1"/>
          <w:bCs w:val="1"/>
          <w:color w:val="000000"/>
        </w:rPr>
        <w:t>+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55245</wp:posOffset>
            </wp:positionV>
            <wp:extent cx="68935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6600" w:type="dxa"/>
            <w:vAlign w:val="bottom"/>
            <w:shd w:val="clear" w:color="auto" w:fill="007549"/>
          </w:tcPr>
          <w:p>
            <w:pPr>
              <w:spacing w:after="0"/>
              <w:rPr>
                <w:sz w:val="14"/>
                <w:szCs w:val="14"/>
                <w:color w:val="auto"/>
              </w:rPr>
            </w:pPr>
          </w:p>
        </w:tc>
        <w:tc>
          <w:tcPr>
            <w:tcW w:w="640" w:type="dxa"/>
            <w:vAlign w:val="bottom"/>
            <w:shd w:val="clear" w:color="auto" w:fill="007549"/>
          </w:tcPr>
          <w:p>
            <w:pPr>
              <w:spacing w:after="0"/>
              <w:rPr>
                <w:sz w:val="14"/>
                <w:szCs w:val="14"/>
                <w:color w:val="auto"/>
              </w:rPr>
            </w:pPr>
          </w:p>
        </w:tc>
        <w:tc>
          <w:tcPr>
            <w:tcW w:w="1080" w:type="dxa"/>
            <w:vAlign w:val="bottom"/>
            <w:shd w:val="clear" w:color="auto" w:fill="007549"/>
          </w:tcPr>
          <w:p>
            <w:pPr>
              <w:spacing w:after="0"/>
              <w:rPr>
                <w:sz w:val="14"/>
                <w:szCs w:val="14"/>
                <w:color w:val="auto"/>
              </w:rPr>
            </w:pPr>
          </w:p>
        </w:tc>
        <w:tc>
          <w:tcPr>
            <w:tcW w:w="1380" w:type="dxa"/>
            <w:vAlign w:val="bottom"/>
            <w:gridSpan w:val="2"/>
            <w:shd w:val="clear" w:color="auto" w:fill="007549"/>
          </w:tcPr>
          <w:p>
            <w:pPr>
              <w:jc w:val="right"/>
              <w:ind w:right="514"/>
              <w:spacing w:after="0"/>
              <w:rPr>
                <w:sz w:val="20"/>
                <w:szCs w:val="20"/>
                <w:color w:val="auto"/>
              </w:rPr>
            </w:pPr>
            <w:r>
              <w:rPr>
                <w:rFonts w:ascii="Arial" w:cs="Arial" w:eastAsia="Arial" w:hAnsi="Arial"/>
                <w:sz w:val="14"/>
                <w:szCs w:val="14"/>
                <w:b w:val="1"/>
                <w:bCs w:val="1"/>
                <w:color w:val="FFFFFF"/>
              </w:rPr>
              <w:t>Salary</w:t>
            </w:r>
          </w:p>
        </w:tc>
        <w:tc>
          <w:tcPr>
            <w:tcW w:w="1160" w:type="dxa"/>
            <w:vAlign w:val="bottom"/>
            <w:vMerge w:val="restart"/>
            <w:shd w:val="clear" w:color="auto" w:fill="007549"/>
          </w:tcPr>
          <w:p>
            <w:pPr>
              <w:jc w:val="right"/>
              <w:ind w:right="136"/>
              <w:spacing w:after="0"/>
              <w:rPr>
                <w:sz w:val="20"/>
                <w:szCs w:val="20"/>
                <w:color w:val="auto"/>
              </w:rPr>
            </w:pPr>
            <w:r>
              <w:rPr>
                <w:rFonts w:ascii="Arial" w:cs="Arial" w:eastAsia="Arial" w:hAnsi="Arial"/>
                <w:sz w:val="14"/>
                <w:szCs w:val="14"/>
                <w:b w:val="1"/>
                <w:bCs w:val="1"/>
                <w:color w:val="FFFFFF"/>
              </w:rPr>
              <w:t>% Increase</w:t>
            </w:r>
          </w:p>
        </w:tc>
        <w:tc>
          <w:tcPr>
            <w:tcW w:w="0" w:type="dxa"/>
            <w:vAlign w:val="bottom"/>
          </w:tcPr>
          <w:p>
            <w:pPr>
              <w:spacing w:after="0"/>
              <w:rPr>
                <w:sz w:val="1"/>
                <w:szCs w:val="1"/>
                <w:color w:val="auto"/>
              </w:rPr>
            </w:pPr>
          </w:p>
        </w:tc>
      </w:tr>
      <w:tr>
        <w:trPr>
          <w:trHeight w:val="160"/>
        </w:trPr>
        <w:tc>
          <w:tcPr>
            <w:tcW w:w="6600" w:type="dxa"/>
            <w:vAlign w:val="bottom"/>
            <w:shd w:val="clear" w:color="auto" w:fill="007549"/>
          </w:tcPr>
          <w:p>
            <w:pPr>
              <w:spacing w:after="0"/>
              <w:rPr>
                <w:sz w:val="13"/>
                <w:szCs w:val="13"/>
                <w:color w:val="auto"/>
              </w:rPr>
            </w:pPr>
          </w:p>
        </w:tc>
        <w:tc>
          <w:tcPr>
            <w:tcW w:w="640" w:type="dxa"/>
            <w:vAlign w:val="bottom"/>
            <w:shd w:val="clear" w:color="auto" w:fill="007549"/>
          </w:tcPr>
          <w:p>
            <w:pPr>
              <w:spacing w:after="0"/>
              <w:rPr>
                <w:sz w:val="13"/>
                <w:szCs w:val="13"/>
                <w:color w:val="auto"/>
              </w:rPr>
            </w:pPr>
          </w:p>
        </w:tc>
        <w:tc>
          <w:tcPr>
            <w:tcW w:w="1080" w:type="dxa"/>
            <w:vAlign w:val="bottom"/>
            <w:shd w:val="clear" w:color="auto" w:fill="007549"/>
          </w:tcPr>
          <w:p>
            <w:pPr>
              <w:spacing w:after="0"/>
              <w:rPr>
                <w:sz w:val="13"/>
                <w:szCs w:val="13"/>
                <w:color w:val="auto"/>
              </w:rPr>
            </w:pPr>
          </w:p>
        </w:tc>
        <w:tc>
          <w:tcPr>
            <w:tcW w:w="400" w:type="dxa"/>
            <w:vAlign w:val="bottom"/>
            <w:shd w:val="clear" w:color="auto" w:fill="007549"/>
          </w:tcPr>
          <w:p>
            <w:pPr>
              <w:spacing w:after="0"/>
              <w:rPr>
                <w:sz w:val="13"/>
                <w:szCs w:val="13"/>
                <w:color w:val="auto"/>
              </w:rPr>
            </w:pPr>
          </w:p>
        </w:tc>
        <w:tc>
          <w:tcPr>
            <w:tcW w:w="980" w:type="dxa"/>
            <w:vAlign w:val="bottom"/>
            <w:shd w:val="clear" w:color="auto" w:fill="007549"/>
          </w:tcPr>
          <w:p>
            <w:pPr>
              <w:spacing w:after="0"/>
              <w:rPr>
                <w:sz w:val="13"/>
                <w:szCs w:val="13"/>
                <w:color w:val="auto"/>
              </w:rPr>
            </w:pPr>
          </w:p>
        </w:tc>
        <w:tc>
          <w:tcPr>
            <w:tcW w:w="1160" w:type="dxa"/>
            <w:vAlign w:val="bottom"/>
            <w:vMerge w:val="continue"/>
            <w:shd w:val="clear" w:color="auto" w:fill="007549"/>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6600" w:type="dxa"/>
            <w:vAlign w:val="bottom"/>
            <w:shd w:val="clear" w:color="auto" w:fill="007549"/>
          </w:tcPr>
          <w:p>
            <w:pPr>
              <w:ind w:left="80"/>
              <w:spacing w:after="0"/>
              <w:rPr>
                <w:sz w:val="20"/>
                <w:szCs w:val="20"/>
                <w:color w:val="auto"/>
              </w:rPr>
            </w:pPr>
            <w:r>
              <w:rPr>
                <w:rFonts w:ascii="Arial" w:cs="Arial" w:eastAsia="Arial" w:hAnsi="Arial"/>
                <w:sz w:val="14"/>
                <w:szCs w:val="14"/>
                <w:b w:val="1"/>
                <w:bCs w:val="1"/>
                <w:color w:val="FFFFFF"/>
              </w:rPr>
              <w:t>Name</w:t>
            </w:r>
          </w:p>
        </w:tc>
        <w:tc>
          <w:tcPr>
            <w:tcW w:w="640" w:type="dxa"/>
            <w:vAlign w:val="bottom"/>
            <w:shd w:val="clear" w:color="auto" w:fill="007549"/>
          </w:tcPr>
          <w:p>
            <w:pPr>
              <w:spacing w:after="0"/>
              <w:rPr>
                <w:sz w:val="17"/>
                <w:szCs w:val="17"/>
                <w:color w:val="auto"/>
              </w:rPr>
            </w:pPr>
          </w:p>
        </w:tc>
        <w:tc>
          <w:tcPr>
            <w:tcW w:w="1080" w:type="dxa"/>
            <w:vAlign w:val="bottom"/>
            <w:shd w:val="clear" w:color="auto" w:fill="007549"/>
          </w:tcPr>
          <w:p>
            <w:pPr>
              <w:jc w:val="right"/>
              <w:ind w:right="494"/>
              <w:spacing w:after="0"/>
              <w:rPr>
                <w:sz w:val="20"/>
                <w:szCs w:val="20"/>
                <w:color w:val="auto"/>
              </w:rPr>
            </w:pPr>
            <w:r>
              <w:rPr>
                <w:rFonts w:ascii="Arial" w:cs="Arial" w:eastAsia="Arial" w:hAnsi="Arial"/>
                <w:sz w:val="14"/>
                <w:szCs w:val="14"/>
                <w:b w:val="1"/>
                <w:bCs w:val="1"/>
                <w:color w:val="FFFFFF"/>
              </w:rPr>
              <w:t>2017</w:t>
            </w:r>
          </w:p>
        </w:tc>
        <w:tc>
          <w:tcPr>
            <w:tcW w:w="400" w:type="dxa"/>
            <w:vAlign w:val="bottom"/>
            <w:shd w:val="clear" w:color="auto" w:fill="007549"/>
          </w:tcPr>
          <w:p>
            <w:pPr>
              <w:spacing w:after="0"/>
              <w:rPr>
                <w:sz w:val="17"/>
                <w:szCs w:val="17"/>
                <w:color w:val="auto"/>
              </w:rPr>
            </w:pPr>
          </w:p>
        </w:tc>
        <w:tc>
          <w:tcPr>
            <w:tcW w:w="980" w:type="dxa"/>
            <w:vAlign w:val="bottom"/>
            <w:shd w:val="clear" w:color="auto" w:fill="007549"/>
          </w:tcPr>
          <w:p>
            <w:pPr>
              <w:jc w:val="right"/>
              <w:ind w:right="394"/>
              <w:spacing w:after="0"/>
              <w:rPr>
                <w:sz w:val="20"/>
                <w:szCs w:val="20"/>
                <w:color w:val="auto"/>
              </w:rPr>
            </w:pPr>
            <w:r>
              <w:rPr>
                <w:rFonts w:ascii="Arial" w:cs="Arial" w:eastAsia="Arial" w:hAnsi="Arial"/>
                <w:sz w:val="14"/>
                <w:szCs w:val="14"/>
                <w:b w:val="1"/>
                <w:bCs w:val="1"/>
                <w:color w:val="FFFFFF"/>
              </w:rPr>
              <w:t>2016</w:t>
            </w:r>
          </w:p>
        </w:tc>
        <w:tc>
          <w:tcPr>
            <w:tcW w:w="1160" w:type="dxa"/>
            <w:vAlign w:val="bottom"/>
            <w:shd w:val="clear" w:color="auto" w:fill="007549"/>
          </w:tcPr>
          <w:p>
            <w:pPr>
              <w:jc w:val="right"/>
              <w:ind w:right="176"/>
              <w:spacing w:after="0"/>
              <w:rPr>
                <w:sz w:val="20"/>
                <w:szCs w:val="20"/>
                <w:color w:val="auto"/>
              </w:rPr>
            </w:pPr>
            <w:r>
              <w:rPr>
                <w:rFonts w:ascii="Arial" w:cs="Arial" w:eastAsia="Arial" w:hAnsi="Arial"/>
                <w:sz w:val="14"/>
                <w:szCs w:val="14"/>
                <w:b w:val="1"/>
                <w:bCs w:val="1"/>
                <w:color w:val="FFFFFF"/>
              </w:rPr>
              <w:t>2016-2017</w:t>
            </w:r>
          </w:p>
        </w:tc>
        <w:tc>
          <w:tcPr>
            <w:tcW w:w="0" w:type="dxa"/>
            <w:vAlign w:val="bottom"/>
          </w:tcPr>
          <w:p>
            <w:pPr>
              <w:spacing w:after="0"/>
              <w:rPr>
                <w:sz w:val="1"/>
                <w:szCs w:val="1"/>
                <w:color w:val="auto"/>
              </w:rPr>
            </w:pPr>
          </w:p>
        </w:tc>
      </w:tr>
      <w:tr>
        <w:trPr>
          <w:trHeight w:val="239"/>
        </w:trPr>
        <w:tc>
          <w:tcPr>
            <w:tcW w:w="6600" w:type="dxa"/>
            <w:vAlign w:val="bottom"/>
            <w:shd w:val="clear" w:color="auto" w:fill="E5E5E5"/>
          </w:tcPr>
          <w:p>
            <w:pPr>
              <w:ind w:left="80"/>
              <w:spacing w:after="0"/>
              <w:rPr>
                <w:sz w:val="20"/>
                <w:szCs w:val="20"/>
                <w:color w:val="auto"/>
              </w:rPr>
            </w:pPr>
            <w:r>
              <w:rPr>
                <w:rFonts w:ascii="Arial" w:cs="Arial" w:eastAsia="Arial" w:hAnsi="Arial"/>
                <w:sz w:val="18"/>
                <w:szCs w:val="18"/>
                <w:b w:val="1"/>
                <w:bCs w:val="1"/>
                <w:color w:val="007549"/>
              </w:rPr>
              <w:t>Hess, John B.</w:t>
            </w:r>
          </w:p>
        </w:tc>
        <w:tc>
          <w:tcPr>
            <w:tcW w:w="640" w:type="dxa"/>
            <w:vAlign w:val="bottom"/>
            <w:shd w:val="clear" w:color="auto" w:fill="E5E5E5"/>
          </w:tcPr>
          <w:p>
            <w:pPr>
              <w:spacing w:after="0"/>
              <w:rPr>
                <w:sz w:val="20"/>
                <w:szCs w:val="20"/>
                <w:color w:val="auto"/>
              </w:rPr>
            </w:pPr>
          </w:p>
        </w:tc>
        <w:tc>
          <w:tcPr>
            <w:tcW w:w="1080" w:type="dxa"/>
            <w:vAlign w:val="bottom"/>
            <w:shd w:val="clear" w:color="auto" w:fill="E5E5E5"/>
          </w:tcPr>
          <w:p>
            <w:pPr>
              <w:spacing w:after="0"/>
              <w:rPr>
                <w:sz w:val="20"/>
                <w:szCs w:val="20"/>
                <w:color w:val="auto"/>
              </w:rPr>
            </w:pPr>
          </w:p>
        </w:tc>
        <w:tc>
          <w:tcPr>
            <w:tcW w:w="400" w:type="dxa"/>
            <w:vAlign w:val="bottom"/>
            <w:shd w:val="clear" w:color="auto" w:fill="E5E5E5"/>
          </w:tcPr>
          <w:p>
            <w:pPr>
              <w:spacing w:after="0"/>
              <w:rPr>
                <w:sz w:val="20"/>
                <w:szCs w:val="20"/>
                <w:color w:val="auto"/>
              </w:rPr>
            </w:pPr>
          </w:p>
        </w:tc>
        <w:tc>
          <w:tcPr>
            <w:tcW w:w="980" w:type="dxa"/>
            <w:vAlign w:val="bottom"/>
            <w:shd w:val="clear" w:color="auto" w:fill="E5E5E5"/>
          </w:tcPr>
          <w:p>
            <w:pPr>
              <w:spacing w:after="0"/>
              <w:rPr>
                <w:sz w:val="20"/>
                <w:szCs w:val="20"/>
                <w:color w:val="auto"/>
              </w:rPr>
            </w:pPr>
          </w:p>
        </w:tc>
        <w:tc>
          <w:tcPr>
            <w:tcW w:w="116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600" w:type="dxa"/>
            <w:vAlign w:val="bottom"/>
            <w:shd w:val="clear" w:color="auto" w:fill="E5E5E5"/>
          </w:tcPr>
          <w:p>
            <w:pPr>
              <w:ind w:left="80"/>
              <w:spacing w:after="0"/>
              <w:rPr>
                <w:sz w:val="20"/>
                <w:szCs w:val="20"/>
                <w:color w:val="auto"/>
              </w:rPr>
            </w:pPr>
            <w:r>
              <w:rPr>
                <w:rFonts w:ascii="Arial" w:cs="Arial" w:eastAsia="Arial" w:hAnsi="Arial"/>
                <w:sz w:val="18"/>
                <w:szCs w:val="18"/>
                <w:color w:val="auto"/>
              </w:rPr>
              <w:t>CEO</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w w:val="94"/>
              </w:rPr>
              <w:t>1,500,000</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w w:val="97"/>
              </w:rPr>
              <w:t>1,500,000</w:t>
            </w:r>
          </w:p>
        </w:tc>
        <w:tc>
          <w:tcPr>
            <w:tcW w:w="1160" w:type="dxa"/>
            <w:vAlign w:val="bottom"/>
            <w:shd w:val="clear" w:color="auto" w:fill="E5E5E5"/>
          </w:tcPr>
          <w:p>
            <w:pPr>
              <w:jc w:val="right"/>
              <w:ind w:right="216"/>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9"/>
        </w:trPr>
        <w:tc>
          <w:tcPr>
            <w:tcW w:w="6600" w:type="dxa"/>
            <w:vAlign w:val="bottom"/>
          </w:tcPr>
          <w:p>
            <w:pPr>
              <w:ind w:left="80"/>
              <w:spacing w:after="0"/>
              <w:rPr>
                <w:sz w:val="20"/>
                <w:szCs w:val="20"/>
                <w:color w:val="auto"/>
              </w:rPr>
            </w:pPr>
            <w:r>
              <w:rPr>
                <w:rFonts w:ascii="Arial" w:cs="Arial" w:eastAsia="Arial" w:hAnsi="Arial"/>
                <w:sz w:val="18"/>
                <w:szCs w:val="18"/>
                <w:b w:val="1"/>
                <w:bCs w:val="1"/>
                <w:color w:val="007549"/>
              </w:rPr>
              <w:t>Hill, Gregory P.</w:t>
            </w:r>
          </w:p>
        </w:tc>
        <w:tc>
          <w:tcPr>
            <w:tcW w:w="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600" w:type="dxa"/>
            <w:vAlign w:val="bottom"/>
          </w:tcPr>
          <w:p>
            <w:pPr>
              <w:ind w:left="80"/>
              <w:spacing w:after="0"/>
              <w:rPr>
                <w:sz w:val="20"/>
                <w:szCs w:val="20"/>
                <w:color w:val="auto"/>
              </w:rPr>
            </w:pPr>
            <w:r>
              <w:rPr>
                <w:rFonts w:ascii="Arial" w:cs="Arial" w:eastAsia="Arial" w:hAnsi="Arial"/>
                <w:sz w:val="18"/>
                <w:szCs w:val="18"/>
                <w:color w:val="auto"/>
              </w:rPr>
              <w:t>COO &amp; President of E&amp;P</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14"/>
              <w:spacing w:after="0"/>
              <w:rPr>
                <w:sz w:val="20"/>
                <w:szCs w:val="20"/>
                <w:color w:val="auto"/>
              </w:rPr>
            </w:pPr>
            <w:r>
              <w:rPr>
                <w:rFonts w:ascii="Arial" w:cs="Arial" w:eastAsia="Arial" w:hAnsi="Arial"/>
                <w:sz w:val="18"/>
                <w:szCs w:val="18"/>
                <w:color w:val="auto"/>
                <w:w w:val="94"/>
              </w:rPr>
              <w:t>1,100,000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w w:val="97"/>
              </w:rPr>
              <w:t>1,100,000</w:t>
            </w:r>
          </w:p>
        </w:tc>
        <w:tc>
          <w:tcPr>
            <w:tcW w:w="1160" w:type="dxa"/>
            <w:vAlign w:val="bottom"/>
          </w:tcPr>
          <w:p>
            <w:pPr>
              <w:jc w:val="right"/>
              <w:ind w:right="216"/>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46"/>
        </w:trPr>
        <w:tc>
          <w:tcPr>
            <w:tcW w:w="6600" w:type="dxa"/>
            <w:vAlign w:val="bottom"/>
            <w:shd w:val="clear" w:color="auto" w:fill="E5E5E5"/>
          </w:tcPr>
          <w:p>
            <w:pPr>
              <w:ind w:left="80"/>
              <w:spacing w:after="0"/>
              <w:rPr>
                <w:sz w:val="20"/>
                <w:szCs w:val="20"/>
                <w:color w:val="auto"/>
              </w:rPr>
            </w:pPr>
            <w:r>
              <w:rPr>
                <w:rFonts w:ascii="Arial" w:cs="Arial" w:eastAsia="Arial" w:hAnsi="Arial"/>
                <w:sz w:val="18"/>
                <w:szCs w:val="18"/>
                <w:b w:val="1"/>
                <w:bCs w:val="1"/>
                <w:color w:val="007549"/>
              </w:rPr>
              <w:t>Goodell, Timothy B.</w:t>
            </w:r>
          </w:p>
        </w:tc>
        <w:tc>
          <w:tcPr>
            <w:tcW w:w="640" w:type="dxa"/>
            <w:vAlign w:val="bottom"/>
            <w:shd w:val="clear" w:color="auto" w:fill="E5E5E5"/>
          </w:tcPr>
          <w:p>
            <w:pPr>
              <w:spacing w:after="0"/>
              <w:rPr>
                <w:sz w:val="21"/>
                <w:szCs w:val="21"/>
                <w:color w:val="auto"/>
              </w:rPr>
            </w:pPr>
          </w:p>
        </w:tc>
        <w:tc>
          <w:tcPr>
            <w:tcW w:w="1080" w:type="dxa"/>
            <w:vAlign w:val="bottom"/>
            <w:shd w:val="clear" w:color="auto" w:fill="E5E5E5"/>
          </w:tcPr>
          <w:p>
            <w:pPr>
              <w:spacing w:after="0"/>
              <w:rPr>
                <w:sz w:val="21"/>
                <w:szCs w:val="21"/>
                <w:color w:val="auto"/>
              </w:rPr>
            </w:pPr>
          </w:p>
        </w:tc>
        <w:tc>
          <w:tcPr>
            <w:tcW w:w="400" w:type="dxa"/>
            <w:vAlign w:val="bottom"/>
            <w:shd w:val="clear" w:color="auto" w:fill="E5E5E5"/>
          </w:tcPr>
          <w:p>
            <w:pPr>
              <w:spacing w:after="0"/>
              <w:rPr>
                <w:sz w:val="21"/>
                <w:szCs w:val="21"/>
                <w:color w:val="auto"/>
              </w:rPr>
            </w:pPr>
          </w:p>
        </w:tc>
        <w:tc>
          <w:tcPr>
            <w:tcW w:w="980" w:type="dxa"/>
            <w:vAlign w:val="bottom"/>
            <w:shd w:val="clear" w:color="auto" w:fill="E5E5E5"/>
          </w:tcPr>
          <w:p>
            <w:pPr>
              <w:spacing w:after="0"/>
              <w:rPr>
                <w:sz w:val="21"/>
                <w:szCs w:val="21"/>
                <w:color w:val="auto"/>
              </w:rPr>
            </w:pPr>
          </w:p>
        </w:tc>
        <w:tc>
          <w:tcPr>
            <w:tcW w:w="1160" w:type="dxa"/>
            <w:vAlign w:val="bottom"/>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6600" w:type="dxa"/>
            <w:vAlign w:val="bottom"/>
            <w:shd w:val="clear" w:color="auto" w:fill="E5E5E5"/>
          </w:tcPr>
          <w:p>
            <w:pPr>
              <w:ind w:left="80"/>
              <w:spacing w:after="0"/>
              <w:rPr>
                <w:sz w:val="20"/>
                <w:szCs w:val="20"/>
                <w:color w:val="auto"/>
              </w:rPr>
            </w:pPr>
            <w:r>
              <w:rPr>
                <w:rFonts w:ascii="Arial" w:cs="Arial" w:eastAsia="Arial" w:hAnsi="Arial"/>
                <w:sz w:val="18"/>
                <w:szCs w:val="18"/>
                <w:color w:val="auto"/>
              </w:rPr>
              <w:t>SVP, General Counsel &amp; Corporate Secretary</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750,000</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750,000</w:t>
            </w:r>
          </w:p>
        </w:tc>
        <w:tc>
          <w:tcPr>
            <w:tcW w:w="1160" w:type="dxa"/>
            <w:vAlign w:val="bottom"/>
            <w:shd w:val="clear" w:color="auto" w:fill="E5E5E5"/>
          </w:tcPr>
          <w:p>
            <w:pPr>
              <w:jc w:val="right"/>
              <w:ind w:right="216"/>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9"/>
        </w:trPr>
        <w:tc>
          <w:tcPr>
            <w:tcW w:w="6600" w:type="dxa"/>
            <w:vAlign w:val="bottom"/>
          </w:tcPr>
          <w:p>
            <w:pPr>
              <w:ind w:left="80"/>
              <w:spacing w:after="0"/>
              <w:rPr>
                <w:sz w:val="20"/>
                <w:szCs w:val="20"/>
                <w:color w:val="auto"/>
              </w:rPr>
            </w:pPr>
            <w:r>
              <w:rPr>
                <w:rFonts w:ascii="Arial" w:cs="Arial" w:eastAsia="Arial" w:hAnsi="Arial"/>
                <w:sz w:val="18"/>
                <w:szCs w:val="18"/>
                <w:b w:val="1"/>
                <w:bCs w:val="1"/>
                <w:color w:val="007549"/>
              </w:rPr>
              <w:t>Rielly, John P</w:t>
            </w:r>
          </w:p>
        </w:tc>
        <w:tc>
          <w:tcPr>
            <w:tcW w:w="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600" w:type="dxa"/>
            <w:vAlign w:val="bottom"/>
          </w:tcPr>
          <w:p>
            <w:pPr>
              <w:ind w:left="80"/>
              <w:spacing w:after="0"/>
              <w:rPr>
                <w:sz w:val="20"/>
                <w:szCs w:val="20"/>
                <w:color w:val="auto"/>
              </w:rPr>
            </w:pPr>
            <w:r>
              <w:rPr>
                <w:rFonts w:ascii="Arial" w:cs="Arial" w:eastAsia="Arial" w:hAnsi="Arial"/>
                <w:sz w:val="18"/>
                <w:szCs w:val="18"/>
                <w:color w:val="auto"/>
              </w:rPr>
              <w:t>SVP &amp; Chief Financial Officer</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14"/>
              <w:spacing w:after="0"/>
              <w:rPr>
                <w:sz w:val="20"/>
                <w:szCs w:val="20"/>
                <w:color w:val="auto"/>
              </w:rPr>
            </w:pPr>
            <w:r>
              <w:rPr>
                <w:rFonts w:ascii="Arial" w:cs="Arial" w:eastAsia="Arial" w:hAnsi="Arial"/>
                <w:sz w:val="18"/>
                <w:szCs w:val="18"/>
                <w:color w:val="auto"/>
              </w:rPr>
              <w:t>775,000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775,000</w:t>
            </w:r>
          </w:p>
        </w:tc>
        <w:tc>
          <w:tcPr>
            <w:tcW w:w="1160" w:type="dxa"/>
            <w:vAlign w:val="bottom"/>
          </w:tcPr>
          <w:p>
            <w:pPr>
              <w:jc w:val="right"/>
              <w:ind w:right="216"/>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46"/>
        </w:trPr>
        <w:tc>
          <w:tcPr>
            <w:tcW w:w="6600" w:type="dxa"/>
            <w:vAlign w:val="bottom"/>
            <w:shd w:val="clear" w:color="auto" w:fill="E5E5E5"/>
          </w:tcPr>
          <w:p>
            <w:pPr>
              <w:ind w:left="80"/>
              <w:spacing w:after="0"/>
              <w:rPr>
                <w:sz w:val="20"/>
                <w:szCs w:val="20"/>
                <w:color w:val="auto"/>
              </w:rPr>
            </w:pPr>
            <w:r>
              <w:rPr>
                <w:rFonts w:ascii="Arial" w:cs="Arial" w:eastAsia="Arial" w:hAnsi="Arial"/>
                <w:sz w:val="18"/>
                <w:szCs w:val="18"/>
                <w:b w:val="1"/>
                <w:bCs w:val="1"/>
                <w:color w:val="007549"/>
              </w:rPr>
              <w:t>Turner, Michael R.</w:t>
            </w:r>
          </w:p>
        </w:tc>
        <w:tc>
          <w:tcPr>
            <w:tcW w:w="640" w:type="dxa"/>
            <w:vAlign w:val="bottom"/>
            <w:shd w:val="clear" w:color="auto" w:fill="E5E5E5"/>
          </w:tcPr>
          <w:p>
            <w:pPr>
              <w:spacing w:after="0"/>
              <w:rPr>
                <w:sz w:val="21"/>
                <w:szCs w:val="21"/>
                <w:color w:val="auto"/>
              </w:rPr>
            </w:pPr>
          </w:p>
        </w:tc>
        <w:tc>
          <w:tcPr>
            <w:tcW w:w="1080" w:type="dxa"/>
            <w:vAlign w:val="bottom"/>
            <w:shd w:val="clear" w:color="auto" w:fill="E5E5E5"/>
          </w:tcPr>
          <w:p>
            <w:pPr>
              <w:spacing w:after="0"/>
              <w:rPr>
                <w:sz w:val="21"/>
                <w:szCs w:val="21"/>
                <w:color w:val="auto"/>
              </w:rPr>
            </w:pPr>
          </w:p>
        </w:tc>
        <w:tc>
          <w:tcPr>
            <w:tcW w:w="400" w:type="dxa"/>
            <w:vAlign w:val="bottom"/>
            <w:shd w:val="clear" w:color="auto" w:fill="E5E5E5"/>
          </w:tcPr>
          <w:p>
            <w:pPr>
              <w:spacing w:after="0"/>
              <w:rPr>
                <w:sz w:val="21"/>
                <w:szCs w:val="21"/>
                <w:color w:val="auto"/>
              </w:rPr>
            </w:pPr>
          </w:p>
        </w:tc>
        <w:tc>
          <w:tcPr>
            <w:tcW w:w="980" w:type="dxa"/>
            <w:vAlign w:val="bottom"/>
            <w:shd w:val="clear" w:color="auto" w:fill="E5E5E5"/>
          </w:tcPr>
          <w:p>
            <w:pPr>
              <w:spacing w:after="0"/>
              <w:rPr>
                <w:sz w:val="21"/>
                <w:szCs w:val="21"/>
                <w:color w:val="auto"/>
              </w:rPr>
            </w:pPr>
          </w:p>
        </w:tc>
        <w:tc>
          <w:tcPr>
            <w:tcW w:w="1160" w:type="dxa"/>
            <w:vAlign w:val="bottom"/>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600" w:type="dxa"/>
            <w:vAlign w:val="bottom"/>
            <w:tcBorders>
              <w:bottom w:val="single" w:sz="8" w:color="007549"/>
            </w:tcBorders>
            <w:shd w:val="clear" w:color="auto" w:fill="E5E5E5"/>
          </w:tcPr>
          <w:p>
            <w:pPr>
              <w:ind w:left="80"/>
              <w:spacing w:after="0"/>
              <w:rPr>
                <w:sz w:val="20"/>
                <w:szCs w:val="20"/>
                <w:color w:val="auto"/>
              </w:rPr>
            </w:pPr>
            <w:r>
              <w:rPr>
                <w:rFonts w:ascii="Arial" w:cs="Arial" w:eastAsia="Arial" w:hAnsi="Arial"/>
                <w:sz w:val="18"/>
                <w:szCs w:val="18"/>
                <w:color w:val="auto"/>
              </w:rPr>
              <w:t>SVP, Global Production</w:t>
            </w:r>
          </w:p>
        </w:tc>
        <w:tc>
          <w:tcPr>
            <w:tcW w:w="640" w:type="dxa"/>
            <w:vAlign w:val="bottom"/>
            <w:tcBorders>
              <w:bottom w:val="single" w:sz="8" w:color="007549"/>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007549"/>
            </w:tcBorders>
            <w:shd w:val="clear" w:color="auto" w:fill="E5E5E5"/>
          </w:tcPr>
          <w:p>
            <w:pPr>
              <w:jc w:val="right"/>
              <w:ind w:right="214"/>
              <w:spacing w:after="0"/>
              <w:rPr>
                <w:sz w:val="20"/>
                <w:szCs w:val="20"/>
                <w:color w:val="auto"/>
              </w:rPr>
            </w:pPr>
            <w:r>
              <w:rPr>
                <w:rFonts w:ascii="Arial" w:cs="Arial" w:eastAsia="Arial" w:hAnsi="Arial"/>
                <w:sz w:val="18"/>
                <w:szCs w:val="18"/>
                <w:color w:val="auto"/>
              </w:rPr>
              <w:t>625,000</w:t>
            </w:r>
          </w:p>
        </w:tc>
        <w:tc>
          <w:tcPr>
            <w:tcW w:w="400" w:type="dxa"/>
            <w:vAlign w:val="bottom"/>
            <w:tcBorders>
              <w:bottom w:val="single" w:sz="8" w:color="007549"/>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007549"/>
            </w:tcBorders>
            <w:shd w:val="clear" w:color="auto" w:fill="E5E5E5"/>
          </w:tcPr>
          <w:p>
            <w:pPr>
              <w:jc w:val="right"/>
              <w:ind w:right="94"/>
              <w:spacing w:after="0"/>
              <w:rPr>
                <w:sz w:val="20"/>
                <w:szCs w:val="20"/>
                <w:color w:val="auto"/>
              </w:rPr>
            </w:pPr>
            <w:r>
              <w:rPr>
                <w:rFonts w:ascii="Arial" w:cs="Arial" w:eastAsia="Arial" w:hAnsi="Arial"/>
                <w:sz w:val="18"/>
                <w:szCs w:val="18"/>
                <w:color w:val="auto"/>
              </w:rPr>
              <w:t>575,000</w:t>
            </w:r>
          </w:p>
        </w:tc>
        <w:tc>
          <w:tcPr>
            <w:tcW w:w="1160" w:type="dxa"/>
            <w:vAlign w:val="bottom"/>
            <w:tcBorders>
              <w:bottom w:val="single" w:sz="8" w:color="007549"/>
            </w:tcBorders>
            <w:shd w:val="clear" w:color="auto" w:fill="E5E5E5"/>
          </w:tcPr>
          <w:p>
            <w:pPr>
              <w:jc w:val="right"/>
              <w:ind w:right="216"/>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4701540</wp:posOffset>
            </wp:positionH>
            <wp:positionV relativeFrom="paragraph">
              <wp:posOffset>-1714500</wp:posOffset>
            </wp:positionV>
            <wp:extent cx="223901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239010" cy="8255"/>
                    </a:xfrm>
                    <a:prstGeom prst="rect">
                      <a:avLst/>
                    </a:prstGeom>
                    <a:noFill/>
                  </pic:spPr>
                </pic:pic>
              </a:graphicData>
            </a:graphic>
          </wp:anchor>
        </w:drawing>
      </w:r>
    </w:p>
    <w:p>
      <w:pPr>
        <w:spacing w:after="0" w:line="130" w:lineRule="exact"/>
        <w:rPr>
          <w:sz w:val="20"/>
          <w:szCs w:val="20"/>
          <w:color w:val="auto"/>
        </w:rPr>
      </w:pPr>
    </w:p>
    <w:p>
      <w:pPr>
        <w:jc w:val="both"/>
        <w:ind w:left="280"/>
        <w:spacing w:after="0" w:line="238" w:lineRule="auto"/>
        <w:rPr>
          <w:sz w:val="20"/>
          <w:szCs w:val="20"/>
          <w:color w:val="auto"/>
        </w:rPr>
      </w:pPr>
      <w:r>
        <w:rPr>
          <w:rFonts w:ascii="Arial" w:cs="Arial" w:eastAsia="Arial" w:hAnsi="Arial"/>
          <w:sz w:val="18"/>
          <w:szCs w:val="18"/>
          <w:b w:val="1"/>
          <w:bCs w:val="1"/>
          <w:i w:val="1"/>
          <w:iCs w:val="1"/>
          <w:color w:val="007549"/>
        </w:rPr>
        <w:t xml:space="preserve">Annual Incentive Plan. </w:t>
      </w:r>
      <w:r>
        <w:rPr>
          <w:rFonts w:ascii="Arial" w:cs="Arial" w:eastAsia="Arial" w:hAnsi="Arial"/>
          <w:sz w:val="18"/>
          <w:szCs w:val="18"/>
          <w:color w:val="000000"/>
        </w:rPr>
        <w:t>We establish an annual incentive target for each executive officer based upon his or her position within the</w:t>
      </w:r>
      <w:r>
        <w:rPr>
          <w:rFonts w:ascii="Arial" w:cs="Arial" w:eastAsia="Arial" w:hAnsi="Arial"/>
          <w:sz w:val="18"/>
          <w:szCs w:val="18"/>
          <w:b w:val="1"/>
          <w:bCs w:val="1"/>
          <w:i w:val="1"/>
          <w:iCs w:val="1"/>
          <w:color w:val="007549"/>
        </w:rPr>
        <w:t xml:space="preserve"> </w:t>
      </w:r>
      <w:r>
        <w:rPr>
          <w:rFonts w:ascii="Arial" w:cs="Arial" w:eastAsia="Arial" w:hAnsi="Arial"/>
          <w:sz w:val="18"/>
          <w:szCs w:val="18"/>
          <w:color w:val="000000"/>
        </w:rPr>
        <w:t>company, corresponding responsibilities and competitive annual incentive opportunity for similar positions in other companies in our industry. Payouts are in cash and may range from 0% to 200% of the target annual incentive opportunity based on actual enterprise and individual performance outcomes. Annual incentive target percentages for our NEOs and other senior executives have generally been held flat over the last three years. In 2016, we increased Mr. Turner’s annual incentive target percentage from 50% to 60% due to the increased scope of his job responsibilities.</w:t>
      </w:r>
    </w:p>
    <w:p>
      <w:pPr>
        <w:spacing w:after="0" w:line="200"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5340" w:type="dxa"/>
            <w:vAlign w:val="bottom"/>
            <w:shd w:val="clear" w:color="auto" w:fill="007549"/>
          </w:tcPr>
          <w:p>
            <w:pPr>
              <w:spacing w:after="0"/>
              <w:rPr>
                <w:sz w:val="14"/>
                <w:szCs w:val="14"/>
                <w:color w:val="auto"/>
              </w:rPr>
            </w:pPr>
          </w:p>
        </w:tc>
        <w:tc>
          <w:tcPr>
            <w:tcW w:w="5520" w:type="dxa"/>
            <w:vAlign w:val="bottom"/>
            <w:gridSpan w:val="3"/>
            <w:shd w:val="clear" w:color="auto" w:fill="007549"/>
          </w:tcPr>
          <w:p>
            <w:pPr>
              <w:jc w:val="right"/>
              <w:ind w:right="1036"/>
              <w:spacing w:after="0"/>
              <w:rPr>
                <w:sz w:val="20"/>
                <w:szCs w:val="20"/>
                <w:color w:val="auto"/>
              </w:rPr>
            </w:pPr>
            <w:r>
              <w:rPr>
                <w:rFonts w:ascii="Arial" w:cs="Arial" w:eastAsia="Arial" w:hAnsi="Arial"/>
                <w:sz w:val="14"/>
                <w:szCs w:val="14"/>
                <w:b w:val="1"/>
                <w:bCs w:val="1"/>
                <w:color w:val="FFFFFF"/>
              </w:rPr>
              <w:t>2017 Annual Incentive Plan Opportunity ($)</w:t>
            </w:r>
          </w:p>
        </w:tc>
        <w:tc>
          <w:tcPr>
            <w:tcW w:w="0" w:type="dxa"/>
            <w:vAlign w:val="bottom"/>
          </w:tcPr>
          <w:p>
            <w:pPr>
              <w:spacing w:after="0"/>
              <w:rPr>
                <w:sz w:val="1"/>
                <w:szCs w:val="1"/>
                <w:color w:val="auto"/>
              </w:rPr>
            </w:pPr>
          </w:p>
        </w:tc>
      </w:tr>
      <w:tr>
        <w:trPr>
          <w:trHeight w:val="160"/>
        </w:trPr>
        <w:tc>
          <w:tcPr>
            <w:tcW w:w="5340" w:type="dxa"/>
            <w:vAlign w:val="bottom"/>
            <w:shd w:val="clear" w:color="auto" w:fill="007549"/>
          </w:tcPr>
          <w:p>
            <w:pPr>
              <w:spacing w:after="0"/>
              <w:rPr>
                <w:sz w:val="13"/>
                <w:szCs w:val="13"/>
                <w:color w:val="auto"/>
              </w:rPr>
            </w:pPr>
          </w:p>
        </w:tc>
        <w:tc>
          <w:tcPr>
            <w:tcW w:w="2020" w:type="dxa"/>
            <w:vAlign w:val="bottom"/>
            <w:shd w:val="clear" w:color="auto" w:fill="007549"/>
          </w:tcPr>
          <w:p>
            <w:pPr>
              <w:jc w:val="center"/>
              <w:ind w:left="198"/>
              <w:spacing w:after="0" w:line="159" w:lineRule="exact"/>
              <w:rPr>
                <w:sz w:val="20"/>
                <w:szCs w:val="20"/>
                <w:color w:val="auto"/>
              </w:rPr>
            </w:pPr>
            <w:r>
              <w:rPr>
                <w:rFonts w:ascii="Arial" w:cs="Arial" w:eastAsia="Arial" w:hAnsi="Arial"/>
                <w:sz w:val="14"/>
                <w:szCs w:val="14"/>
                <w:b w:val="1"/>
                <w:bCs w:val="1"/>
                <w:color w:val="FFFFFF"/>
              </w:rPr>
              <w:t>Minimum</w:t>
            </w:r>
          </w:p>
        </w:tc>
        <w:tc>
          <w:tcPr>
            <w:tcW w:w="1920" w:type="dxa"/>
            <w:vAlign w:val="bottom"/>
            <w:shd w:val="clear" w:color="auto" w:fill="007549"/>
          </w:tcPr>
          <w:p>
            <w:pPr>
              <w:jc w:val="center"/>
              <w:ind w:left="74"/>
              <w:spacing w:after="0" w:line="159" w:lineRule="exact"/>
              <w:rPr>
                <w:sz w:val="20"/>
                <w:szCs w:val="20"/>
                <w:color w:val="auto"/>
              </w:rPr>
            </w:pPr>
            <w:r>
              <w:rPr>
                <w:rFonts w:ascii="Arial" w:cs="Arial" w:eastAsia="Arial" w:hAnsi="Arial"/>
                <w:sz w:val="14"/>
                <w:szCs w:val="14"/>
                <w:b w:val="1"/>
                <w:bCs w:val="1"/>
                <w:color w:val="FFFFFF"/>
              </w:rPr>
              <w:t>Target</w:t>
            </w:r>
          </w:p>
        </w:tc>
        <w:tc>
          <w:tcPr>
            <w:tcW w:w="1580" w:type="dxa"/>
            <w:vAlign w:val="bottom"/>
            <w:shd w:val="clear" w:color="auto" w:fill="007549"/>
          </w:tcPr>
          <w:p>
            <w:pPr>
              <w:jc w:val="right"/>
              <w:ind w:right="416"/>
              <w:spacing w:after="0" w:line="159" w:lineRule="exact"/>
              <w:rPr>
                <w:sz w:val="20"/>
                <w:szCs w:val="20"/>
                <w:color w:val="auto"/>
              </w:rPr>
            </w:pPr>
            <w:r>
              <w:rPr>
                <w:rFonts w:ascii="Arial" w:cs="Arial" w:eastAsia="Arial" w:hAnsi="Arial"/>
                <w:sz w:val="14"/>
                <w:szCs w:val="14"/>
                <w:b w:val="1"/>
                <w:bCs w:val="1"/>
                <w:color w:val="FFFFFF"/>
              </w:rPr>
              <w:t>Maximum</w:t>
            </w:r>
          </w:p>
        </w:tc>
        <w:tc>
          <w:tcPr>
            <w:tcW w:w="0" w:type="dxa"/>
            <w:vAlign w:val="bottom"/>
          </w:tcPr>
          <w:p>
            <w:pPr>
              <w:spacing w:after="0"/>
              <w:rPr>
                <w:sz w:val="1"/>
                <w:szCs w:val="1"/>
                <w:color w:val="auto"/>
              </w:rPr>
            </w:pPr>
          </w:p>
        </w:tc>
      </w:tr>
      <w:tr>
        <w:trPr>
          <w:trHeight w:val="200"/>
        </w:trPr>
        <w:tc>
          <w:tcPr>
            <w:tcW w:w="5340" w:type="dxa"/>
            <w:vAlign w:val="bottom"/>
            <w:shd w:val="clear" w:color="auto" w:fill="007549"/>
          </w:tcPr>
          <w:p>
            <w:pPr>
              <w:ind w:left="80"/>
              <w:spacing w:after="0"/>
              <w:rPr>
                <w:sz w:val="20"/>
                <w:szCs w:val="20"/>
                <w:color w:val="auto"/>
              </w:rPr>
            </w:pPr>
            <w:r>
              <w:rPr>
                <w:rFonts w:ascii="Arial" w:cs="Arial" w:eastAsia="Arial" w:hAnsi="Arial"/>
                <w:sz w:val="14"/>
                <w:szCs w:val="14"/>
                <w:b w:val="1"/>
                <w:bCs w:val="1"/>
                <w:color w:val="FFFFFF"/>
              </w:rPr>
              <w:t>Name</w:t>
            </w:r>
          </w:p>
        </w:tc>
        <w:tc>
          <w:tcPr>
            <w:tcW w:w="2020" w:type="dxa"/>
            <w:vAlign w:val="bottom"/>
            <w:shd w:val="clear" w:color="auto" w:fill="007549"/>
          </w:tcPr>
          <w:p>
            <w:pPr>
              <w:jc w:val="center"/>
              <w:ind w:left="198"/>
              <w:spacing w:after="0"/>
              <w:rPr>
                <w:sz w:val="20"/>
                <w:szCs w:val="20"/>
                <w:color w:val="auto"/>
              </w:rPr>
            </w:pPr>
            <w:r>
              <w:rPr>
                <w:rFonts w:ascii="Arial" w:cs="Arial" w:eastAsia="Arial" w:hAnsi="Arial"/>
                <w:sz w:val="14"/>
                <w:szCs w:val="14"/>
                <w:b w:val="1"/>
                <w:bCs w:val="1"/>
                <w:color w:val="FFFFFF"/>
              </w:rPr>
              <w:t>(0% of target)</w:t>
            </w:r>
          </w:p>
        </w:tc>
        <w:tc>
          <w:tcPr>
            <w:tcW w:w="1920" w:type="dxa"/>
            <w:vAlign w:val="bottom"/>
            <w:shd w:val="clear" w:color="auto" w:fill="007549"/>
          </w:tcPr>
          <w:p>
            <w:pPr>
              <w:jc w:val="center"/>
              <w:ind w:left="74"/>
              <w:spacing w:after="0"/>
              <w:rPr>
                <w:sz w:val="20"/>
                <w:szCs w:val="20"/>
                <w:color w:val="auto"/>
              </w:rPr>
            </w:pPr>
            <w:r>
              <w:rPr>
                <w:rFonts w:ascii="Arial" w:cs="Arial" w:eastAsia="Arial" w:hAnsi="Arial"/>
                <w:sz w:val="14"/>
                <w:szCs w:val="14"/>
                <w:b w:val="1"/>
                <w:bCs w:val="1"/>
                <w:color w:val="FFFFFF"/>
              </w:rPr>
              <w:t>(100% of target)</w:t>
            </w:r>
          </w:p>
        </w:tc>
        <w:tc>
          <w:tcPr>
            <w:tcW w:w="1580" w:type="dxa"/>
            <w:vAlign w:val="bottom"/>
            <w:shd w:val="clear" w:color="auto" w:fill="007549"/>
          </w:tcPr>
          <w:p>
            <w:pPr>
              <w:jc w:val="right"/>
              <w:ind w:right="216"/>
              <w:spacing w:after="0"/>
              <w:rPr>
                <w:sz w:val="20"/>
                <w:szCs w:val="20"/>
                <w:color w:val="auto"/>
              </w:rPr>
            </w:pPr>
            <w:r>
              <w:rPr>
                <w:rFonts w:ascii="Arial" w:cs="Arial" w:eastAsia="Arial" w:hAnsi="Arial"/>
                <w:sz w:val="14"/>
                <w:szCs w:val="14"/>
                <w:b w:val="1"/>
                <w:bCs w:val="1"/>
                <w:color w:val="FFFFFF"/>
              </w:rPr>
              <w:t>(200% of target)</w:t>
            </w:r>
          </w:p>
        </w:tc>
        <w:tc>
          <w:tcPr>
            <w:tcW w:w="0" w:type="dxa"/>
            <w:vAlign w:val="bottom"/>
          </w:tcPr>
          <w:p>
            <w:pPr>
              <w:spacing w:after="0"/>
              <w:rPr>
                <w:sz w:val="1"/>
                <w:szCs w:val="1"/>
                <w:color w:val="auto"/>
              </w:rPr>
            </w:pPr>
          </w:p>
        </w:tc>
      </w:tr>
      <w:tr>
        <w:trPr>
          <w:trHeight w:val="221"/>
        </w:trPr>
        <w:tc>
          <w:tcPr>
            <w:tcW w:w="5340" w:type="dxa"/>
            <w:vAlign w:val="bottom"/>
            <w:shd w:val="clear" w:color="auto" w:fill="E5E5E5"/>
          </w:tcPr>
          <w:p>
            <w:pPr>
              <w:ind w:left="80"/>
              <w:spacing w:after="0"/>
              <w:rPr>
                <w:sz w:val="20"/>
                <w:szCs w:val="20"/>
                <w:color w:val="auto"/>
              </w:rPr>
            </w:pPr>
            <w:r>
              <w:rPr>
                <w:rFonts w:ascii="Arial" w:cs="Arial" w:eastAsia="Arial" w:hAnsi="Arial"/>
                <w:sz w:val="18"/>
                <w:szCs w:val="18"/>
                <w:b w:val="1"/>
                <w:bCs w:val="1"/>
                <w:color w:val="007549"/>
              </w:rPr>
              <w:t>Hess, John B.</w:t>
            </w:r>
          </w:p>
        </w:tc>
        <w:tc>
          <w:tcPr>
            <w:tcW w:w="2020" w:type="dxa"/>
            <w:vAlign w:val="bottom"/>
            <w:vMerge w:val="restart"/>
            <w:shd w:val="clear" w:color="auto" w:fill="E5E5E5"/>
          </w:tcPr>
          <w:p>
            <w:pPr>
              <w:jc w:val="center"/>
              <w:ind w:left="218"/>
              <w:spacing w:after="0"/>
              <w:rPr>
                <w:sz w:val="20"/>
                <w:szCs w:val="20"/>
                <w:color w:val="auto"/>
              </w:rPr>
            </w:pPr>
            <w:r>
              <w:rPr>
                <w:rFonts w:ascii="Arial" w:cs="Arial" w:eastAsia="Arial" w:hAnsi="Arial"/>
                <w:sz w:val="18"/>
                <w:szCs w:val="18"/>
                <w:color w:val="auto"/>
                <w:w w:val="99"/>
              </w:rPr>
              <w:t>$0</w:t>
            </w:r>
          </w:p>
        </w:tc>
        <w:tc>
          <w:tcPr>
            <w:tcW w:w="1920" w:type="dxa"/>
            <w:vAlign w:val="bottom"/>
            <w:shd w:val="clear" w:color="auto" w:fill="E5E5E5"/>
          </w:tcPr>
          <w:p>
            <w:pPr>
              <w:jc w:val="center"/>
              <w:ind w:left="74"/>
              <w:spacing w:after="0"/>
              <w:rPr>
                <w:sz w:val="20"/>
                <w:szCs w:val="20"/>
                <w:color w:val="auto"/>
              </w:rPr>
            </w:pPr>
            <w:r>
              <w:rPr>
                <w:rFonts w:ascii="Arial" w:cs="Arial" w:eastAsia="Arial" w:hAnsi="Arial"/>
                <w:sz w:val="18"/>
                <w:szCs w:val="18"/>
                <w:color w:val="auto"/>
                <w:w w:val="97"/>
              </w:rPr>
              <w:t>$2,250,000</w:t>
            </w:r>
          </w:p>
        </w:tc>
        <w:tc>
          <w:tcPr>
            <w:tcW w:w="1580" w:type="dxa"/>
            <w:vAlign w:val="bottom"/>
            <w:vMerge w:val="restart"/>
            <w:shd w:val="clear" w:color="auto" w:fill="E5E5E5"/>
          </w:tcPr>
          <w:p>
            <w:pPr>
              <w:jc w:val="right"/>
              <w:ind w:right="216"/>
              <w:spacing w:after="0"/>
              <w:rPr>
                <w:sz w:val="20"/>
                <w:szCs w:val="20"/>
                <w:color w:val="auto"/>
              </w:rPr>
            </w:pPr>
            <w:r>
              <w:rPr>
                <w:rFonts w:ascii="Arial" w:cs="Arial" w:eastAsia="Arial" w:hAnsi="Arial"/>
                <w:sz w:val="18"/>
                <w:szCs w:val="18"/>
                <w:color w:val="auto"/>
              </w:rPr>
              <w:t>$4,500,000</w:t>
            </w:r>
          </w:p>
        </w:tc>
        <w:tc>
          <w:tcPr>
            <w:tcW w:w="0" w:type="dxa"/>
            <w:vAlign w:val="bottom"/>
          </w:tcPr>
          <w:p>
            <w:pPr>
              <w:spacing w:after="0"/>
              <w:rPr>
                <w:sz w:val="1"/>
                <w:szCs w:val="1"/>
                <w:color w:val="auto"/>
              </w:rPr>
            </w:pPr>
          </w:p>
        </w:tc>
      </w:tr>
      <w:tr>
        <w:trPr>
          <w:trHeight w:val="111"/>
        </w:trPr>
        <w:tc>
          <w:tcPr>
            <w:tcW w:w="5340" w:type="dxa"/>
            <w:vAlign w:val="bottom"/>
            <w:vMerge w:val="restart"/>
            <w:shd w:val="clear" w:color="auto" w:fill="E5E5E5"/>
          </w:tcPr>
          <w:p>
            <w:pPr>
              <w:ind w:left="80"/>
              <w:spacing w:after="0"/>
              <w:rPr>
                <w:sz w:val="20"/>
                <w:szCs w:val="20"/>
                <w:color w:val="auto"/>
              </w:rPr>
            </w:pPr>
            <w:r>
              <w:rPr>
                <w:rFonts w:ascii="Arial" w:cs="Arial" w:eastAsia="Arial" w:hAnsi="Arial"/>
                <w:sz w:val="18"/>
                <w:szCs w:val="18"/>
                <w:color w:val="auto"/>
              </w:rPr>
              <w:t>CEO</w:t>
            </w:r>
          </w:p>
        </w:tc>
        <w:tc>
          <w:tcPr>
            <w:tcW w:w="2020" w:type="dxa"/>
            <w:vAlign w:val="bottom"/>
            <w:vMerge w:val="continue"/>
            <w:shd w:val="clear" w:color="auto" w:fill="E5E5E5"/>
          </w:tcPr>
          <w:p>
            <w:pPr>
              <w:spacing w:after="0"/>
              <w:rPr>
                <w:sz w:val="9"/>
                <w:szCs w:val="9"/>
                <w:color w:val="auto"/>
              </w:rPr>
            </w:pPr>
          </w:p>
        </w:tc>
        <w:tc>
          <w:tcPr>
            <w:tcW w:w="1920" w:type="dxa"/>
            <w:vAlign w:val="bottom"/>
            <w:vMerge w:val="restart"/>
            <w:shd w:val="clear" w:color="auto" w:fill="E5E5E5"/>
          </w:tcPr>
          <w:p>
            <w:pPr>
              <w:jc w:val="center"/>
              <w:ind w:left="74"/>
              <w:spacing w:after="0"/>
              <w:rPr>
                <w:sz w:val="20"/>
                <w:szCs w:val="20"/>
                <w:color w:val="auto"/>
              </w:rPr>
            </w:pPr>
            <w:r>
              <w:rPr>
                <w:rFonts w:ascii="Arial" w:cs="Arial" w:eastAsia="Arial" w:hAnsi="Arial"/>
                <w:sz w:val="18"/>
                <w:szCs w:val="18"/>
                <w:i w:val="1"/>
                <w:iCs w:val="1"/>
                <w:color w:val="auto"/>
                <w:w w:val="97"/>
              </w:rPr>
              <w:t>(150% of salary)</w:t>
            </w:r>
          </w:p>
        </w:tc>
        <w:tc>
          <w:tcPr>
            <w:tcW w:w="1580" w:type="dxa"/>
            <w:vAlign w:val="bottom"/>
            <w:vMerge w:val="continue"/>
            <w:shd w:val="clear" w:color="auto" w:fill="E5E5E5"/>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5340" w:type="dxa"/>
            <w:vAlign w:val="bottom"/>
            <w:vMerge w:val="continue"/>
            <w:shd w:val="clear" w:color="auto" w:fill="E5E5E5"/>
          </w:tcPr>
          <w:p>
            <w:pPr>
              <w:spacing w:after="0"/>
              <w:rPr>
                <w:sz w:val="11"/>
                <w:szCs w:val="11"/>
                <w:color w:val="auto"/>
              </w:rPr>
            </w:pPr>
          </w:p>
        </w:tc>
        <w:tc>
          <w:tcPr>
            <w:tcW w:w="2020" w:type="dxa"/>
            <w:vAlign w:val="bottom"/>
            <w:shd w:val="clear" w:color="auto" w:fill="E5E5E5"/>
          </w:tcPr>
          <w:p>
            <w:pPr>
              <w:spacing w:after="0"/>
              <w:rPr>
                <w:sz w:val="11"/>
                <w:szCs w:val="11"/>
                <w:color w:val="auto"/>
              </w:rPr>
            </w:pPr>
          </w:p>
        </w:tc>
        <w:tc>
          <w:tcPr>
            <w:tcW w:w="1920" w:type="dxa"/>
            <w:vAlign w:val="bottom"/>
            <w:vMerge w:val="continue"/>
            <w:shd w:val="clear" w:color="auto" w:fill="E5E5E5"/>
          </w:tcPr>
          <w:p>
            <w:pPr>
              <w:spacing w:after="0"/>
              <w:rPr>
                <w:sz w:val="11"/>
                <w:szCs w:val="11"/>
                <w:color w:val="auto"/>
              </w:rPr>
            </w:pPr>
          </w:p>
        </w:tc>
        <w:tc>
          <w:tcPr>
            <w:tcW w:w="158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5340" w:type="dxa"/>
            <w:vAlign w:val="bottom"/>
          </w:tcPr>
          <w:p>
            <w:pPr>
              <w:ind w:left="80"/>
              <w:spacing w:after="0"/>
              <w:rPr>
                <w:sz w:val="20"/>
                <w:szCs w:val="20"/>
                <w:color w:val="auto"/>
              </w:rPr>
            </w:pPr>
            <w:r>
              <w:rPr>
                <w:rFonts w:ascii="Arial" w:cs="Arial" w:eastAsia="Arial" w:hAnsi="Arial"/>
                <w:sz w:val="18"/>
                <w:szCs w:val="18"/>
                <w:b w:val="1"/>
                <w:bCs w:val="1"/>
                <w:color w:val="007549"/>
              </w:rPr>
              <w:t>Hill, Gregory P.</w:t>
            </w:r>
          </w:p>
        </w:tc>
        <w:tc>
          <w:tcPr>
            <w:tcW w:w="2020" w:type="dxa"/>
            <w:vAlign w:val="bottom"/>
            <w:vMerge w:val="restart"/>
          </w:tcPr>
          <w:p>
            <w:pPr>
              <w:jc w:val="center"/>
              <w:ind w:left="218"/>
              <w:spacing w:after="0"/>
              <w:rPr>
                <w:sz w:val="20"/>
                <w:szCs w:val="20"/>
                <w:color w:val="auto"/>
              </w:rPr>
            </w:pPr>
            <w:r>
              <w:rPr>
                <w:rFonts w:ascii="Arial" w:cs="Arial" w:eastAsia="Arial" w:hAnsi="Arial"/>
                <w:sz w:val="18"/>
                <w:szCs w:val="18"/>
                <w:color w:val="auto"/>
                <w:w w:val="99"/>
              </w:rPr>
              <w:t>$0</w:t>
            </w:r>
          </w:p>
        </w:tc>
        <w:tc>
          <w:tcPr>
            <w:tcW w:w="1920" w:type="dxa"/>
            <w:vAlign w:val="bottom"/>
          </w:tcPr>
          <w:p>
            <w:pPr>
              <w:jc w:val="center"/>
              <w:ind w:left="74"/>
              <w:spacing w:after="0"/>
              <w:rPr>
                <w:sz w:val="20"/>
                <w:szCs w:val="20"/>
                <w:color w:val="auto"/>
              </w:rPr>
            </w:pPr>
            <w:r>
              <w:rPr>
                <w:rFonts w:ascii="Arial" w:cs="Arial" w:eastAsia="Arial" w:hAnsi="Arial"/>
                <w:sz w:val="18"/>
                <w:szCs w:val="18"/>
                <w:color w:val="auto"/>
                <w:w w:val="97"/>
              </w:rPr>
              <w:t>$1,430,000</w:t>
            </w:r>
          </w:p>
        </w:tc>
        <w:tc>
          <w:tcPr>
            <w:tcW w:w="1580" w:type="dxa"/>
            <w:vAlign w:val="bottom"/>
            <w:vMerge w:val="restart"/>
          </w:tcPr>
          <w:p>
            <w:pPr>
              <w:jc w:val="right"/>
              <w:ind w:right="216"/>
              <w:spacing w:after="0"/>
              <w:rPr>
                <w:sz w:val="20"/>
                <w:szCs w:val="20"/>
                <w:color w:val="auto"/>
              </w:rPr>
            </w:pPr>
            <w:r>
              <w:rPr>
                <w:rFonts w:ascii="Arial" w:cs="Arial" w:eastAsia="Arial" w:hAnsi="Arial"/>
                <w:sz w:val="18"/>
                <w:szCs w:val="18"/>
                <w:color w:val="auto"/>
              </w:rPr>
              <w:t>$2,860,000</w:t>
            </w:r>
          </w:p>
        </w:tc>
        <w:tc>
          <w:tcPr>
            <w:tcW w:w="0" w:type="dxa"/>
            <w:vAlign w:val="bottom"/>
          </w:tcPr>
          <w:p>
            <w:pPr>
              <w:spacing w:after="0"/>
              <w:rPr>
                <w:sz w:val="1"/>
                <w:szCs w:val="1"/>
                <w:color w:val="auto"/>
              </w:rPr>
            </w:pPr>
          </w:p>
        </w:tc>
      </w:tr>
      <w:tr>
        <w:trPr>
          <w:trHeight w:val="111"/>
        </w:trPr>
        <w:tc>
          <w:tcPr>
            <w:tcW w:w="5340" w:type="dxa"/>
            <w:vAlign w:val="bottom"/>
            <w:vMerge w:val="restart"/>
          </w:tcPr>
          <w:p>
            <w:pPr>
              <w:ind w:left="80"/>
              <w:spacing w:after="0"/>
              <w:rPr>
                <w:sz w:val="20"/>
                <w:szCs w:val="20"/>
                <w:color w:val="auto"/>
              </w:rPr>
            </w:pPr>
            <w:r>
              <w:rPr>
                <w:rFonts w:ascii="Arial" w:cs="Arial" w:eastAsia="Arial" w:hAnsi="Arial"/>
                <w:sz w:val="18"/>
                <w:szCs w:val="18"/>
                <w:color w:val="auto"/>
              </w:rPr>
              <w:t>COO &amp; President of E&amp;P</w:t>
            </w:r>
          </w:p>
        </w:tc>
        <w:tc>
          <w:tcPr>
            <w:tcW w:w="2020" w:type="dxa"/>
            <w:vAlign w:val="bottom"/>
            <w:vMerge w:val="continue"/>
          </w:tcPr>
          <w:p>
            <w:pPr>
              <w:spacing w:after="0"/>
              <w:rPr>
                <w:sz w:val="9"/>
                <w:szCs w:val="9"/>
                <w:color w:val="auto"/>
              </w:rPr>
            </w:pPr>
          </w:p>
        </w:tc>
        <w:tc>
          <w:tcPr>
            <w:tcW w:w="1920" w:type="dxa"/>
            <w:vAlign w:val="bottom"/>
            <w:vMerge w:val="restart"/>
          </w:tcPr>
          <w:p>
            <w:pPr>
              <w:jc w:val="center"/>
              <w:ind w:left="74"/>
              <w:spacing w:after="0"/>
              <w:rPr>
                <w:sz w:val="20"/>
                <w:szCs w:val="20"/>
                <w:color w:val="auto"/>
              </w:rPr>
            </w:pPr>
            <w:r>
              <w:rPr>
                <w:rFonts w:ascii="Arial" w:cs="Arial" w:eastAsia="Arial" w:hAnsi="Arial"/>
                <w:sz w:val="18"/>
                <w:szCs w:val="18"/>
                <w:i w:val="1"/>
                <w:iCs w:val="1"/>
                <w:color w:val="auto"/>
                <w:w w:val="97"/>
              </w:rPr>
              <w:t>(130% of salary)</w:t>
            </w:r>
          </w:p>
        </w:tc>
        <w:tc>
          <w:tcPr>
            <w:tcW w:w="1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5340" w:type="dxa"/>
            <w:vAlign w:val="bottom"/>
            <w:vMerge w:val="continue"/>
          </w:tcPr>
          <w:p>
            <w:pPr>
              <w:spacing w:after="0"/>
              <w:rPr>
                <w:sz w:val="11"/>
                <w:szCs w:val="11"/>
                <w:color w:val="auto"/>
              </w:rPr>
            </w:pPr>
          </w:p>
        </w:tc>
        <w:tc>
          <w:tcPr>
            <w:tcW w:w="2020" w:type="dxa"/>
            <w:vAlign w:val="bottom"/>
          </w:tcPr>
          <w:p>
            <w:pPr>
              <w:spacing w:after="0"/>
              <w:rPr>
                <w:sz w:val="11"/>
                <w:szCs w:val="11"/>
                <w:color w:val="auto"/>
              </w:rPr>
            </w:pPr>
          </w:p>
        </w:tc>
        <w:tc>
          <w:tcPr>
            <w:tcW w:w="192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5340" w:type="dxa"/>
            <w:vAlign w:val="bottom"/>
            <w:shd w:val="clear" w:color="auto" w:fill="E5E5E5"/>
          </w:tcPr>
          <w:p>
            <w:pPr>
              <w:ind w:left="80"/>
              <w:spacing w:after="0"/>
              <w:rPr>
                <w:sz w:val="20"/>
                <w:szCs w:val="20"/>
                <w:color w:val="auto"/>
              </w:rPr>
            </w:pPr>
            <w:r>
              <w:rPr>
                <w:rFonts w:ascii="Arial" w:cs="Arial" w:eastAsia="Arial" w:hAnsi="Arial"/>
                <w:sz w:val="18"/>
                <w:szCs w:val="18"/>
                <w:b w:val="1"/>
                <w:bCs w:val="1"/>
                <w:color w:val="007549"/>
              </w:rPr>
              <w:t>Goodell, Timothy B.</w:t>
            </w:r>
          </w:p>
        </w:tc>
        <w:tc>
          <w:tcPr>
            <w:tcW w:w="2020" w:type="dxa"/>
            <w:vAlign w:val="bottom"/>
            <w:vMerge w:val="restart"/>
            <w:shd w:val="clear" w:color="auto" w:fill="E5E5E5"/>
          </w:tcPr>
          <w:p>
            <w:pPr>
              <w:jc w:val="center"/>
              <w:ind w:left="218"/>
              <w:spacing w:after="0"/>
              <w:rPr>
                <w:sz w:val="20"/>
                <w:szCs w:val="20"/>
                <w:color w:val="auto"/>
              </w:rPr>
            </w:pPr>
            <w:r>
              <w:rPr>
                <w:rFonts w:ascii="Arial" w:cs="Arial" w:eastAsia="Arial" w:hAnsi="Arial"/>
                <w:sz w:val="18"/>
                <w:szCs w:val="18"/>
                <w:color w:val="auto"/>
                <w:w w:val="99"/>
              </w:rPr>
              <w:t>$0</w:t>
            </w:r>
          </w:p>
        </w:tc>
        <w:tc>
          <w:tcPr>
            <w:tcW w:w="1920" w:type="dxa"/>
            <w:vAlign w:val="bottom"/>
            <w:shd w:val="clear" w:color="auto" w:fill="E5E5E5"/>
          </w:tcPr>
          <w:p>
            <w:pPr>
              <w:jc w:val="center"/>
              <w:ind w:left="94"/>
              <w:spacing w:after="0"/>
              <w:rPr>
                <w:sz w:val="20"/>
                <w:szCs w:val="20"/>
                <w:color w:val="auto"/>
              </w:rPr>
            </w:pPr>
            <w:r>
              <w:rPr>
                <w:rFonts w:ascii="Arial" w:cs="Arial" w:eastAsia="Arial" w:hAnsi="Arial"/>
                <w:sz w:val="18"/>
                <w:szCs w:val="18"/>
                <w:color w:val="auto"/>
                <w:w w:val="98"/>
              </w:rPr>
              <w:t>$700,000</w:t>
            </w:r>
          </w:p>
        </w:tc>
        <w:tc>
          <w:tcPr>
            <w:tcW w:w="1580" w:type="dxa"/>
            <w:vAlign w:val="bottom"/>
            <w:vMerge w:val="restart"/>
            <w:shd w:val="clear" w:color="auto" w:fill="E5E5E5"/>
          </w:tcPr>
          <w:p>
            <w:pPr>
              <w:jc w:val="right"/>
              <w:ind w:right="216"/>
              <w:spacing w:after="0"/>
              <w:rPr>
                <w:sz w:val="20"/>
                <w:szCs w:val="20"/>
                <w:color w:val="auto"/>
              </w:rPr>
            </w:pPr>
            <w:r>
              <w:rPr>
                <w:rFonts w:ascii="Arial" w:cs="Arial" w:eastAsia="Arial" w:hAnsi="Arial"/>
                <w:sz w:val="18"/>
                <w:szCs w:val="18"/>
                <w:color w:val="auto"/>
              </w:rPr>
              <w:t>$1,400,000</w:t>
            </w:r>
          </w:p>
        </w:tc>
        <w:tc>
          <w:tcPr>
            <w:tcW w:w="0" w:type="dxa"/>
            <w:vAlign w:val="bottom"/>
          </w:tcPr>
          <w:p>
            <w:pPr>
              <w:spacing w:after="0"/>
              <w:rPr>
                <w:sz w:val="1"/>
                <w:szCs w:val="1"/>
                <w:color w:val="auto"/>
              </w:rPr>
            </w:pPr>
          </w:p>
        </w:tc>
      </w:tr>
      <w:tr>
        <w:trPr>
          <w:trHeight w:val="111"/>
        </w:trPr>
        <w:tc>
          <w:tcPr>
            <w:tcW w:w="5340" w:type="dxa"/>
            <w:vAlign w:val="bottom"/>
            <w:vMerge w:val="restart"/>
            <w:shd w:val="clear" w:color="auto" w:fill="E5E5E5"/>
          </w:tcPr>
          <w:p>
            <w:pPr>
              <w:ind w:left="80"/>
              <w:spacing w:after="0"/>
              <w:rPr>
                <w:sz w:val="20"/>
                <w:szCs w:val="20"/>
                <w:color w:val="auto"/>
              </w:rPr>
            </w:pPr>
            <w:r>
              <w:rPr>
                <w:rFonts w:ascii="Arial" w:cs="Arial" w:eastAsia="Arial" w:hAnsi="Arial"/>
                <w:sz w:val="18"/>
                <w:szCs w:val="18"/>
                <w:color w:val="auto"/>
              </w:rPr>
              <w:t>SVP, General Counsel &amp; Corporate Secretary</w:t>
            </w:r>
          </w:p>
        </w:tc>
        <w:tc>
          <w:tcPr>
            <w:tcW w:w="2020" w:type="dxa"/>
            <w:vAlign w:val="bottom"/>
            <w:vMerge w:val="continue"/>
            <w:shd w:val="clear" w:color="auto" w:fill="E5E5E5"/>
          </w:tcPr>
          <w:p>
            <w:pPr>
              <w:spacing w:after="0"/>
              <w:rPr>
                <w:sz w:val="9"/>
                <w:szCs w:val="9"/>
                <w:color w:val="auto"/>
              </w:rPr>
            </w:pPr>
          </w:p>
        </w:tc>
        <w:tc>
          <w:tcPr>
            <w:tcW w:w="1920" w:type="dxa"/>
            <w:vAlign w:val="bottom"/>
            <w:vMerge w:val="restart"/>
            <w:shd w:val="clear" w:color="auto" w:fill="E5E5E5"/>
          </w:tcPr>
          <w:p>
            <w:pPr>
              <w:jc w:val="center"/>
              <w:ind w:left="74"/>
              <w:spacing w:after="0"/>
              <w:rPr>
                <w:sz w:val="20"/>
                <w:szCs w:val="20"/>
                <w:color w:val="auto"/>
              </w:rPr>
            </w:pPr>
            <w:r>
              <w:rPr>
                <w:rFonts w:ascii="Arial" w:cs="Arial" w:eastAsia="Arial" w:hAnsi="Arial"/>
                <w:sz w:val="18"/>
                <w:szCs w:val="18"/>
                <w:i w:val="1"/>
                <w:iCs w:val="1"/>
                <w:color w:val="auto"/>
                <w:w w:val="99"/>
              </w:rPr>
              <w:t>(93% of salary)</w:t>
            </w:r>
          </w:p>
        </w:tc>
        <w:tc>
          <w:tcPr>
            <w:tcW w:w="1580" w:type="dxa"/>
            <w:vAlign w:val="bottom"/>
            <w:vMerge w:val="continue"/>
            <w:shd w:val="clear" w:color="auto" w:fill="E5E5E5"/>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5340" w:type="dxa"/>
            <w:vAlign w:val="bottom"/>
            <w:vMerge w:val="continue"/>
            <w:shd w:val="clear" w:color="auto" w:fill="E5E5E5"/>
          </w:tcPr>
          <w:p>
            <w:pPr>
              <w:spacing w:after="0"/>
              <w:rPr>
                <w:sz w:val="11"/>
                <w:szCs w:val="11"/>
                <w:color w:val="auto"/>
              </w:rPr>
            </w:pPr>
          </w:p>
        </w:tc>
        <w:tc>
          <w:tcPr>
            <w:tcW w:w="2020" w:type="dxa"/>
            <w:vAlign w:val="bottom"/>
            <w:shd w:val="clear" w:color="auto" w:fill="E5E5E5"/>
          </w:tcPr>
          <w:p>
            <w:pPr>
              <w:spacing w:after="0"/>
              <w:rPr>
                <w:sz w:val="11"/>
                <w:szCs w:val="11"/>
                <w:color w:val="auto"/>
              </w:rPr>
            </w:pPr>
          </w:p>
        </w:tc>
        <w:tc>
          <w:tcPr>
            <w:tcW w:w="1920" w:type="dxa"/>
            <w:vAlign w:val="bottom"/>
            <w:vMerge w:val="continue"/>
            <w:shd w:val="clear" w:color="auto" w:fill="E5E5E5"/>
          </w:tcPr>
          <w:p>
            <w:pPr>
              <w:spacing w:after="0"/>
              <w:rPr>
                <w:sz w:val="11"/>
                <w:szCs w:val="11"/>
                <w:color w:val="auto"/>
              </w:rPr>
            </w:pPr>
          </w:p>
        </w:tc>
        <w:tc>
          <w:tcPr>
            <w:tcW w:w="158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5340" w:type="dxa"/>
            <w:vAlign w:val="bottom"/>
          </w:tcPr>
          <w:p>
            <w:pPr>
              <w:ind w:left="80"/>
              <w:spacing w:after="0"/>
              <w:rPr>
                <w:sz w:val="20"/>
                <w:szCs w:val="20"/>
                <w:color w:val="auto"/>
              </w:rPr>
            </w:pPr>
            <w:r>
              <w:rPr>
                <w:rFonts w:ascii="Arial" w:cs="Arial" w:eastAsia="Arial" w:hAnsi="Arial"/>
                <w:sz w:val="18"/>
                <w:szCs w:val="18"/>
                <w:b w:val="1"/>
                <w:bCs w:val="1"/>
                <w:color w:val="007549"/>
              </w:rPr>
              <w:t>Rielly, John P.</w:t>
            </w:r>
          </w:p>
        </w:tc>
        <w:tc>
          <w:tcPr>
            <w:tcW w:w="2020" w:type="dxa"/>
            <w:vAlign w:val="bottom"/>
            <w:vMerge w:val="restart"/>
          </w:tcPr>
          <w:p>
            <w:pPr>
              <w:jc w:val="center"/>
              <w:ind w:left="218"/>
              <w:spacing w:after="0"/>
              <w:rPr>
                <w:sz w:val="20"/>
                <w:szCs w:val="20"/>
                <w:color w:val="auto"/>
              </w:rPr>
            </w:pPr>
            <w:r>
              <w:rPr>
                <w:rFonts w:ascii="Arial" w:cs="Arial" w:eastAsia="Arial" w:hAnsi="Arial"/>
                <w:sz w:val="18"/>
                <w:szCs w:val="18"/>
                <w:color w:val="auto"/>
                <w:w w:val="99"/>
              </w:rPr>
              <w:t>$0</w:t>
            </w:r>
          </w:p>
        </w:tc>
        <w:tc>
          <w:tcPr>
            <w:tcW w:w="1920" w:type="dxa"/>
            <w:vAlign w:val="bottom"/>
          </w:tcPr>
          <w:p>
            <w:pPr>
              <w:jc w:val="center"/>
              <w:ind w:left="94"/>
              <w:spacing w:after="0"/>
              <w:rPr>
                <w:sz w:val="20"/>
                <w:szCs w:val="20"/>
                <w:color w:val="auto"/>
              </w:rPr>
            </w:pPr>
            <w:r>
              <w:rPr>
                <w:rFonts w:ascii="Arial" w:cs="Arial" w:eastAsia="Arial" w:hAnsi="Arial"/>
                <w:sz w:val="18"/>
                <w:szCs w:val="18"/>
                <w:color w:val="auto"/>
                <w:w w:val="98"/>
              </w:rPr>
              <w:t>$700,000</w:t>
            </w:r>
          </w:p>
        </w:tc>
        <w:tc>
          <w:tcPr>
            <w:tcW w:w="1580" w:type="dxa"/>
            <w:vAlign w:val="bottom"/>
            <w:vMerge w:val="restart"/>
          </w:tcPr>
          <w:p>
            <w:pPr>
              <w:jc w:val="right"/>
              <w:ind w:right="216"/>
              <w:spacing w:after="0"/>
              <w:rPr>
                <w:sz w:val="20"/>
                <w:szCs w:val="20"/>
                <w:color w:val="auto"/>
              </w:rPr>
            </w:pPr>
            <w:r>
              <w:rPr>
                <w:rFonts w:ascii="Arial" w:cs="Arial" w:eastAsia="Arial" w:hAnsi="Arial"/>
                <w:sz w:val="18"/>
                <w:szCs w:val="18"/>
                <w:color w:val="auto"/>
              </w:rPr>
              <w:t>$1,400,000</w:t>
            </w:r>
          </w:p>
        </w:tc>
        <w:tc>
          <w:tcPr>
            <w:tcW w:w="0" w:type="dxa"/>
            <w:vAlign w:val="bottom"/>
          </w:tcPr>
          <w:p>
            <w:pPr>
              <w:spacing w:after="0"/>
              <w:rPr>
                <w:sz w:val="1"/>
                <w:szCs w:val="1"/>
                <w:color w:val="auto"/>
              </w:rPr>
            </w:pPr>
          </w:p>
        </w:tc>
      </w:tr>
      <w:tr>
        <w:trPr>
          <w:trHeight w:val="111"/>
        </w:trPr>
        <w:tc>
          <w:tcPr>
            <w:tcW w:w="5340" w:type="dxa"/>
            <w:vAlign w:val="bottom"/>
            <w:vMerge w:val="restart"/>
          </w:tcPr>
          <w:p>
            <w:pPr>
              <w:ind w:left="80"/>
              <w:spacing w:after="0"/>
              <w:rPr>
                <w:sz w:val="20"/>
                <w:szCs w:val="20"/>
                <w:color w:val="auto"/>
              </w:rPr>
            </w:pPr>
            <w:r>
              <w:rPr>
                <w:rFonts w:ascii="Arial" w:cs="Arial" w:eastAsia="Arial" w:hAnsi="Arial"/>
                <w:sz w:val="18"/>
                <w:szCs w:val="18"/>
                <w:color w:val="auto"/>
              </w:rPr>
              <w:t>SVP &amp; Chief Financial Officer</w:t>
            </w:r>
          </w:p>
        </w:tc>
        <w:tc>
          <w:tcPr>
            <w:tcW w:w="2020" w:type="dxa"/>
            <w:vAlign w:val="bottom"/>
            <w:vMerge w:val="continue"/>
          </w:tcPr>
          <w:p>
            <w:pPr>
              <w:spacing w:after="0"/>
              <w:rPr>
                <w:sz w:val="9"/>
                <w:szCs w:val="9"/>
                <w:color w:val="auto"/>
              </w:rPr>
            </w:pPr>
          </w:p>
        </w:tc>
        <w:tc>
          <w:tcPr>
            <w:tcW w:w="1920" w:type="dxa"/>
            <w:vAlign w:val="bottom"/>
            <w:vMerge w:val="restart"/>
          </w:tcPr>
          <w:p>
            <w:pPr>
              <w:jc w:val="center"/>
              <w:ind w:left="74"/>
              <w:spacing w:after="0"/>
              <w:rPr>
                <w:sz w:val="20"/>
                <w:szCs w:val="20"/>
                <w:color w:val="auto"/>
              </w:rPr>
            </w:pPr>
            <w:r>
              <w:rPr>
                <w:rFonts w:ascii="Arial" w:cs="Arial" w:eastAsia="Arial" w:hAnsi="Arial"/>
                <w:sz w:val="18"/>
                <w:szCs w:val="18"/>
                <w:i w:val="1"/>
                <w:iCs w:val="1"/>
                <w:color w:val="auto"/>
                <w:w w:val="99"/>
              </w:rPr>
              <w:t>(90% of salary)</w:t>
            </w:r>
          </w:p>
        </w:tc>
        <w:tc>
          <w:tcPr>
            <w:tcW w:w="1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5340" w:type="dxa"/>
            <w:vAlign w:val="bottom"/>
            <w:vMerge w:val="continue"/>
          </w:tcPr>
          <w:p>
            <w:pPr>
              <w:spacing w:after="0"/>
              <w:rPr>
                <w:sz w:val="11"/>
                <w:szCs w:val="11"/>
                <w:color w:val="auto"/>
              </w:rPr>
            </w:pPr>
          </w:p>
        </w:tc>
        <w:tc>
          <w:tcPr>
            <w:tcW w:w="2020" w:type="dxa"/>
            <w:vAlign w:val="bottom"/>
          </w:tcPr>
          <w:p>
            <w:pPr>
              <w:spacing w:after="0"/>
              <w:rPr>
                <w:sz w:val="11"/>
                <w:szCs w:val="11"/>
                <w:color w:val="auto"/>
              </w:rPr>
            </w:pPr>
          </w:p>
        </w:tc>
        <w:tc>
          <w:tcPr>
            <w:tcW w:w="192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5340" w:type="dxa"/>
            <w:vAlign w:val="bottom"/>
            <w:shd w:val="clear" w:color="auto" w:fill="E5E5E5"/>
          </w:tcPr>
          <w:p>
            <w:pPr>
              <w:ind w:left="80"/>
              <w:spacing w:after="0"/>
              <w:rPr>
                <w:sz w:val="20"/>
                <w:szCs w:val="20"/>
                <w:color w:val="auto"/>
              </w:rPr>
            </w:pPr>
            <w:r>
              <w:rPr>
                <w:rFonts w:ascii="Arial" w:cs="Arial" w:eastAsia="Arial" w:hAnsi="Arial"/>
                <w:sz w:val="18"/>
                <w:szCs w:val="18"/>
                <w:b w:val="1"/>
                <w:bCs w:val="1"/>
                <w:color w:val="007549"/>
              </w:rPr>
              <w:t>Turner, Michael R.</w:t>
            </w:r>
          </w:p>
        </w:tc>
        <w:tc>
          <w:tcPr>
            <w:tcW w:w="2020" w:type="dxa"/>
            <w:vAlign w:val="bottom"/>
            <w:vMerge w:val="restart"/>
            <w:shd w:val="clear" w:color="auto" w:fill="E5E5E5"/>
          </w:tcPr>
          <w:p>
            <w:pPr>
              <w:jc w:val="center"/>
              <w:ind w:left="218"/>
              <w:spacing w:after="0"/>
              <w:rPr>
                <w:sz w:val="20"/>
                <w:szCs w:val="20"/>
                <w:color w:val="auto"/>
              </w:rPr>
            </w:pPr>
            <w:r>
              <w:rPr>
                <w:rFonts w:ascii="Arial" w:cs="Arial" w:eastAsia="Arial" w:hAnsi="Arial"/>
                <w:sz w:val="18"/>
                <w:szCs w:val="18"/>
                <w:color w:val="auto"/>
                <w:w w:val="99"/>
              </w:rPr>
              <w:t>$0</w:t>
            </w:r>
          </w:p>
        </w:tc>
        <w:tc>
          <w:tcPr>
            <w:tcW w:w="1920" w:type="dxa"/>
            <w:vAlign w:val="bottom"/>
            <w:shd w:val="clear" w:color="auto" w:fill="E5E5E5"/>
          </w:tcPr>
          <w:p>
            <w:pPr>
              <w:jc w:val="center"/>
              <w:ind w:left="94"/>
              <w:spacing w:after="0"/>
              <w:rPr>
                <w:sz w:val="20"/>
                <w:szCs w:val="20"/>
                <w:color w:val="auto"/>
              </w:rPr>
            </w:pPr>
            <w:r>
              <w:rPr>
                <w:rFonts w:ascii="Arial" w:cs="Arial" w:eastAsia="Arial" w:hAnsi="Arial"/>
                <w:sz w:val="18"/>
                <w:szCs w:val="18"/>
                <w:color w:val="auto"/>
                <w:w w:val="98"/>
              </w:rPr>
              <w:t>$375,000</w:t>
            </w:r>
          </w:p>
        </w:tc>
        <w:tc>
          <w:tcPr>
            <w:tcW w:w="1580" w:type="dxa"/>
            <w:vAlign w:val="bottom"/>
            <w:vMerge w:val="restart"/>
            <w:shd w:val="clear" w:color="auto" w:fill="E5E5E5"/>
          </w:tcPr>
          <w:p>
            <w:pPr>
              <w:jc w:val="right"/>
              <w:ind w:right="216"/>
              <w:spacing w:after="0"/>
              <w:rPr>
                <w:sz w:val="20"/>
                <w:szCs w:val="20"/>
                <w:color w:val="auto"/>
              </w:rPr>
            </w:pPr>
            <w:r>
              <w:rPr>
                <w:rFonts w:ascii="Arial" w:cs="Arial" w:eastAsia="Arial" w:hAnsi="Arial"/>
                <w:sz w:val="18"/>
                <w:szCs w:val="18"/>
                <w:color w:val="auto"/>
              </w:rPr>
              <w:t>$  750,000</w:t>
            </w:r>
          </w:p>
        </w:tc>
        <w:tc>
          <w:tcPr>
            <w:tcW w:w="0" w:type="dxa"/>
            <w:vAlign w:val="bottom"/>
          </w:tcPr>
          <w:p>
            <w:pPr>
              <w:spacing w:after="0"/>
              <w:rPr>
                <w:sz w:val="1"/>
                <w:szCs w:val="1"/>
                <w:color w:val="auto"/>
              </w:rPr>
            </w:pPr>
          </w:p>
        </w:tc>
      </w:tr>
      <w:tr>
        <w:trPr>
          <w:trHeight w:val="111"/>
        </w:trPr>
        <w:tc>
          <w:tcPr>
            <w:tcW w:w="5340" w:type="dxa"/>
            <w:vAlign w:val="bottom"/>
            <w:vMerge w:val="restart"/>
            <w:shd w:val="clear" w:color="auto" w:fill="E5E5E5"/>
          </w:tcPr>
          <w:p>
            <w:pPr>
              <w:ind w:left="80"/>
              <w:spacing w:after="0"/>
              <w:rPr>
                <w:sz w:val="20"/>
                <w:szCs w:val="20"/>
                <w:color w:val="auto"/>
              </w:rPr>
            </w:pPr>
            <w:r>
              <w:rPr>
                <w:rFonts w:ascii="Arial" w:cs="Arial" w:eastAsia="Arial" w:hAnsi="Arial"/>
                <w:sz w:val="18"/>
                <w:szCs w:val="18"/>
                <w:color w:val="auto"/>
              </w:rPr>
              <w:t>SVP, Global Production</w:t>
            </w:r>
          </w:p>
        </w:tc>
        <w:tc>
          <w:tcPr>
            <w:tcW w:w="2020" w:type="dxa"/>
            <w:vAlign w:val="bottom"/>
            <w:vMerge w:val="continue"/>
            <w:shd w:val="clear" w:color="auto" w:fill="E5E5E5"/>
          </w:tcPr>
          <w:p>
            <w:pPr>
              <w:spacing w:after="0"/>
              <w:rPr>
                <w:sz w:val="9"/>
                <w:szCs w:val="9"/>
                <w:color w:val="auto"/>
              </w:rPr>
            </w:pPr>
          </w:p>
        </w:tc>
        <w:tc>
          <w:tcPr>
            <w:tcW w:w="1920" w:type="dxa"/>
            <w:vAlign w:val="bottom"/>
            <w:vMerge w:val="restart"/>
            <w:shd w:val="clear" w:color="auto" w:fill="E5E5E5"/>
          </w:tcPr>
          <w:p>
            <w:pPr>
              <w:jc w:val="center"/>
              <w:ind w:left="74"/>
              <w:spacing w:after="0"/>
              <w:rPr>
                <w:sz w:val="20"/>
                <w:szCs w:val="20"/>
                <w:color w:val="auto"/>
              </w:rPr>
            </w:pPr>
            <w:r>
              <w:rPr>
                <w:rFonts w:ascii="Arial" w:cs="Arial" w:eastAsia="Arial" w:hAnsi="Arial"/>
                <w:sz w:val="18"/>
                <w:szCs w:val="18"/>
                <w:i w:val="1"/>
                <w:iCs w:val="1"/>
                <w:color w:val="auto"/>
                <w:w w:val="99"/>
              </w:rPr>
              <w:t>(60% of salary)</w:t>
            </w:r>
          </w:p>
        </w:tc>
        <w:tc>
          <w:tcPr>
            <w:tcW w:w="1580" w:type="dxa"/>
            <w:vAlign w:val="bottom"/>
            <w:vMerge w:val="continue"/>
            <w:shd w:val="clear" w:color="auto" w:fill="E5E5E5"/>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5340" w:type="dxa"/>
            <w:vAlign w:val="bottom"/>
            <w:tcBorders>
              <w:bottom w:val="single" w:sz="8" w:color="007549"/>
            </w:tcBorders>
            <w:vMerge w:val="continue"/>
            <w:shd w:val="clear" w:color="auto" w:fill="E5E5E5"/>
          </w:tcPr>
          <w:p>
            <w:pPr>
              <w:spacing w:after="0"/>
              <w:rPr>
                <w:sz w:val="11"/>
                <w:szCs w:val="11"/>
                <w:color w:val="auto"/>
              </w:rPr>
            </w:pPr>
          </w:p>
        </w:tc>
        <w:tc>
          <w:tcPr>
            <w:tcW w:w="2020" w:type="dxa"/>
            <w:vAlign w:val="bottom"/>
            <w:tcBorders>
              <w:bottom w:val="single" w:sz="8" w:color="007549"/>
            </w:tcBorders>
            <w:shd w:val="clear" w:color="auto" w:fill="E5E5E5"/>
          </w:tcPr>
          <w:p>
            <w:pPr>
              <w:spacing w:after="0"/>
              <w:rPr>
                <w:sz w:val="11"/>
                <w:szCs w:val="11"/>
                <w:color w:val="auto"/>
              </w:rPr>
            </w:pPr>
          </w:p>
        </w:tc>
        <w:tc>
          <w:tcPr>
            <w:tcW w:w="1920" w:type="dxa"/>
            <w:vAlign w:val="bottom"/>
            <w:tcBorders>
              <w:bottom w:val="single" w:sz="8" w:color="007549"/>
            </w:tcBorders>
            <w:vMerge w:val="continue"/>
            <w:shd w:val="clear" w:color="auto" w:fill="E5E5E5"/>
          </w:tcPr>
          <w:p>
            <w:pPr>
              <w:spacing w:after="0"/>
              <w:rPr>
                <w:sz w:val="11"/>
                <w:szCs w:val="11"/>
                <w:color w:val="auto"/>
              </w:rPr>
            </w:pPr>
          </w:p>
        </w:tc>
        <w:tc>
          <w:tcPr>
            <w:tcW w:w="1580" w:type="dxa"/>
            <w:vAlign w:val="bottom"/>
            <w:tcBorders>
              <w:bottom w:val="single" w:sz="8" w:color="007549"/>
            </w:tcBorders>
            <w:shd w:val="clear" w:color="auto" w:fill="E5E5E5"/>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-1714500</wp:posOffset>
            </wp:positionV>
            <wp:extent cx="288099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880995" cy="8255"/>
                    </a:xfrm>
                    <a:prstGeom prst="rect">
                      <a:avLst/>
                    </a:prstGeom>
                    <a:noFill/>
                  </pic:spPr>
                </pic:pic>
              </a:graphicData>
            </a:graphic>
          </wp:anchor>
        </w:drawing>
      </w:r>
    </w:p>
    <w:p>
      <w:pPr>
        <w:spacing w:after="0" w:line="143" w:lineRule="exact"/>
        <w:rPr>
          <w:sz w:val="20"/>
          <w:szCs w:val="20"/>
          <w:color w:val="auto"/>
        </w:rPr>
      </w:pPr>
    </w:p>
    <w:p>
      <w:pPr>
        <w:jc w:val="both"/>
        <w:ind w:left="280"/>
        <w:spacing w:after="0" w:line="239" w:lineRule="auto"/>
        <w:rPr>
          <w:sz w:val="20"/>
          <w:szCs w:val="20"/>
          <w:color w:val="auto"/>
        </w:rPr>
      </w:pPr>
      <w:r>
        <w:rPr>
          <w:rFonts w:ascii="Arial" w:cs="Arial" w:eastAsia="Arial" w:hAnsi="Arial"/>
          <w:sz w:val="18"/>
          <w:szCs w:val="18"/>
          <w:b w:val="1"/>
          <w:bCs w:val="1"/>
          <w:i w:val="1"/>
          <w:iCs w:val="1"/>
          <w:color w:val="007549"/>
        </w:rPr>
        <w:t xml:space="preserve">2017 AIP Design. </w:t>
      </w:r>
      <w:r>
        <w:rPr>
          <w:rFonts w:ascii="Arial" w:cs="Arial" w:eastAsia="Arial" w:hAnsi="Arial"/>
          <w:sz w:val="18"/>
          <w:szCs w:val="18"/>
          <w:color w:val="000000"/>
        </w:rPr>
        <w:t>Our annual incentive program is designed to motivate and reward executives for achieving the key business objectives</w:t>
      </w:r>
      <w:r>
        <w:rPr>
          <w:rFonts w:ascii="Arial" w:cs="Arial" w:eastAsia="Arial" w:hAnsi="Arial"/>
          <w:sz w:val="18"/>
          <w:szCs w:val="18"/>
          <w:b w:val="1"/>
          <w:bCs w:val="1"/>
          <w:i w:val="1"/>
          <w:iCs w:val="1"/>
          <w:color w:val="007549"/>
        </w:rPr>
        <w:t xml:space="preserve"> </w:t>
      </w:r>
      <w:r>
        <w:rPr>
          <w:rFonts w:ascii="Arial" w:cs="Arial" w:eastAsia="Arial" w:hAnsi="Arial"/>
          <w:sz w:val="18"/>
          <w:szCs w:val="18"/>
          <w:color w:val="000000"/>
        </w:rPr>
        <w:t>that drive Hess’ long-term value creation. In our industry, the macroeconomic environment and oil prices have a significant impact on our financial results and stock price performance. As a result, our AIP is designed to focus management’s day-to-day efforts on outcomes largely within its control. The AIP payout for executive officers is primarily determined based on enterprise performance results that align with the company’s business strategy.</w:t>
      </w:r>
    </w:p>
    <w:p>
      <w:pPr>
        <w:spacing w:after="0" w:line="228"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6460" w:type="dxa"/>
            <w:vAlign w:val="bottom"/>
            <w:shd w:val="clear" w:color="auto" w:fill="007549"/>
          </w:tcPr>
          <w:p>
            <w:pPr>
              <w:ind w:left="80"/>
              <w:spacing w:after="0"/>
              <w:rPr>
                <w:sz w:val="20"/>
                <w:szCs w:val="20"/>
                <w:color w:val="auto"/>
              </w:rPr>
            </w:pPr>
            <w:r>
              <w:rPr>
                <w:rFonts w:ascii="Arial" w:cs="Arial" w:eastAsia="Arial" w:hAnsi="Arial"/>
                <w:sz w:val="14"/>
                <w:szCs w:val="14"/>
                <w:b w:val="1"/>
                <w:bCs w:val="1"/>
                <w:color w:val="FFFFFF"/>
              </w:rPr>
              <w:t>2017 Enterprise Metrics</w:t>
            </w:r>
          </w:p>
        </w:tc>
        <w:tc>
          <w:tcPr>
            <w:tcW w:w="4400" w:type="dxa"/>
            <w:vAlign w:val="bottom"/>
            <w:shd w:val="clear" w:color="auto" w:fill="007549"/>
          </w:tcPr>
          <w:p>
            <w:pPr>
              <w:jc w:val="right"/>
              <w:ind w:right="234"/>
              <w:spacing w:after="0"/>
              <w:rPr>
                <w:sz w:val="20"/>
                <w:szCs w:val="20"/>
                <w:color w:val="auto"/>
              </w:rPr>
            </w:pPr>
            <w:r>
              <w:rPr>
                <w:rFonts w:ascii="Arial" w:cs="Arial" w:eastAsia="Arial" w:hAnsi="Arial"/>
                <w:sz w:val="14"/>
                <w:szCs w:val="14"/>
                <w:b w:val="1"/>
                <w:bCs w:val="1"/>
                <w:color w:val="FFFFFF"/>
              </w:rPr>
              <w:t>Weighting</w:t>
            </w:r>
          </w:p>
        </w:tc>
      </w:tr>
      <w:tr>
        <w:trPr>
          <w:trHeight w:val="266"/>
        </w:trPr>
        <w:tc>
          <w:tcPr>
            <w:tcW w:w="6460" w:type="dxa"/>
            <w:vAlign w:val="bottom"/>
            <w:shd w:val="clear" w:color="auto" w:fill="E5E5E5"/>
          </w:tcPr>
          <w:p>
            <w:pPr>
              <w:ind w:left="80"/>
              <w:spacing w:after="0"/>
              <w:rPr>
                <w:sz w:val="20"/>
                <w:szCs w:val="20"/>
                <w:color w:val="auto"/>
              </w:rPr>
            </w:pPr>
            <w:r>
              <w:rPr>
                <w:rFonts w:ascii="Arial" w:cs="Arial" w:eastAsia="Arial" w:hAnsi="Arial"/>
                <w:sz w:val="18"/>
                <w:szCs w:val="18"/>
                <w:color w:val="auto"/>
              </w:rPr>
              <w:t>Environment, Health &amp; Safety (“EHS”)</w:t>
            </w:r>
          </w:p>
        </w:tc>
        <w:tc>
          <w:tcPr>
            <w:tcW w:w="440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rPr>
              <w:t>20%</w:t>
            </w:r>
          </w:p>
        </w:tc>
      </w:tr>
      <w:tr>
        <w:trPr>
          <w:trHeight w:val="259"/>
        </w:trPr>
        <w:tc>
          <w:tcPr>
            <w:tcW w:w="6460" w:type="dxa"/>
            <w:vAlign w:val="bottom"/>
          </w:tcPr>
          <w:p>
            <w:pPr>
              <w:ind w:left="80"/>
              <w:spacing w:after="0"/>
              <w:rPr>
                <w:sz w:val="20"/>
                <w:szCs w:val="20"/>
                <w:color w:val="auto"/>
              </w:rPr>
            </w:pPr>
            <w:r>
              <w:rPr>
                <w:rFonts w:ascii="Arial" w:cs="Arial" w:eastAsia="Arial" w:hAnsi="Arial"/>
                <w:sz w:val="18"/>
                <w:szCs w:val="18"/>
                <w:color w:val="auto"/>
              </w:rPr>
              <w:t>Production</w:t>
            </w:r>
          </w:p>
        </w:tc>
        <w:tc>
          <w:tcPr>
            <w:tcW w:w="4400" w:type="dxa"/>
            <w:vAlign w:val="bottom"/>
          </w:tcPr>
          <w:p>
            <w:pPr>
              <w:jc w:val="right"/>
              <w:ind w:right="234"/>
              <w:spacing w:after="0"/>
              <w:rPr>
                <w:sz w:val="20"/>
                <w:szCs w:val="20"/>
                <w:color w:val="auto"/>
              </w:rPr>
            </w:pPr>
            <w:r>
              <w:rPr>
                <w:rFonts w:ascii="Arial" w:cs="Arial" w:eastAsia="Arial" w:hAnsi="Arial"/>
                <w:sz w:val="18"/>
                <w:szCs w:val="18"/>
                <w:color w:val="auto"/>
              </w:rPr>
              <w:t>20%</w:t>
            </w:r>
          </w:p>
        </w:tc>
      </w:tr>
      <w:tr>
        <w:trPr>
          <w:trHeight w:val="273"/>
        </w:trPr>
        <w:tc>
          <w:tcPr>
            <w:tcW w:w="6460" w:type="dxa"/>
            <w:vAlign w:val="bottom"/>
            <w:shd w:val="clear" w:color="auto" w:fill="E5E5E5"/>
          </w:tcPr>
          <w:p>
            <w:pPr>
              <w:ind w:left="80"/>
              <w:spacing w:after="0"/>
              <w:rPr>
                <w:sz w:val="20"/>
                <w:szCs w:val="20"/>
                <w:color w:val="auto"/>
              </w:rPr>
            </w:pPr>
            <w:r>
              <w:rPr>
                <w:rFonts w:ascii="Arial" w:cs="Arial" w:eastAsia="Arial" w:hAnsi="Arial"/>
                <w:sz w:val="18"/>
                <w:szCs w:val="18"/>
                <w:color w:val="auto"/>
              </w:rPr>
              <w:t>Capital and Exploratory Spend</w:t>
            </w:r>
          </w:p>
        </w:tc>
        <w:tc>
          <w:tcPr>
            <w:tcW w:w="440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rPr>
              <w:t>20%</w:t>
            </w:r>
          </w:p>
        </w:tc>
      </w:tr>
      <w:tr>
        <w:trPr>
          <w:trHeight w:val="259"/>
        </w:trPr>
        <w:tc>
          <w:tcPr>
            <w:tcW w:w="6460" w:type="dxa"/>
            <w:vAlign w:val="bottom"/>
          </w:tcPr>
          <w:p>
            <w:pPr>
              <w:ind w:left="80"/>
              <w:spacing w:after="0"/>
              <w:rPr>
                <w:sz w:val="20"/>
                <w:szCs w:val="20"/>
                <w:color w:val="auto"/>
              </w:rPr>
            </w:pPr>
            <w:r>
              <w:rPr>
                <w:rFonts w:ascii="Arial" w:cs="Arial" w:eastAsia="Arial" w:hAnsi="Arial"/>
                <w:sz w:val="18"/>
                <w:szCs w:val="18"/>
                <w:color w:val="auto"/>
              </w:rPr>
              <w:t>Controllable Operated Cash Costs</w:t>
            </w:r>
          </w:p>
        </w:tc>
        <w:tc>
          <w:tcPr>
            <w:tcW w:w="4400" w:type="dxa"/>
            <w:vAlign w:val="bottom"/>
          </w:tcPr>
          <w:p>
            <w:pPr>
              <w:jc w:val="right"/>
              <w:ind w:right="234"/>
              <w:spacing w:after="0"/>
              <w:rPr>
                <w:sz w:val="20"/>
                <w:szCs w:val="20"/>
                <w:color w:val="auto"/>
              </w:rPr>
            </w:pPr>
            <w:r>
              <w:rPr>
                <w:rFonts w:ascii="Arial" w:cs="Arial" w:eastAsia="Arial" w:hAnsi="Arial"/>
                <w:sz w:val="18"/>
                <w:szCs w:val="18"/>
                <w:color w:val="auto"/>
              </w:rPr>
              <w:t>20%</w:t>
            </w:r>
          </w:p>
        </w:tc>
      </w:tr>
      <w:tr>
        <w:trPr>
          <w:trHeight w:val="273"/>
        </w:trPr>
        <w:tc>
          <w:tcPr>
            <w:tcW w:w="6460" w:type="dxa"/>
            <w:vAlign w:val="bottom"/>
            <w:shd w:val="clear" w:color="auto" w:fill="E5E5E5"/>
          </w:tcPr>
          <w:p>
            <w:pPr>
              <w:ind w:left="80"/>
              <w:spacing w:after="0"/>
              <w:rPr>
                <w:sz w:val="20"/>
                <w:szCs w:val="20"/>
                <w:color w:val="auto"/>
              </w:rPr>
            </w:pPr>
            <w:r>
              <w:rPr>
                <w:rFonts w:ascii="Arial" w:cs="Arial" w:eastAsia="Arial" w:hAnsi="Arial"/>
                <w:sz w:val="18"/>
                <w:szCs w:val="18"/>
                <w:color w:val="auto"/>
              </w:rPr>
              <w:t>Cash Return on Capital Employed</w:t>
            </w:r>
          </w:p>
        </w:tc>
        <w:tc>
          <w:tcPr>
            <w:tcW w:w="440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rPr>
              <w:t>10%</w:t>
            </w:r>
          </w:p>
        </w:tc>
      </w:tr>
      <w:tr>
        <w:trPr>
          <w:trHeight w:val="259"/>
        </w:trPr>
        <w:tc>
          <w:tcPr>
            <w:tcW w:w="6460" w:type="dxa"/>
            <w:vAlign w:val="bottom"/>
          </w:tcPr>
          <w:p>
            <w:pPr>
              <w:ind w:left="80"/>
              <w:spacing w:after="0"/>
              <w:rPr>
                <w:sz w:val="20"/>
                <w:szCs w:val="20"/>
                <w:color w:val="auto"/>
              </w:rPr>
            </w:pPr>
            <w:r>
              <w:rPr>
                <w:rFonts w:ascii="Arial" w:cs="Arial" w:eastAsia="Arial" w:hAnsi="Arial"/>
                <w:sz w:val="18"/>
                <w:szCs w:val="18"/>
                <w:color w:val="auto"/>
              </w:rPr>
              <w:t>Exploration Resource Additions</w:t>
            </w:r>
          </w:p>
        </w:tc>
        <w:tc>
          <w:tcPr>
            <w:tcW w:w="4400" w:type="dxa"/>
            <w:vAlign w:val="bottom"/>
          </w:tcPr>
          <w:p>
            <w:pPr>
              <w:jc w:val="right"/>
              <w:ind w:right="234"/>
              <w:spacing w:after="0"/>
              <w:rPr>
                <w:sz w:val="20"/>
                <w:szCs w:val="20"/>
                <w:color w:val="auto"/>
              </w:rPr>
            </w:pPr>
            <w:r>
              <w:rPr>
                <w:rFonts w:ascii="Arial" w:cs="Arial" w:eastAsia="Arial" w:hAnsi="Arial"/>
                <w:sz w:val="18"/>
                <w:szCs w:val="18"/>
                <w:color w:val="auto"/>
              </w:rPr>
              <w:t>10%</w:t>
            </w:r>
          </w:p>
        </w:tc>
      </w:tr>
      <w:tr>
        <w:trPr>
          <w:trHeight w:val="267"/>
        </w:trPr>
        <w:tc>
          <w:tcPr>
            <w:tcW w:w="6460" w:type="dxa"/>
            <w:vAlign w:val="bottom"/>
            <w:tcBorders>
              <w:bottom w:val="single" w:sz="8" w:color="007549"/>
            </w:tcBorders>
            <w:shd w:val="clear" w:color="auto" w:fill="E5E5E5"/>
          </w:tcPr>
          <w:p>
            <w:pPr>
              <w:ind w:left="80"/>
              <w:spacing w:after="0"/>
              <w:rPr>
                <w:sz w:val="20"/>
                <w:szCs w:val="20"/>
                <w:color w:val="auto"/>
              </w:rPr>
            </w:pPr>
            <w:r>
              <w:rPr>
                <w:rFonts w:ascii="Arial" w:cs="Arial" w:eastAsia="Arial" w:hAnsi="Arial"/>
                <w:sz w:val="18"/>
                <w:szCs w:val="18"/>
                <w:b w:val="1"/>
                <w:bCs w:val="1"/>
                <w:color w:val="auto"/>
              </w:rPr>
              <w:t>Total</w:t>
            </w:r>
          </w:p>
        </w:tc>
        <w:tc>
          <w:tcPr>
            <w:tcW w:w="4400" w:type="dxa"/>
            <w:vAlign w:val="bottom"/>
            <w:tcBorders>
              <w:bottom w:val="single" w:sz="8" w:color="007549"/>
            </w:tcBorders>
            <w:shd w:val="clear" w:color="auto" w:fill="E5E5E5"/>
          </w:tcPr>
          <w:p>
            <w:pPr>
              <w:jc w:val="right"/>
              <w:ind w:right="234"/>
              <w:spacing w:after="0"/>
              <w:rPr>
                <w:sz w:val="20"/>
                <w:szCs w:val="20"/>
                <w:color w:val="auto"/>
              </w:rPr>
            </w:pPr>
            <w:r>
              <w:rPr>
                <w:rFonts w:ascii="Arial" w:cs="Arial" w:eastAsia="Arial" w:hAnsi="Arial"/>
                <w:sz w:val="18"/>
                <w:szCs w:val="18"/>
                <w:b w:val="1"/>
                <w:bCs w:val="1"/>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92710</wp:posOffset>
            </wp:positionV>
            <wp:extent cx="405765" cy="2451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219" w:lineRule="exact"/>
        <w:rPr>
          <w:sz w:val="20"/>
          <w:szCs w:val="20"/>
          <w:color w:val="auto"/>
        </w:rPr>
      </w:pPr>
    </w:p>
    <w:tbl>
      <w:tblPr>
        <w:tblLayout w:type="fixed"/>
        <w:tblInd w:w="9140" w:type="dxa"/>
        <w:tblCellMar>
          <w:top w:w="0" w:type="dxa"/>
          <w:left w:w="0" w:type="dxa"/>
          <w:bottom w:w="0" w:type="dxa"/>
          <w:right w:w="0" w:type="dxa"/>
        </w:tblCellMar>
      </w:tblPr>
      <w:tr>
        <w:trPr>
          <w:trHeight w:val="188"/>
        </w:trPr>
        <w:tc>
          <w:tcPr>
            <w:tcW w:w="1680" w:type="dxa"/>
            <w:vAlign w:val="bottom"/>
          </w:tcPr>
          <w:p>
            <w:pPr>
              <w:spacing w:after="0"/>
              <w:rPr>
                <w:sz w:val="20"/>
                <w:szCs w:val="20"/>
                <w:color w:val="auto"/>
              </w:rPr>
            </w:pPr>
            <w:r>
              <w:rPr>
                <w:rFonts w:ascii="Arial" w:cs="Arial" w:eastAsia="Arial" w:hAnsi="Arial"/>
                <w:sz w:val="12"/>
                <w:szCs w:val="12"/>
                <w:b w:val="1"/>
                <w:bCs w:val="1"/>
                <w:color w:val="666666"/>
              </w:rPr>
              <w:t>2018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007549"/>
              </w:rPr>
              <w:t>27</w:t>
            </w:r>
          </w:p>
        </w:tc>
      </w:tr>
    </w:tbl>
    <w:p>
      <w:pPr>
        <w:sectPr>
          <w:pgSz w:w="11900" w:h="16838" w:orient="portrait"/>
          <w:cols w:equalWidth="0" w:num="1">
            <w:col w:w="11140"/>
          </w:cols>
          <w:pgMar w:left="240" w:top="454" w:right="5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007549"/>
        </w:rPr>
        <w:t xml:space="preserve">Executive Compensation </w:t>
      </w:r>
      <w:r>
        <w:rPr>
          <w:rFonts w:ascii="Arial" w:cs="Arial" w:eastAsia="Arial" w:hAnsi="Arial"/>
          <w:sz w:val="16"/>
          <w:szCs w:val="16"/>
          <w:b w:val="1"/>
          <w:bCs w:val="1"/>
          <w:color w:val="000000"/>
        </w:rPr>
        <w:t>+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55245</wp:posOffset>
            </wp:positionV>
            <wp:extent cx="68935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266" w:lineRule="exact"/>
        <w:rPr>
          <w:sz w:val="20"/>
          <w:szCs w:val="20"/>
          <w:color w:val="auto"/>
        </w:rPr>
      </w:pPr>
    </w:p>
    <w:p>
      <w:pPr>
        <w:jc w:val="both"/>
        <w:ind w:left="280"/>
        <w:spacing w:after="0" w:line="235" w:lineRule="auto"/>
        <w:rPr>
          <w:sz w:val="20"/>
          <w:szCs w:val="20"/>
          <w:color w:val="auto"/>
        </w:rPr>
      </w:pPr>
      <w:r>
        <w:rPr>
          <w:rFonts w:ascii="Arial" w:cs="Arial" w:eastAsia="Arial" w:hAnsi="Arial"/>
          <w:sz w:val="18"/>
          <w:szCs w:val="18"/>
          <w:color w:val="auto"/>
        </w:rPr>
        <w:t>Payouts under the AIP depend on enterprise performance results, and payouts can range from 0% to 175% of target. An individual performance multiplier can reduce the annual incentive payout down to zero or increase it by up to 25% of target based on actual individual performance results measured against pre-defined individual performance goals. There will be no payout associated with an enterprise metric if the threshold level for the metric is not achieved. The payout is capped at 200% of the target award.</w:t>
      </w:r>
    </w:p>
    <w:p>
      <w:pPr>
        <w:spacing w:after="0" w:line="94" w:lineRule="exact"/>
        <w:rPr>
          <w:sz w:val="20"/>
          <w:szCs w:val="20"/>
          <w:color w:val="auto"/>
        </w:rPr>
      </w:pPr>
    </w:p>
    <w:p>
      <w:pPr>
        <w:jc w:val="both"/>
        <w:ind w:left="280"/>
        <w:spacing w:after="0" w:line="236" w:lineRule="auto"/>
        <w:rPr>
          <w:sz w:val="20"/>
          <w:szCs w:val="20"/>
          <w:color w:val="auto"/>
        </w:rPr>
      </w:pPr>
      <w:r>
        <w:rPr>
          <w:rFonts w:ascii="Arial" w:cs="Arial" w:eastAsia="Arial" w:hAnsi="Arial"/>
          <w:sz w:val="18"/>
          <w:szCs w:val="18"/>
          <w:color w:val="auto"/>
        </w:rPr>
        <w:t>The enterprise performance metrics are selected each year to reflect the core operating functions of our management team through the business cycle, and are approved by the committee. The metrics provide a balance of annual and long-term objectives for the business, as described below:</w:t>
      </w:r>
    </w:p>
    <w:p>
      <w:pPr>
        <w:spacing w:after="0" w:line="86" w:lineRule="exact"/>
        <w:rPr>
          <w:sz w:val="20"/>
          <w:szCs w:val="20"/>
          <w:color w:val="auto"/>
        </w:rPr>
      </w:pPr>
    </w:p>
    <w:p>
      <w:pPr>
        <w:ind w:left="600" w:hanging="208"/>
        <w:spacing w:after="0" w:line="263" w:lineRule="auto"/>
        <w:tabs>
          <w:tab w:leader="none" w:pos="60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Environment, Health and Safety</w:t>
      </w:r>
      <w:r>
        <w:rPr>
          <w:rFonts w:ascii="Arial" w:cs="Arial" w:eastAsia="Arial" w:hAnsi="Arial"/>
          <w:sz w:val="18"/>
          <w:szCs w:val="18"/>
          <w:color w:val="auto"/>
        </w:rPr>
        <w:t>: Direct inclusion in our AIP underscores the importance of sustainability, health and safety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integration into our strategy and operations.</w:t>
      </w:r>
    </w:p>
    <w:p>
      <w:pPr>
        <w:spacing w:after="0" w:line="65" w:lineRule="exact"/>
        <w:rPr>
          <w:rFonts w:ascii="Arial" w:cs="Arial" w:eastAsia="Arial" w:hAnsi="Arial"/>
          <w:sz w:val="18"/>
          <w:szCs w:val="18"/>
          <w:color w:val="auto"/>
        </w:rPr>
      </w:pPr>
    </w:p>
    <w:p>
      <w:pPr>
        <w:ind w:left="600" w:hanging="208"/>
        <w:spacing w:after="0" w:line="263" w:lineRule="auto"/>
        <w:tabs>
          <w:tab w:leader="none" w:pos="60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Production and Operated Cash Costs </w:t>
      </w:r>
      <w:r>
        <w:rPr>
          <w:rFonts w:ascii="Arial" w:cs="Arial" w:eastAsia="Arial" w:hAnsi="Arial"/>
          <w:sz w:val="18"/>
          <w:szCs w:val="18"/>
          <w:color w:val="auto"/>
        </w:rPr>
        <w:t>tie to our annual financial results. The management team is incentivized to hit or exceed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production goals but not at the expense of profitability or safety.</w:t>
      </w:r>
    </w:p>
    <w:p>
      <w:pPr>
        <w:spacing w:after="0" w:line="65" w:lineRule="exact"/>
        <w:rPr>
          <w:rFonts w:ascii="Arial" w:cs="Arial" w:eastAsia="Arial" w:hAnsi="Arial"/>
          <w:sz w:val="18"/>
          <w:szCs w:val="18"/>
          <w:color w:val="auto"/>
        </w:rPr>
      </w:pPr>
    </w:p>
    <w:p>
      <w:pPr>
        <w:jc w:val="both"/>
        <w:ind w:left="600" w:hanging="208"/>
        <w:spacing w:after="0" w:line="260" w:lineRule="auto"/>
        <w:tabs>
          <w:tab w:leader="none" w:pos="600" w:val="left"/>
        </w:tabs>
        <w:numPr>
          <w:ilvl w:val="0"/>
          <w:numId w:val="50"/>
        </w:numPr>
        <w:rPr>
          <w:rFonts w:ascii="Arial" w:cs="Arial" w:eastAsia="Arial" w:hAnsi="Arial"/>
          <w:sz w:val="17"/>
          <w:szCs w:val="17"/>
          <w:color w:val="auto"/>
        </w:rPr>
      </w:pPr>
      <w:r>
        <w:rPr>
          <w:rFonts w:ascii="Arial" w:cs="Arial" w:eastAsia="Arial" w:hAnsi="Arial"/>
          <w:sz w:val="17"/>
          <w:szCs w:val="17"/>
          <w:b w:val="1"/>
          <w:bCs w:val="1"/>
          <w:color w:val="auto"/>
        </w:rPr>
        <w:t xml:space="preserve">Capital Spend, Exploration Resource Additions </w:t>
      </w:r>
      <w:r>
        <w:rPr>
          <w:rFonts w:ascii="Arial" w:cs="Arial" w:eastAsia="Arial" w:hAnsi="Arial"/>
          <w:sz w:val="17"/>
          <w:szCs w:val="17"/>
          <w:color w:val="auto"/>
        </w:rPr>
        <w:t>and</w:t>
      </w:r>
      <w:r>
        <w:rPr>
          <w:rFonts w:ascii="Arial" w:cs="Arial" w:eastAsia="Arial" w:hAnsi="Arial"/>
          <w:sz w:val="17"/>
          <w:szCs w:val="17"/>
          <w:b w:val="1"/>
          <w:bCs w:val="1"/>
          <w:color w:val="auto"/>
        </w:rPr>
        <w:t xml:space="preserve"> Cash Return on Capital Employed </w:t>
      </w:r>
      <w:r>
        <w:rPr>
          <w:rFonts w:ascii="Arial" w:cs="Arial" w:eastAsia="Arial" w:hAnsi="Arial"/>
          <w:sz w:val="17"/>
          <w:szCs w:val="17"/>
          <w:color w:val="auto"/>
        </w:rPr>
        <w:t>primarily tie to our future results. In the</w:t>
      </w:r>
      <w:r>
        <w:rPr>
          <w:rFonts w:ascii="Arial" w:cs="Arial" w:eastAsia="Arial" w:hAnsi="Arial"/>
          <w:sz w:val="17"/>
          <w:szCs w:val="17"/>
          <w:b w:val="1"/>
          <w:bCs w:val="1"/>
          <w:color w:val="auto"/>
        </w:rPr>
        <w:t xml:space="preserve"> </w:t>
      </w:r>
      <w:r>
        <w:rPr>
          <w:rFonts w:ascii="Arial" w:cs="Arial" w:eastAsia="Arial" w:hAnsi="Arial"/>
          <w:sz w:val="17"/>
          <w:szCs w:val="17"/>
          <w:color w:val="auto"/>
        </w:rPr>
        <w:t>offshore industry, it takes several years from the exploration of a resource to the generation of revenue. The board believes combining incentives for growing the resource base while also requiring adherence to a set capital budget with an emphasis on Cash Return on Capital Employed, properly incentivizes management to grow our resource base without over-spending to achieve a short-term target.</w:t>
      </w:r>
    </w:p>
    <w:p>
      <w:pPr>
        <w:sectPr>
          <w:pgSz w:w="11900" w:h="16838" w:orient="portrait"/>
          <w:cols w:equalWidth="0" w:num="1">
            <w:col w:w="11140"/>
          </w:cols>
          <w:pgMar w:left="240" w:top="454" w:right="51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left="1140"/>
        <w:spacing w:after="0"/>
        <w:rPr>
          <w:sz w:val="20"/>
          <w:szCs w:val="20"/>
          <w:color w:val="auto"/>
        </w:rPr>
      </w:pPr>
      <w:r>
        <w:rPr>
          <w:rFonts w:ascii="Arial" w:cs="Arial" w:eastAsia="Arial" w:hAnsi="Arial"/>
          <w:sz w:val="15"/>
          <w:szCs w:val="15"/>
          <w:b w:val="1"/>
          <w:bCs w:val="1"/>
          <w:color w:val="FFFFFF"/>
        </w:rPr>
        <w:t>Target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-122555</wp:posOffset>
            </wp:positionV>
            <wp:extent cx="971550" cy="5067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971550" cy="506730"/>
                    </a:xfrm>
                    <a:prstGeom prst="rect">
                      <a:avLst/>
                    </a:prstGeom>
                    <a:noFill/>
                  </pic:spPr>
                </pic:pic>
              </a:graphicData>
            </a:graphic>
          </wp:anchor>
        </w:drawing>
      </w:r>
    </w:p>
    <w:p>
      <w:pPr>
        <w:spacing w:after="0" w:line="14" w:lineRule="exact"/>
        <w:rPr>
          <w:sz w:val="20"/>
          <w:szCs w:val="20"/>
          <w:color w:val="auto"/>
        </w:rPr>
      </w:pPr>
    </w:p>
    <w:p>
      <w:pPr>
        <w:jc w:val="center"/>
        <w:ind w:left="1140"/>
        <w:spacing w:after="0"/>
        <w:rPr>
          <w:sz w:val="20"/>
          <w:szCs w:val="20"/>
          <w:color w:val="auto"/>
        </w:rPr>
      </w:pPr>
      <w:r>
        <w:rPr>
          <w:rFonts w:ascii="Arial" w:cs="Arial" w:eastAsia="Arial" w:hAnsi="Arial"/>
          <w:sz w:val="16"/>
          <w:szCs w:val="16"/>
          <w:b w:val="1"/>
          <w:bCs w:val="1"/>
          <w:color w:val="FFFFFF"/>
        </w:rPr>
        <w:t>Incentive</w:t>
      </w:r>
    </w:p>
    <w:p>
      <w:pPr>
        <w:spacing w:after="0" w:line="2" w:lineRule="exact"/>
        <w:rPr>
          <w:sz w:val="20"/>
          <w:szCs w:val="20"/>
          <w:color w:val="auto"/>
        </w:rPr>
      </w:pPr>
    </w:p>
    <w:p>
      <w:pPr>
        <w:jc w:val="center"/>
        <w:ind w:left="1140"/>
        <w:spacing w:after="0"/>
        <w:rPr>
          <w:sz w:val="20"/>
          <w:szCs w:val="20"/>
          <w:color w:val="auto"/>
        </w:rPr>
      </w:pPr>
      <w:r>
        <w:rPr>
          <w:rFonts w:ascii="Arial" w:cs="Arial" w:eastAsia="Arial" w:hAnsi="Arial"/>
          <w:sz w:val="16"/>
          <w:szCs w:val="16"/>
          <w:b w:val="1"/>
          <w:bCs w:val="1"/>
          <w:color w:val="FFFFFF"/>
        </w:rPr>
        <w:t>Opportunity</w:t>
      </w:r>
    </w:p>
    <w:p>
      <w:pPr>
        <w:spacing w:after="0" w:line="2" w:lineRule="exact"/>
        <w:rPr>
          <w:sz w:val="20"/>
          <w:szCs w:val="20"/>
          <w:color w:val="auto"/>
        </w:rPr>
      </w:pPr>
    </w:p>
    <w:p>
      <w:pPr>
        <w:jc w:val="center"/>
        <w:ind w:left="1140"/>
        <w:spacing w:after="0"/>
        <w:rPr>
          <w:sz w:val="20"/>
          <w:szCs w:val="20"/>
          <w:color w:val="auto"/>
        </w:rPr>
      </w:pPr>
      <w:r>
        <w:rPr>
          <w:rFonts w:ascii="Arial" w:cs="Arial" w:eastAsia="Arial" w:hAnsi="Arial"/>
          <w:sz w:val="16"/>
          <w:szCs w:val="16"/>
          <w:b w:val="1"/>
          <w:bCs w:val="1"/>
          <w:color w:val="FFFFFF"/>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3"/>
          <w:szCs w:val="23"/>
          <w:b w:val="1"/>
          <w:bCs w:val="1"/>
          <w:color w:val="007549"/>
        </w:rPr>
        <w:t>X</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007549"/>
        </w:rPr>
        <w:t>ILLUSTRATION OF 2017 AIP DESIGN</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2500" w:type="dxa"/>
            <w:vAlign w:val="bottom"/>
            <w:shd w:val="clear" w:color="auto" w:fill="007549"/>
          </w:tcPr>
          <w:p>
            <w:pPr>
              <w:jc w:val="center"/>
              <w:ind w:left="20"/>
              <w:spacing w:after="0"/>
              <w:rPr>
                <w:sz w:val="20"/>
                <w:szCs w:val="20"/>
                <w:color w:val="auto"/>
              </w:rPr>
            </w:pPr>
            <w:r>
              <w:rPr>
                <w:rFonts w:ascii="Arial" w:cs="Arial" w:eastAsia="Arial" w:hAnsi="Arial"/>
                <w:sz w:val="16"/>
                <w:szCs w:val="16"/>
                <w:b w:val="1"/>
                <w:bCs w:val="1"/>
                <w:color w:val="FFFFFF"/>
                <w:w w:val="99"/>
              </w:rPr>
              <w:t>Enterprise Performance</w:t>
            </w:r>
          </w:p>
        </w:tc>
        <w:tc>
          <w:tcPr>
            <w:tcW w:w="540" w:type="dxa"/>
            <w:vAlign w:val="bottom"/>
            <w:vMerge w:val="restart"/>
          </w:tcPr>
          <w:p>
            <w:pPr>
              <w:ind w:left="240"/>
              <w:spacing w:after="0"/>
              <w:rPr>
                <w:sz w:val="20"/>
                <w:szCs w:val="20"/>
                <w:color w:val="auto"/>
              </w:rPr>
            </w:pPr>
            <w:r>
              <w:rPr>
                <w:rFonts w:ascii="Arial" w:cs="Arial" w:eastAsia="Arial" w:hAnsi="Arial"/>
                <w:sz w:val="25"/>
                <w:szCs w:val="25"/>
                <w:b w:val="1"/>
                <w:bCs w:val="1"/>
                <w:color w:val="007549"/>
              </w:rPr>
              <w:t>X</w:t>
            </w:r>
          </w:p>
        </w:tc>
        <w:tc>
          <w:tcPr>
            <w:tcW w:w="2500" w:type="dxa"/>
            <w:vAlign w:val="bottom"/>
            <w:shd w:val="clear" w:color="auto" w:fill="007549"/>
          </w:tcPr>
          <w:p>
            <w:pPr>
              <w:jc w:val="center"/>
              <w:ind w:left="20"/>
              <w:spacing w:after="0"/>
              <w:rPr>
                <w:sz w:val="20"/>
                <w:szCs w:val="20"/>
                <w:color w:val="auto"/>
              </w:rPr>
            </w:pPr>
            <w:r>
              <w:rPr>
                <w:rFonts w:ascii="Arial" w:cs="Arial" w:eastAsia="Arial" w:hAnsi="Arial"/>
                <w:sz w:val="16"/>
                <w:szCs w:val="16"/>
                <w:b w:val="1"/>
                <w:bCs w:val="1"/>
                <w:color w:val="FFFFFF"/>
                <w:w w:val="99"/>
              </w:rPr>
              <w:t>Individual Performance</w:t>
            </w:r>
          </w:p>
        </w:tc>
        <w:tc>
          <w:tcPr>
            <w:tcW w:w="520" w:type="dxa"/>
            <w:vAlign w:val="bottom"/>
            <w:vMerge w:val="restart"/>
          </w:tcPr>
          <w:p>
            <w:pPr>
              <w:jc w:val="right"/>
              <w:ind w:right="16"/>
              <w:spacing w:after="0"/>
              <w:rPr>
                <w:sz w:val="20"/>
                <w:szCs w:val="20"/>
                <w:color w:val="auto"/>
              </w:rPr>
            </w:pPr>
            <w:r>
              <w:rPr>
                <w:rFonts w:ascii="Arial" w:cs="Arial" w:eastAsia="Arial" w:hAnsi="Arial"/>
                <w:sz w:val="25"/>
                <w:szCs w:val="25"/>
                <w:b w:val="1"/>
                <w:bCs w:val="1"/>
                <w:color w:val="007549"/>
              </w:rPr>
              <w:t>=</w:t>
            </w:r>
          </w:p>
        </w:tc>
        <w:tc>
          <w:tcPr>
            <w:tcW w:w="1640" w:type="dxa"/>
            <w:vAlign w:val="bottom"/>
            <w:vMerge w:val="restart"/>
            <w:shd w:val="clear" w:color="auto" w:fill="007549"/>
          </w:tcPr>
          <w:p>
            <w:pPr>
              <w:jc w:val="center"/>
              <w:spacing w:after="0"/>
              <w:rPr>
                <w:sz w:val="20"/>
                <w:szCs w:val="20"/>
                <w:color w:val="auto"/>
              </w:rPr>
            </w:pPr>
            <w:r>
              <w:rPr>
                <w:rFonts w:ascii="Arial" w:cs="Arial" w:eastAsia="Arial" w:hAnsi="Arial"/>
                <w:sz w:val="16"/>
                <w:szCs w:val="16"/>
                <w:b w:val="1"/>
                <w:bCs w:val="1"/>
                <w:color w:val="FFFFFF"/>
                <w:w w:val="99"/>
              </w:rPr>
              <w:t>Actual Cash</w:t>
            </w:r>
          </w:p>
        </w:tc>
        <w:tc>
          <w:tcPr>
            <w:tcW w:w="0" w:type="dxa"/>
            <w:vAlign w:val="bottom"/>
          </w:tcPr>
          <w:p>
            <w:pPr>
              <w:spacing w:after="0"/>
              <w:rPr>
                <w:sz w:val="1"/>
                <w:szCs w:val="1"/>
                <w:color w:val="auto"/>
              </w:rPr>
            </w:pPr>
          </w:p>
        </w:tc>
      </w:tr>
      <w:tr>
        <w:trPr>
          <w:trHeight w:val="93"/>
        </w:trPr>
        <w:tc>
          <w:tcPr>
            <w:tcW w:w="2500" w:type="dxa"/>
            <w:vAlign w:val="bottom"/>
            <w:vMerge w:val="restart"/>
            <w:shd w:val="clear" w:color="auto" w:fill="007549"/>
          </w:tcPr>
          <w:p>
            <w:pPr>
              <w:jc w:val="center"/>
              <w:ind w:left="20"/>
              <w:spacing w:after="0"/>
              <w:rPr>
                <w:sz w:val="20"/>
                <w:szCs w:val="20"/>
                <w:color w:val="auto"/>
              </w:rPr>
            </w:pPr>
            <w:r>
              <w:rPr>
                <w:rFonts w:ascii="Arial" w:cs="Arial" w:eastAsia="Arial" w:hAnsi="Arial"/>
                <w:sz w:val="16"/>
                <w:szCs w:val="16"/>
                <w:b w:val="1"/>
                <w:bCs w:val="1"/>
                <w:color w:val="FFFFFF"/>
                <w:w w:val="99"/>
              </w:rPr>
              <w:t>Payout Range:</w:t>
            </w:r>
          </w:p>
        </w:tc>
        <w:tc>
          <w:tcPr>
            <w:tcW w:w="540" w:type="dxa"/>
            <w:vAlign w:val="bottom"/>
            <w:vMerge w:val="continue"/>
          </w:tcPr>
          <w:p>
            <w:pPr>
              <w:spacing w:after="0"/>
              <w:rPr>
                <w:sz w:val="8"/>
                <w:szCs w:val="8"/>
                <w:color w:val="auto"/>
              </w:rPr>
            </w:pPr>
          </w:p>
        </w:tc>
        <w:tc>
          <w:tcPr>
            <w:tcW w:w="2500" w:type="dxa"/>
            <w:vAlign w:val="bottom"/>
            <w:vMerge w:val="restart"/>
            <w:shd w:val="clear" w:color="auto" w:fill="007549"/>
          </w:tcPr>
          <w:p>
            <w:pPr>
              <w:jc w:val="center"/>
              <w:spacing w:after="0"/>
              <w:rPr>
                <w:sz w:val="20"/>
                <w:szCs w:val="20"/>
                <w:color w:val="auto"/>
              </w:rPr>
            </w:pPr>
            <w:r>
              <w:rPr>
                <w:rFonts w:ascii="Arial" w:cs="Arial" w:eastAsia="Arial" w:hAnsi="Arial"/>
                <w:sz w:val="16"/>
                <w:szCs w:val="16"/>
                <w:b w:val="1"/>
                <w:bCs w:val="1"/>
                <w:color w:val="FFFFFF"/>
                <w:w w:val="99"/>
              </w:rPr>
              <w:t>Modifier</w:t>
            </w:r>
          </w:p>
        </w:tc>
        <w:tc>
          <w:tcPr>
            <w:tcW w:w="520" w:type="dxa"/>
            <w:vAlign w:val="bottom"/>
            <w:vMerge w:val="continue"/>
          </w:tcPr>
          <w:p>
            <w:pPr>
              <w:spacing w:after="0"/>
              <w:rPr>
                <w:sz w:val="8"/>
                <w:szCs w:val="8"/>
                <w:color w:val="auto"/>
              </w:rPr>
            </w:pPr>
          </w:p>
        </w:tc>
        <w:tc>
          <w:tcPr>
            <w:tcW w:w="1640" w:type="dxa"/>
            <w:vAlign w:val="bottom"/>
            <w:vMerge w:val="continue"/>
            <w:shd w:val="clear" w:color="auto" w:fill="007549"/>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2500" w:type="dxa"/>
            <w:vAlign w:val="bottom"/>
            <w:vMerge w:val="continue"/>
            <w:shd w:val="clear" w:color="auto" w:fill="007549"/>
          </w:tcPr>
          <w:p>
            <w:pPr>
              <w:spacing w:after="0"/>
              <w:rPr>
                <w:sz w:val="14"/>
                <w:szCs w:val="14"/>
                <w:color w:val="auto"/>
              </w:rPr>
            </w:pPr>
          </w:p>
        </w:tc>
        <w:tc>
          <w:tcPr>
            <w:tcW w:w="540" w:type="dxa"/>
            <w:vAlign w:val="bottom"/>
            <w:vMerge w:val="continue"/>
          </w:tcPr>
          <w:p>
            <w:pPr>
              <w:spacing w:after="0"/>
              <w:rPr>
                <w:sz w:val="14"/>
                <w:szCs w:val="14"/>
                <w:color w:val="auto"/>
              </w:rPr>
            </w:pPr>
          </w:p>
        </w:tc>
        <w:tc>
          <w:tcPr>
            <w:tcW w:w="2500" w:type="dxa"/>
            <w:vAlign w:val="bottom"/>
            <w:vMerge w:val="continue"/>
            <w:shd w:val="clear" w:color="auto" w:fill="007549"/>
          </w:tcPr>
          <w:p>
            <w:pPr>
              <w:spacing w:after="0"/>
              <w:rPr>
                <w:sz w:val="14"/>
                <w:szCs w:val="14"/>
                <w:color w:val="auto"/>
              </w:rPr>
            </w:pPr>
          </w:p>
        </w:tc>
        <w:tc>
          <w:tcPr>
            <w:tcW w:w="520" w:type="dxa"/>
            <w:vAlign w:val="bottom"/>
            <w:vMerge w:val="continue"/>
          </w:tcPr>
          <w:p>
            <w:pPr>
              <w:spacing w:after="0"/>
              <w:rPr>
                <w:sz w:val="14"/>
                <w:szCs w:val="14"/>
                <w:color w:val="auto"/>
              </w:rPr>
            </w:pPr>
          </w:p>
        </w:tc>
        <w:tc>
          <w:tcPr>
            <w:tcW w:w="1640" w:type="dxa"/>
            <w:vAlign w:val="bottom"/>
            <w:shd w:val="clear" w:color="auto" w:fill="007549"/>
          </w:tcPr>
          <w:p>
            <w:pPr>
              <w:jc w:val="center"/>
              <w:ind w:left="20"/>
              <w:spacing w:after="0" w:line="165" w:lineRule="exact"/>
              <w:rPr>
                <w:sz w:val="20"/>
                <w:szCs w:val="20"/>
                <w:color w:val="auto"/>
              </w:rPr>
            </w:pPr>
            <w:r>
              <w:rPr>
                <w:rFonts w:ascii="Arial" w:cs="Arial" w:eastAsia="Arial" w:hAnsi="Arial"/>
                <w:sz w:val="16"/>
                <w:szCs w:val="16"/>
                <w:b w:val="1"/>
                <w:bCs w:val="1"/>
                <w:color w:val="FFFFFF"/>
                <w:w w:val="99"/>
              </w:rPr>
              <w:t>Incentive Award ($)</w:t>
            </w:r>
          </w:p>
        </w:tc>
        <w:tc>
          <w:tcPr>
            <w:tcW w:w="0" w:type="dxa"/>
            <w:vAlign w:val="bottom"/>
          </w:tcPr>
          <w:p>
            <w:pPr>
              <w:spacing w:after="0"/>
              <w:rPr>
                <w:sz w:val="1"/>
                <w:szCs w:val="1"/>
                <w:color w:val="auto"/>
              </w:rPr>
            </w:pPr>
          </w:p>
        </w:tc>
      </w:tr>
      <w:tr>
        <w:trPr>
          <w:trHeight w:val="212"/>
        </w:trPr>
        <w:tc>
          <w:tcPr>
            <w:tcW w:w="2500" w:type="dxa"/>
            <w:vAlign w:val="bottom"/>
            <w:shd w:val="clear" w:color="auto" w:fill="007549"/>
          </w:tcPr>
          <w:p>
            <w:pPr>
              <w:jc w:val="center"/>
              <w:spacing w:after="0"/>
              <w:rPr>
                <w:sz w:val="20"/>
                <w:szCs w:val="20"/>
                <w:color w:val="auto"/>
              </w:rPr>
            </w:pPr>
            <w:r>
              <w:rPr>
                <w:rFonts w:ascii="Arial" w:cs="Arial" w:eastAsia="Arial" w:hAnsi="Arial"/>
                <w:sz w:val="16"/>
                <w:szCs w:val="16"/>
                <w:b w:val="1"/>
                <w:bCs w:val="1"/>
                <w:color w:val="FFFFFF"/>
              </w:rPr>
              <w:t>0%-175% of target</w:t>
            </w:r>
          </w:p>
        </w:tc>
        <w:tc>
          <w:tcPr>
            <w:tcW w:w="540" w:type="dxa"/>
            <w:vAlign w:val="bottom"/>
          </w:tcPr>
          <w:p>
            <w:pPr>
              <w:spacing w:after="0"/>
              <w:rPr>
                <w:sz w:val="18"/>
                <w:szCs w:val="18"/>
                <w:color w:val="auto"/>
              </w:rPr>
            </w:pPr>
          </w:p>
        </w:tc>
        <w:tc>
          <w:tcPr>
            <w:tcW w:w="2500" w:type="dxa"/>
            <w:vAlign w:val="bottom"/>
            <w:shd w:val="clear" w:color="auto" w:fill="007549"/>
          </w:tcPr>
          <w:p>
            <w:pPr>
              <w:jc w:val="center"/>
              <w:ind w:left="20"/>
              <w:spacing w:after="0"/>
              <w:rPr>
                <w:sz w:val="20"/>
                <w:szCs w:val="20"/>
                <w:color w:val="auto"/>
              </w:rPr>
            </w:pPr>
            <w:r>
              <w:rPr>
                <w:rFonts w:ascii="Arial" w:cs="Arial" w:eastAsia="Arial" w:hAnsi="Arial"/>
                <w:sz w:val="16"/>
                <w:szCs w:val="16"/>
                <w:b w:val="1"/>
                <w:bCs w:val="1"/>
                <w:color w:val="FFFFFF"/>
                <w:w w:val="98"/>
              </w:rPr>
              <w:t>(0% - 114%)</w:t>
            </w:r>
          </w:p>
        </w:tc>
        <w:tc>
          <w:tcPr>
            <w:tcW w:w="520" w:type="dxa"/>
            <w:vAlign w:val="bottom"/>
          </w:tcPr>
          <w:p>
            <w:pPr>
              <w:spacing w:after="0"/>
              <w:rPr>
                <w:sz w:val="18"/>
                <w:szCs w:val="18"/>
                <w:color w:val="auto"/>
              </w:rPr>
            </w:pPr>
          </w:p>
        </w:tc>
        <w:tc>
          <w:tcPr>
            <w:tcW w:w="1640" w:type="dxa"/>
            <w:vAlign w:val="bottom"/>
            <w:shd w:val="clear" w:color="auto" w:fill="007549"/>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500" w:type="dxa"/>
            <w:vAlign w:val="bottom"/>
            <w:shd w:val="clear" w:color="auto" w:fill="007549"/>
          </w:tcPr>
          <w:p>
            <w:pPr>
              <w:spacing w:after="0"/>
              <w:rPr>
                <w:sz w:val="2"/>
                <w:szCs w:val="2"/>
                <w:color w:val="auto"/>
              </w:rPr>
            </w:pPr>
          </w:p>
        </w:tc>
        <w:tc>
          <w:tcPr>
            <w:tcW w:w="540" w:type="dxa"/>
            <w:vAlign w:val="bottom"/>
          </w:tcPr>
          <w:p>
            <w:pPr>
              <w:spacing w:after="0"/>
              <w:rPr>
                <w:sz w:val="2"/>
                <w:szCs w:val="2"/>
                <w:color w:val="auto"/>
              </w:rPr>
            </w:pPr>
          </w:p>
        </w:tc>
        <w:tc>
          <w:tcPr>
            <w:tcW w:w="2500" w:type="dxa"/>
            <w:vAlign w:val="bottom"/>
            <w:shd w:val="clear" w:color="auto" w:fill="007549"/>
          </w:tcPr>
          <w:p>
            <w:pPr>
              <w:spacing w:after="0"/>
              <w:rPr>
                <w:sz w:val="2"/>
                <w:szCs w:val="2"/>
                <w:color w:val="auto"/>
              </w:rPr>
            </w:pPr>
          </w:p>
        </w:tc>
        <w:tc>
          <w:tcPr>
            <w:tcW w:w="520" w:type="dxa"/>
            <w:vAlign w:val="bottom"/>
          </w:tcPr>
          <w:p>
            <w:pPr>
              <w:spacing w:after="0"/>
              <w:rPr>
                <w:sz w:val="2"/>
                <w:szCs w:val="2"/>
                <w:color w:val="auto"/>
              </w:rPr>
            </w:pPr>
          </w:p>
        </w:tc>
        <w:tc>
          <w:tcPr>
            <w:tcW w:w="1640" w:type="dxa"/>
            <w:vAlign w:val="bottom"/>
            <w:shd w:val="clear" w:color="auto" w:fill="007549"/>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sectPr>
          <w:pgSz w:w="11900" w:h="16838" w:orient="portrait"/>
          <w:cols w:equalWidth="0" w:num="3">
            <w:col w:w="2060" w:space="540"/>
            <w:col w:w="160" w:space="140"/>
            <w:col w:w="8240"/>
          </w:cols>
          <w:pgMar w:left="240" w:top="454" w:right="519" w:bottom="1440" w:gutter="0" w:footer="0" w:header="0"/>
          <w:type w:val="continuous"/>
        </w:sectPr>
      </w:pPr>
    </w:p>
    <w:p>
      <w:pPr>
        <w:jc w:val="both"/>
        <w:ind w:left="280"/>
        <w:spacing w:after="0" w:line="247" w:lineRule="auto"/>
        <w:rPr>
          <w:sz w:val="20"/>
          <w:szCs w:val="20"/>
          <w:color w:val="auto"/>
        </w:rPr>
      </w:pPr>
      <w:r>
        <w:rPr>
          <w:rFonts w:ascii="Arial" w:cs="Arial" w:eastAsia="Arial" w:hAnsi="Arial"/>
          <w:sz w:val="18"/>
          <w:szCs w:val="18"/>
          <w:b w:val="1"/>
          <w:bCs w:val="1"/>
          <w:i w:val="1"/>
          <w:iCs w:val="1"/>
          <w:color w:val="007549"/>
        </w:rPr>
        <w:t xml:space="preserve">Actual Cash Incentive Awards. </w:t>
      </w:r>
      <w:r>
        <w:rPr>
          <w:rFonts w:ascii="Arial" w:cs="Arial" w:eastAsia="Arial" w:hAnsi="Arial"/>
          <w:sz w:val="18"/>
          <w:szCs w:val="18"/>
          <w:color w:val="000000"/>
        </w:rPr>
        <w:t>The following table shows actual performance as a percent of target based on the 2017 results for each</w:t>
      </w:r>
      <w:r>
        <w:rPr>
          <w:rFonts w:ascii="Arial" w:cs="Arial" w:eastAsia="Arial" w:hAnsi="Arial"/>
          <w:sz w:val="18"/>
          <w:szCs w:val="18"/>
          <w:b w:val="1"/>
          <w:bCs w:val="1"/>
          <w:i w:val="1"/>
          <w:iCs w:val="1"/>
          <w:color w:val="007549"/>
        </w:rPr>
        <w:t xml:space="preserve"> </w:t>
      </w:r>
      <w:r>
        <w:rPr>
          <w:rFonts w:ascii="Arial" w:cs="Arial" w:eastAsia="Arial" w:hAnsi="Arial"/>
          <w:sz w:val="18"/>
          <w:szCs w:val="18"/>
          <w:color w:val="000000"/>
        </w:rPr>
        <w:t>component of the AIP, and the actual cash incentive award for each NEO. The following discussion explains how the payouts for each component were determined.</w:t>
      </w:r>
    </w:p>
    <w:p>
      <w:pPr>
        <w:spacing w:after="0" w:line="195" w:lineRule="exact"/>
        <w:rPr>
          <w:sz w:val="20"/>
          <w:szCs w:val="20"/>
          <w:color w:val="auto"/>
        </w:rPr>
      </w:pPr>
    </w:p>
    <w:tbl>
      <w:tblPr>
        <w:tblLayout w:type="fixed"/>
        <w:tblInd w:w="280" w:type="dxa"/>
        <w:tblCellMar>
          <w:top w:w="0" w:type="dxa"/>
          <w:left w:w="0" w:type="dxa"/>
          <w:bottom w:w="0" w:type="dxa"/>
          <w:right w:w="0" w:type="dxa"/>
        </w:tblCellMar>
      </w:tblPr>
      <w:tr>
        <w:trPr>
          <w:trHeight w:val="186"/>
        </w:trPr>
        <w:tc>
          <w:tcPr>
            <w:tcW w:w="3900" w:type="dxa"/>
            <w:vAlign w:val="bottom"/>
            <w:shd w:val="clear" w:color="auto" w:fill="007549"/>
          </w:tcPr>
          <w:p>
            <w:pPr>
              <w:spacing w:after="0"/>
              <w:rPr>
                <w:sz w:val="16"/>
                <w:szCs w:val="16"/>
                <w:color w:val="auto"/>
              </w:rPr>
            </w:pPr>
          </w:p>
        </w:tc>
        <w:tc>
          <w:tcPr>
            <w:tcW w:w="1400" w:type="dxa"/>
            <w:vAlign w:val="bottom"/>
            <w:gridSpan w:val="2"/>
            <w:shd w:val="clear" w:color="auto" w:fill="007549"/>
          </w:tcPr>
          <w:p>
            <w:pPr>
              <w:jc w:val="center"/>
              <w:spacing w:after="0"/>
              <w:rPr>
                <w:sz w:val="20"/>
                <w:szCs w:val="20"/>
                <w:color w:val="auto"/>
              </w:rPr>
            </w:pPr>
            <w:r>
              <w:rPr>
                <w:rFonts w:ascii="Arial" w:cs="Arial" w:eastAsia="Arial" w:hAnsi="Arial"/>
                <w:sz w:val="14"/>
                <w:szCs w:val="14"/>
                <w:b w:val="1"/>
                <w:bCs w:val="1"/>
                <w:color w:val="FFFFFF"/>
              </w:rPr>
              <w:t>2017 Target</w:t>
            </w:r>
          </w:p>
        </w:tc>
        <w:tc>
          <w:tcPr>
            <w:tcW w:w="1580" w:type="dxa"/>
            <w:vAlign w:val="bottom"/>
            <w:shd w:val="clear" w:color="auto" w:fill="007549"/>
          </w:tcPr>
          <w:p>
            <w:pPr>
              <w:jc w:val="center"/>
              <w:spacing w:after="0"/>
              <w:rPr>
                <w:sz w:val="20"/>
                <w:szCs w:val="20"/>
                <w:color w:val="auto"/>
              </w:rPr>
            </w:pPr>
            <w:r>
              <w:rPr>
                <w:rFonts w:ascii="Arial" w:cs="Arial" w:eastAsia="Arial" w:hAnsi="Arial"/>
                <w:sz w:val="14"/>
                <w:szCs w:val="14"/>
                <w:b w:val="1"/>
                <w:bCs w:val="1"/>
                <w:color w:val="FFFFFF"/>
              </w:rPr>
              <w:t>X</w:t>
            </w:r>
          </w:p>
        </w:tc>
        <w:tc>
          <w:tcPr>
            <w:tcW w:w="1640" w:type="dxa"/>
            <w:vAlign w:val="bottom"/>
            <w:shd w:val="clear" w:color="auto" w:fill="007549"/>
          </w:tcPr>
          <w:p>
            <w:pPr>
              <w:jc w:val="center"/>
              <w:spacing w:after="0"/>
              <w:rPr>
                <w:sz w:val="20"/>
                <w:szCs w:val="20"/>
                <w:color w:val="auto"/>
              </w:rPr>
            </w:pPr>
            <w:r>
              <w:rPr>
                <w:rFonts w:ascii="Arial" w:cs="Arial" w:eastAsia="Arial" w:hAnsi="Arial"/>
                <w:sz w:val="14"/>
                <w:szCs w:val="14"/>
                <w:b w:val="1"/>
                <w:bCs w:val="1"/>
                <w:color w:val="FFFFFF"/>
                <w:w w:val="85"/>
              </w:rPr>
              <w:t>X</w:t>
            </w:r>
          </w:p>
        </w:tc>
        <w:tc>
          <w:tcPr>
            <w:tcW w:w="2340" w:type="dxa"/>
            <w:vAlign w:val="bottom"/>
            <w:gridSpan w:val="2"/>
            <w:shd w:val="clear" w:color="auto" w:fill="007549"/>
          </w:tcPr>
          <w:p>
            <w:pPr>
              <w:jc w:val="center"/>
              <w:ind w:left="998"/>
              <w:spacing w:after="0"/>
              <w:rPr>
                <w:sz w:val="20"/>
                <w:szCs w:val="20"/>
                <w:color w:val="auto"/>
              </w:rPr>
            </w:pPr>
            <w:r>
              <w:rPr>
                <w:rFonts w:ascii="Arial" w:cs="Arial" w:eastAsia="Arial" w:hAnsi="Arial"/>
                <w:sz w:val="14"/>
                <w:szCs w:val="14"/>
                <w:b w:val="1"/>
                <w:bCs w:val="1"/>
                <w:color w:val="FFFFFF"/>
              </w:rPr>
              <w:t>2017 Actual</w:t>
            </w:r>
          </w:p>
        </w:tc>
      </w:tr>
      <w:tr>
        <w:trPr>
          <w:trHeight w:val="160"/>
        </w:trPr>
        <w:tc>
          <w:tcPr>
            <w:tcW w:w="3900" w:type="dxa"/>
            <w:vAlign w:val="bottom"/>
            <w:shd w:val="clear" w:color="auto" w:fill="007549"/>
          </w:tcPr>
          <w:p>
            <w:pPr>
              <w:spacing w:after="0"/>
              <w:rPr>
                <w:sz w:val="13"/>
                <w:szCs w:val="13"/>
                <w:color w:val="auto"/>
              </w:rPr>
            </w:pPr>
          </w:p>
        </w:tc>
        <w:tc>
          <w:tcPr>
            <w:tcW w:w="360" w:type="dxa"/>
            <w:vAlign w:val="bottom"/>
            <w:shd w:val="clear" w:color="auto" w:fill="007549"/>
          </w:tcPr>
          <w:p>
            <w:pPr>
              <w:spacing w:after="0"/>
              <w:rPr>
                <w:sz w:val="13"/>
                <w:szCs w:val="13"/>
                <w:color w:val="auto"/>
              </w:rPr>
            </w:pPr>
          </w:p>
        </w:tc>
        <w:tc>
          <w:tcPr>
            <w:tcW w:w="1040" w:type="dxa"/>
            <w:vAlign w:val="bottom"/>
            <w:shd w:val="clear" w:color="auto" w:fill="007549"/>
          </w:tcPr>
          <w:p>
            <w:pPr>
              <w:jc w:val="center"/>
              <w:ind w:right="256"/>
              <w:spacing w:after="0" w:line="160" w:lineRule="exact"/>
              <w:rPr>
                <w:sz w:val="20"/>
                <w:szCs w:val="20"/>
                <w:color w:val="auto"/>
              </w:rPr>
            </w:pPr>
            <w:r>
              <w:rPr>
                <w:rFonts w:ascii="Arial" w:cs="Arial" w:eastAsia="Arial" w:hAnsi="Arial"/>
                <w:sz w:val="14"/>
                <w:szCs w:val="14"/>
                <w:b w:val="1"/>
                <w:bCs w:val="1"/>
                <w:color w:val="FFFFFF"/>
                <w:w w:val="99"/>
              </w:rPr>
              <w:t>Cash</w:t>
            </w:r>
          </w:p>
        </w:tc>
        <w:tc>
          <w:tcPr>
            <w:tcW w:w="1580" w:type="dxa"/>
            <w:vAlign w:val="bottom"/>
            <w:shd w:val="clear" w:color="auto" w:fill="007549"/>
          </w:tcPr>
          <w:p>
            <w:pPr>
              <w:jc w:val="center"/>
              <w:spacing w:after="0" w:line="160" w:lineRule="exact"/>
              <w:rPr>
                <w:sz w:val="20"/>
                <w:szCs w:val="20"/>
                <w:color w:val="auto"/>
              </w:rPr>
            </w:pPr>
            <w:r>
              <w:rPr>
                <w:rFonts w:ascii="Arial" w:cs="Arial" w:eastAsia="Arial" w:hAnsi="Arial"/>
                <w:sz w:val="14"/>
                <w:szCs w:val="14"/>
                <w:b w:val="1"/>
                <w:bCs w:val="1"/>
                <w:color w:val="FFFFFF"/>
              </w:rPr>
              <w:t>2017 Enterprise</w:t>
            </w:r>
          </w:p>
        </w:tc>
        <w:tc>
          <w:tcPr>
            <w:tcW w:w="1640" w:type="dxa"/>
            <w:vAlign w:val="bottom"/>
            <w:shd w:val="clear" w:color="auto" w:fill="007549"/>
          </w:tcPr>
          <w:p>
            <w:pPr>
              <w:jc w:val="center"/>
              <w:spacing w:after="0" w:line="160" w:lineRule="exact"/>
              <w:rPr>
                <w:sz w:val="20"/>
                <w:szCs w:val="20"/>
                <w:color w:val="auto"/>
              </w:rPr>
            </w:pPr>
            <w:r>
              <w:rPr>
                <w:rFonts w:ascii="Arial" w:cs="Arial" w:eastAsia="Arial" w:hAnsi="Arial"/>
                <w:sz w:val="14"/>
                <w:szCs w:val="14"/>
                <w:b w:val="1"/>
                <w:bCs w:val="1"/>
                <w:color w:val="FFFFFF"/>
              </w:rPr>
              <w:t>2017 Individual</w:t>
            </w:r>
          </w:p>
        </w:tc>
        <w:tc>
          <w:tcPr>
            <w:tcW w:w="1360" w:type="dxa"/>
            <w:vAlign w:val="bottom"/>
            <w:shd w:val="clear" w:color="auto" w:fill="007549"/>
          </w:tcPr>
          <w:p>
            <w:pPr>
              <w:spacing w:after="0"/>
              <w:rPr>
                <w:sz w:val="13"/>
                <w:szCs w:val="13"/>
                <w:color w:val="auto"/>
              </w:rPr>
            </w:pPr>
          </w:p>
        </w:tc>
        <w:tc>
          <w:tcPr>
            <w:tcW w:w="980" w:type="dxa"/>
            <w:vAlign w:val="bottom"/>
            <w:shd w:val="clear" w:color="auto" w:fill="007549"/>
          </w:tcPr>
          <w:p>
            <w:pPr>
              <w:jc w:val="center"/>
              <w:ind w:right="198"/>
              <w:spacing w:after="0" w:line="160" w:lineRule="exact"/>
              <w:rPr>
                <w:sz w:val="20"/>
                <w:szCs w:val="20"/>
                <w:color w:val="auto"/>
              </w:rPr>
            </w:pPr>
            <w:r>
              <w:rPr>
                <w:rFonts w:ascii="Arial" w:cs="Arial" w:eastAsia="Arial" w:hAnsi="Arial"/>
                <w:sz w:val="14"/>
                <w:szCs w:val="14"/>
                <w:b w:val="1"/>
                <w:bCs w:val="1"/>
                <w:color w:val="FFFFFF"/>
                <w:w w:val="99"/>
              </w:rPr>
              <w:t>Cash</w:t>
            </w:r>
          </w:p>
        </w:tc>
      </w:tr>
      <w:tr>
        <w:trPr>
          <w:trHeight w:val="160"/>
        </w:trPr>
        <w:tc>
          <w:tcPr>
            <w:tcW w:w="3900" w:type="dxa"/>
            <w:vAlign w:val="bottom"/>
            <w:shd w:val="clear" w:color="auto" w:fill="007549"/>
          </w:tcPr>
          <w:p>
            <w:pPr>
              <w:spacing w:after="0"/>
              <w:rPr>
                <w:sz w:val="13"/>
                <w:szCs w:val="13"/>
                <w:color w:val="auto"/>
              </w:rPr>
            </w:pPr>
          </w:p>
        </w:tc>
        <w:tc>
          <w:tcPr>
            <w:tcW w:w="360" w:type="dxa"/>
            <w:vAlign w:val="bottom"/>
            <w:shd w:val="clear" w:color="auto" w:fill="007549"/>
          </w:tcPr>
          <w:p>
            <w:pPr>
              <w:spacing w:after="0"/>
              <w:rPr>
                <w:sz w:val="13"/>
                <w:szCs w:val="13"/>
                <w:color w:val="auto"/>
              </w:rPr>
            </w:pPr>
          </w:p>
        </w:tc>
        <w:tc>
          <w:tcPr>
            <w:tcW w:w="1040" w:type="dxa"/>
            <w:vAlign w:val="bottom"/>
            <w:shd w:val="clear" w:color="auto" w:fill="007549"/>
          </w:tcPr>
          <w:p>
            <w:pPr>
              <w:jc w:val="center"/>
              <w:ind w:right="256"/>
              <w:spacing w:after="0" w:line="160" w:lineRule="exact"/>
              <w:rPr>
                <w:sz w:val="20"/>
                <w:szCs w:val="20"/>
                <w:color w:val="auto"/>
              </w:rPr>
            </w:pPr>
            <w:r>
              <w:rPr>
                <w:rFonts w:ascii="Arial" w:cs="Arial" w:eastAsia="Arial" w:hAnsi="Arial"/>
                <w:sz w:val="14"/>
                <w:szCs w:val="14"/>
                <w:b w:val="1"/>
                <w:bCs w:val="1"/>
                <w:color w:val="FFFFFF"/>
              </w:rPr>
              <w:t>Incentive</w:t>
            </w:r>
          </w:p>
        </w:tc>
        <w:tc>
          <w:tcPr>
            <w:tcW w:w="1580" w:type="dxa"/>
            <w:vAlign w:val="bottom"/>
            <w:shd w:val="clear" w:color="auto" w:fill="007549"/>
          </w:tcPr>
          <w:p>
            <w:pPr>
              <w:jc w:val="center"/>
              <w:spacing w:after="0" w:line="160" w:lineRule="exact"/>
              <w:rPr>
                <w:sz w:val="20"/>
                <w:szCs w:val="20"/>
                <w:color w:val="auto"/>
              </w:rPr>
            </w:pPr>
            <w:r>
              <w:rPr>
                <w:rFonts w:ascii="Arial" w:cs="Arial" w:eastAsia="Arial" w:hAnsi="Arial"/>
                <w:sz w:val="14"/>
                <w:szCs w:val="14"/>
                <w:b w:val="1"/>
                <w:bCs w:val="1"/>
                <w:color w:val="FFFFFF"/>
              </w:rPr>
              <w:t>Performance as</w:t>
            </w:r>
          </w:p>
        </w:tc>
        <w:tc>
          <w:tcPr>
            <w:tcW w:w="1640" w:type="dxa"/>
            <w:vAlign w:val="bottom"/>
            <w:shd w:val="clear" w:color="auto" w:fill="007549"/>
          </w:tcPr>
          <w:p>
            <w:pPr>
              <w:jc w:val="center"/>
              <w:spacing w:after="0" w:line="160" w:lineRule="exact"/>
              <w:rPr>
                <w:sz w:val="20"/>
                <w:szCs w:val="20"/>
                <w:color w:val="auto"/>
              </w:rPr>
            </w:pPr>
            <w:r>
              <w:rPr>
                <w:rFonts w:ascii="Arial" w:cs="Arial" w:eastAsia="Arial" w:hAnsi="Arial"/>
                <w:sz w:val="14"/>
                <w:szCs w:val="14"/>
                <w:b w:val="1"/>
                <w:bCs w:val="1"/>
                <w:color w:val="FFFFFF"/>
              </w:rPr>
              <w:t>Performance</w:t>
            </w:r>
          </w:p>
        </w:tc>
        <w:tc>
          <w:tcPr>
            <w:tcW w:w="1360" w:type="dxa"/>
            <w:vAlign w:val="bottom"/>
            <w:shd w:val="clear" w:color="auto" w:fill="007549"/>
          </w:tcPr>
          <w:p>
            <w:pPr>
              <w:jc w:val="right"/>
              <w:ind w:right="638"/>
              <w:spacing w:after="0" w:line="160" w:lineRule="exact"/>
              <w:rPr>
                <w:sz w:val="20"/>
                <w:szCs w:val="20"/>
                <w:color w:val="auto"/>
              </w:rPr>
            </w:pPr>
            <w:r>
              <w:rPr>
                <w:rFonts w:ascii="Arial" w:cs="Arial" w:eastAsia="Arial" w:hAnsi="Arial"/>
                <w:sz w:val="14"/>
                <w:szCs w:val="14"/>
                <w:b w:val="1"/>
                <w:bCs w:val="1"/>
                <w:color w:val="FFFFFF"/>
              </w:rPr>
              <w:t>=</w:t>
            </w:r>
          </w:p>
        </w:tc>
        <w:tc>
          <w:tcPr>
            <w:tcW w:w="980" w:type="dxa"/>
            <w:vAlign w:val="bottom"/>
            <w:shd w:val="clear" w:color="auto" w:fill="007549"/>
          </w:tcPr>
          <w:p>
            <w:pPr>
              <w:jc w:val="center"/>
              <w:ind w:right="198"/>
              <w:spacing w:after="0" w:line="160" w:lineRule="exact"/>
              <w:rPr>
                <w:sz w:val="20"/>
                <w:szCs w:val="20"/>
                <w:color w:val="auto"/>
              </w:rPr>
            </w:pPr>
            <w:r>
              <w:rPr>
                <w:rFonts w:ascii="Arial" w:cs="Arial" w:eastAsia="Arial" w:hAnsi="Arial"/>
                <w:sz w:val="14"/>
                <w:szCs w:val="14"/>
                <w:b w:val="1"/>
                <w:bCs w:val="1"/>
                <w:color w:val="FFFFFF"/>
              </w:rPr>
              <w:t>Incentive</w:t>
            </w:r>
          </w:p>
        </w:tc>
      </w:tr>
      <w:tr>
        <w:trPr>
          <w:trHeight w:val="200"/>
        </w:trPr>
        <w:tc>
          <w:tcPr>
            <w:tcW w:w="3900" w:type="dxa"/>
            <w:vAlign w:val="bottom"/>
            <w:shd w:val="clear" w:color="auto" w:fill="007549"/>
          </w:tcPr>
          <w:p>
            <w:pPr>
              <w:ind w:left="80"/>
              <w:spacing w:after="0"/>
              <w:rPr>
                <w:sz w:val="20"/>
                <w:szCs w:val="20"/>
                <w:color w:val="auto"/>
              </w:rPr>
            </w:pPr>
            <w:r>
              <w:rPr>
                <w:rFonts w:ascii="Arial" w:cs="Arial" w:eastAsia="Arial" w:hAnsi="Arial"/>
                <w:sz w:val="14"/>
                <w:szCs w:val="14"/>
                <w:b w:val="1"/>
                <w:bCs w:val="1"/>
                <w:color w:val="FFFFFF"/>
              </w:rPr>
              <w:t>Name</w:t>
            </w:r>
          </w:p>
        </w:tc>
        <w:tc>
          <w:tcPr>
            <w:tcW w:w="1400" w:type="dxa"/>
            <w:vAlign w:val="bottom"/>
            <w:gridSpan w:val="2"/>
            <w:shd w:val="clear" w:color="auto" w:fill="007549"/>
          </w:tcPr>
          <w:p>
            <w:pPr>
              <w:jc w:val="center"/>
              <w:spacing w:after="0"/>
              <w:rPr>
                <w:sz w:val="20"/>
                <w:szCs w:val="20"/>
                <w:color w:val="auto"/>
              </w:rPr>
            </w:pPr>
            <w:r>
              <w:rPr>
                <w:rFonts w:ascii="Arial" w:cs="Arial" w:eastAsia="Arial" w:hAnsi="Arial"/>
                <w:sz w:val="14"/>
                <w:szCs w:val="14"/>
                <w:b w:val="1"/>
                <w:bCs w:val="1"/>
                <w:color w:val="FFFFFF"/>
              </w:rPr>
              <w:t>Opportunity</w:t>
            </w:r>
          </w:p>
        </w:tc>
        <w:tc>
          <w:tcPr>
            <w:tcW w:w="1580" w:type="dxa"/>
            <w:vAlign w:val="bottom"/>
            <w:shd w:val="clear" w:color="auto" w:fill="007549"/>
          </w:tcPr>
          <w:p>
            <w:pPr>
              <w:jc w:val="center"/>
              <w:spacing w:after="0"/>
              <w:rPr>
                <w:sz w:val="20"/>
                <w:szCs w:val="20"/>
                <w:color w:val="auto"/>
              </w:rPr>
            </w:pPr>
            <w:r>
              <w:rPr>
                <w:rFonts w:ascii="Arial" w:cs="Arial" w:eastAsia="Arial" w:hAnsi="Arial"/>
                <w:sz w:val="14"/>
                <w:szCs w:val="14"/>
                <w:b w:val="1"/>
                <w:bCs w:val="1"/>
                <w:color w:val="FFFFFF"/>
                <w:w w:val="99"/>
              </w:rPr>
              <w:t>% of Target</w:t>
            </w:r>
          </w:p>
        </w:tc>
        <w:tc>
          <w:tcPr>
            <w:tcW w:w="1640" w:type="dxa"/>
            <w:vAlign w:val="bottom"/>
            <w:shd w:val="clear" w:color="auto" w:fill="007549"/>
          </w:tcPr>
          <w:p>
            <w:pPr>
              <w:jc w:val="center"/>
              <w:spacing w:after="0"/>
              <w:rPr>
                <w:sz w:val="20"/>
                <w:szCs w:val="20"/>
                <w:color w:val="auto"/>
              </w:rPr>
            </w:pPr>
            <w:r>
              <w:rPr>
                <w:rFonts w:ascii="Arial" w:cs="Arial" w:eastAsia="Arial" w:hAnsi="Arial"/>
                <w:sz w:val="14"/>
                <w:szCs w:val="14"/>
                <w:b w:val="1"/>
                <w:bCs w:val="1"/>
                <w:color w:val="FFFFFF"/>
              </w:rPr>
              <w:t>Modifier</w:t>
            </w:r>
          </w:p>
        </w:tc>
        <w:tc>
          <w:tcPr>
            <w:tcW w:w="1360" w:type="dxa"/>
            <w:vAlign w:val="bottom"/>
            <w:shd w:val="clear" w:color="auto" w:fill="007549"/>
          </w:tcPr>
          <w:p>
            <w:pPr>
              <w:jc w:val="right"/>
              <w:ind w:right="338"/>
              <w:spacing w:after="0"/>
              <w:rPr>
                <w:sz w:val="20"/>
                <w:szCs w:val="20"/>
                <w:color w:val="auto"/>
              </w:rPr>
            </w:pPr>
            <w:r>
              <w:rPr>
                <w:rFonts w:ascii="Arial" w:cs="Arial" w:eastAsia="Arial" w:hAnsi="Arial"/>
                <w:sz w:val="14"/>
                <w:szCs w:val="14"/>
                <w:b w:val="1"/>
                <w:bCs w:val="1"/>
                <w:color w:val="FFFFFF"/>
              </w:rPr>
              <w:t>Combined</w:t>
            </w:r>
          </w:p>
        </w:tc>
        <w:tc>
          <w:tcPr>
            <w:tcW w:w="980" w:type="dxa"/>
            <w:vAlign w:val="bottom"/>
            <w:shd w:val="clear" w:color="auto" w:fill="007549"/>
          </w:tcPr>
          <w:p>
            <w:pPr>
              <w:jc w:val="center"/>
              <w:ind w:right="218"/>
              <w:spacing w:after="0"/>
              <w:rPr>
                <w:sz w:val="20"/>
                <w:szCs w:val="20"/>
                <w:color w:val="auto"/>
              </w:rPr>
            </w:pPr>
            <w:r>
              <w:rPr>
                <w:rFonts w:ascii="Arial" w:cs="Arial" w:eastAsia="Arial" w:hAnsi="Arial"/>
                <w:sz w:val="14"/>
                <w:szCs w:val="14"/>
                <w:b w:val="1"/>
                <w:bCs w:val="1"/>
                <w:color w:val="FFFFFF"/>
              </w:rPr>
              <w:t>Award</w:t>
            </w:r>
          </w:p>
        </w:tc>
      </w:tr>
      <w:tr>
        <w:trPr>
          <w:trHeight w:val="239"/>
        </w:trPr>
        <w:tc>
          <w:tcPr>
            <w:tcW w:w="3900" w:type="dxa"/>
            <w:vAlign w:val="bottom"/>
            <w:shd w:val="clear" w:color="auto" w:fill="E5E5E5"/>
          </w:tcPr>
          <w:p>
            <w:pPr>
              <w:ind w:left="80"/>
              <w:spacing w:after="0"/>
              <w:rPr>
                <w:sz w:val="20"/>
                <w:szCs w:val="20"/>
                <w:color w:val="auto"/>
              </w:rPr>
            </w:pPr>
            <w:r>
              <w:rPr>
                <w:rFonts w:ascii="Arial" w:cs="Arial" w:eastAsia="Arial" w:hAnsi="Arial"/>
                <w:sz w:val="18"/>
                <w:szCs w:val="18"/>
                <w:b w:val="1"/>
                <w:bCs w:val="1"/>
                <w:color w:val="007549"/>
              </w:rPr>
              <w:t>Hess, John B.</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w w:val="97"/>
              </w:rPr>
              <w:t>2,250,000</w:t>
            </w:r>
          </w:p>
        </w:tc>
        <w:tc>
          <w:tcPr>
            <w:tcW w:w="158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8"/>
              </w:rPr>
              <w:t>119.7%</w:t>
            </w:r>
          </w:p>
        </w:tc>
        <w:tc>
          <w:tcPr>
            <w:tcW w:w="1640" w:type="dxa"/>
            <w:vAlign w:val="bottom"/>
            <w:shd w:val="clear" w:color="auto" w:fill="E5E5E5"/>
          </w:tcPr>
          <w:p>
            <w:pPr>
              <w:ind w:left="260"/>
              <w:spacing w:after="0"/>
              <w:rPr>
                <w:sz w:val="20"/>
                <w:szCs w:val="20"/>
                <w:color w:val="auto"/>
              </w:rPr>
            </w:pPr>
            <w:r>
              <w:rPr>
                <w:rFonts w:ascii="Arial" w:cs="Arial" w:eastAsia="Arial" w:hAnsi="Arial"/>
                <w:sz w:val="18"/>
                <w:szCs w:val="18"/>
                <w:color w:val="auto"/>
              </w:rPr>
              <w:t>No adjustment</w:t>
            </w:r>
          </w:p>
        </w:tc>
        <w:tc>
          <w:tcPr>
            <w:tcW w:w="1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ind w:right="98"/>
              <w:spacing w:after="0"/>
              <w:rPr>
                <w:sz w:val="20"/>
                <w:szCs w:val="20"/>
                <w:color w:val="auto"/>
              </w:rPr>
            </w:pPr>
            <w:r>
              <w:rPr>
                <w:rFonts w:ascii="Arial" w:cs="Arial" w:eastAsia="Arial" w:hAnsi="Arial"/>
                <w:sz w:val="18"/>
                <w:szCs w:val="18"/>
                <w:color w:val="auto"/>
                <w:w w:val="97"/>
              </w:rPr>
              <w:t>2,693,300</w:t>
            </w:r>
          </w:p>
        </w:tc>
      </w:tr>
      <w:tr>
        <w:trPr>
          <w:trHeight w:val="227"/>
        </w:trPr>
        <w:tc>
          <w:tcPr>
            <w:tcW w:w="3900" w:type="dxa"/>
            <w:vAlign w:val="bottom"/>
            <w:shd w:val="clear" w:color="auto" w:fill="E5E5E5"/>
          </w:tcPr>
          <w:p>
            <w:pPr>
              <w:ind w:left="80"/>
              <w:spacing w:after="0"/>
              <w:rPr>
                <w:sz w:val="20"/>
                <w:szCs w:val="20"/>
                <w:color w:val="auto"/>
              </w:rPr>
            </w:pPr>
            <w:r>
              <w:rPr>
                <w:rFonts w:ascii="Arial" w:cs="Arial" w:eastAsia="Arial" w:hAnsi="Arial"/>
                <w:sz w:val="18"/>
                <w:szCs w:val="18"/>
                <w:color w:val="auto"/>
              </w:rPr>
              <w:t>CEO</w:t>
            </w:r>
          </w:p>
        </w:tc>
        <w:tc>
          <w:tcPr>
            <w:tcW w:w="360" w:type="dxa"/>
            <w:vAlign w:val="bottom"/>
            <w:shd w:val="clear" w:color="auto" w:fill="E5E5E5"/>
          </w:tcPr>
          <w:p>
            <w:pPr>
              <w:spacing w:after="0"/>
              <w:rPr>
                <w:sz w:val="19"/>
                <w:szCs w:val="19"/>
                <w:color w:val="auto"/>
              </w:rPr>
            </w:pPr>
          </w:p>
        </w:tc>
        <w:tc>
          <w:tcPr>
            <w:tcW w:w="1040" w:type="dxa"/>
            <w:vAlign w:val="bottom"/>
            <w:shd w:val="clear" w:color="auto" w:fill="E5E5E5"/>
          </w:tcPr>
          <w:p>
            <w:pPr>
              <w:spacing w:after="0"/>
              <w:rPr>
                <w:sz w:val="19"/>
                <w:szCs w:val="19"/>
                <w:color w:val="auto"/>
              </w:rPr>
            </w:pPr>
          </w:p>
        </w:tc>
        <w:tc>
          <w:tcPr>
            <w:tcW w:w="1580" w:type="dxa"/>
            <w:vAlign w:val="bottom"/>
            <w:shd w:val="clear" w:color="auto" w:fill="E5E5E5"/>
          </w:tcPr>
          <w:p>
            <w:pPr>
              <w:spacing w:after="0"/>
              <w:rPr>
                <w:sz w:val="19"/>
                <w:szCs w:val="19"/>
                <w:color w:val="auto"/>
              </w:rPr>
            </w:pPr>
          </w:p>
        </w:tc>
        <w:tc>
          <w:tcPr>
            <w:tcW w:w="1640" w:type="dxa"/>
            <w:vAlign w:val="bottom"/>
            <w:shd w:val="clear" w:color="auto" w:fill="E5E5E5"/>
          </w:tcPr>
          <w:p>
            <w:pPr>
              <w:spacing w:after="0"/>
              <w:rPr>
                <w:sz w:val="19"/>
                <w:szCs w:val="19"/>
                <w:color w:val="auto"/>
              </w:rPr>
            </w:pPr>
          </w:p>
        </w:tc>
        <w:tc>
          <w:tcPr>
            <w:tcW w:w="1360" w:type="dxa"/>
            <w:vAlign w:val="bottom"/>
            <w:shd w:val="clear" w:color="auto" w:fill="E5E5E5"/>
          </w:tcPr>
          <w:p>
            <w:pPr>
              <w:spacing w:after="0"/>
              <w:rPr>
                <w:sz w:val="19"/>
                <w:szCs w:val="19"/>
                <w:color w:val="auto"/>
              </w:rPr>
            </w:pPr>
          </w:p>
        </w:tc>
        <w:tc>
          <w:tcPr>
            <w:tcW w:w="980" w:type="dxa"/>
            <w:vAlign w:val="bottom"/>
            <w:shd w:val="clear" w:color="auto" w:fill="E5E5E5"/>
          </w:tcPr>
          <w:p>
            <w:pPr>
              <w:spacing w:after="0"/>
              <w:rPr>
                <w:sz w:val="19"/>
                <w:szCs w:val="19"/>
                <w:color w:val="auto"/>
              </w:rPr>
            </w:pPr>
          </w:p>
        </w:tc>
      </w:tr>
      <w:tr>
        <w:trPr>
          <w:trHeight w:val="239"/>
        </w:trPr>
        <w:tc>
          <w:tcPr>
            <w:tcW w:w="3900" w:type="dxa"/>
            <w:vAlign w:val="bottom"/>
          </w:tcPr>
          <w:p>
            <w:pPr>
              <w:ind w:left="80"/>
              <w:spacing w:after="0"/>
              <w:rPr>
                <w:sz w:val="20"/>
                <w:szCs w:val="20"/>
                <w:color w:val="auto"/>
              </w:rPr>
            </w:pPr>
            <w:r>
              <w:rPr>
                <w:rFonts w:ascii="Arial" w:cs="Arial" w:eastAsia="Arial" w:hAnsi="Arial"/>
                <w:sz w:val="18"/>
                <w:szCs w:val="18"/>
                <w:b w:val="1"/>
                <w:bCs w:val="1"/>
                <w:color w:val="007549"/>
              </w:rPr>
              <w:t>Hill, Gregory P.</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6"/>
              <w:spacing w:after="0"/>
              <w:rPr>
                <w:sz w:val="20"/>
                <w:szCs w:val="20"/>
                <w:color w:val="auto"/>
              </w:rPr>
            </w:pPr>
            <w:r>
              <w:rPr>
                <w:rFonts w:ascii="Arial" w:cs="Arial" w:eastAsia="Arial" w:hAnsi="Arial"/>
                <w:sz w:val="18"/>
                <w:szCs w:val="18"/>
                <w:color w:val="auto"/>
                <w:w w:val="97"/>
              </w:rPr>
              <w:t>1,430,000</w:t>
            </w:r>
          </w:p>
        </w:tc>
        <w:tc>
          <w:tcPr>
            <w:tcW w:w="1580" w:type="dxa"/>
            <w:vAlign w:val="bottom"/>
          </w:tcPr>
          <w:p>
            <w:pPr>
              <w:jc w:val="center"/>
              <w:spacing w:after="0"/>
              <w:rPr>
                <w:sz w:val="20"/>
                <w:szCs w:val="20"/>
                <w:color w:val="auto"/>
              </w:rPr>
            </w:pPr>
            <w:r>
              <w:rPr>
                <w:rFonts w:ascii="Arial" w:cs="Arial" w:eastAsia="Arial" w:hAnsi="Arial"/>
                <w:sz w:val="18"/>
                <w:szCs w:val="18"/>
                <w:color w:val="auto"/>
                <w:w w:val="98"/>
              </w:rPr>
              <w:t>119.7%</w:t>
            </w:r>
          </w:p>
        </w:tc>
        <w:tc>
          <w:tcPr>
            <w:tcW w:w="1640" w:type="dxa"/>
            <w:vAlign w:val="bottom"/>
          </w:tcPr>
          <w:p>
            <w:pPr>
              <w:ind w:left="260"/>
              <w:spacing w:after="0"/>
              <w:rPr>
                <w:sz w:val="20"/>
                <w:szCs w:val="20"/>
                <w:color w:val="auto"/>
              </w:rPr>
            </w:pPr>
            <w:r>
              <w:rPr>
                <w:rFonts w:ascii="Arial" w:cs="Arial" w:eastAsia="Arial" w:hAnsi="Arial"/>
                <w:sz w:val="18"/>
                <w:szCs w:val="18"/>
                <w:color w:val="auto"/>
              </w:rPr>
              <w:t>No adjustment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8"/>
              <w:spacing w:after="0"/>
              <w:rPr>
                <w:sz w:val="20"/>
                <w:szCs w:val="20"/>
                <w:color w:val="auto"/>
              </w:rPr>
            </w:pPr>
            <w:r>
              <w:rPr>
                <w:rFonts w:ascii="Arial" w:cs="Arial" w:eastAsia="Arial" w:hAnsi="Arial"/>
                <w:sz w:val="18"/>
                <w:szCs w:val="18"/>
                <w:color w:val="auto"/>
                <w:w w:val="97"/>
              </w:rPr>
              <w:t>1,711,700</w:t>
            </w:r>
          </w:p>
        </w:tc>
      </w:tr>
      <w:tr>
        <w:trPr>
          <w:trHeight w:val="220"/>
        </w:trPr>
        <w:tc>
          <w:tcPr>
            <w:tcW w:w="3900" w:type="dxa"/>
            <w:vAlign w:val="bottom"/>
          </w:tcPr>
          <w:p>
            <w:pPr>
              <w:ind w:left="80"/>
              <w:spacing w:after="0"/>
              <w:rPr>
                <w:sz w:val="20"/>
                <w:szCs w:val="20"/>
                <w:color w:val="auto"/>
              </w:rPr>
            </w:pPr>
            <w:r>
              <w:rPr>
                <w:rFonts w:ascii="Arial" w:cs="Arial" w:eastAsia="Arial" w:hAnsi="Arial"/>
                <w:sz w:val="18"/>
                <w:szCs w:val="18"/>
                <w:color w:val="auto"/>
              </w:rPr>
              <w:t>COO &amp; President of E&amp;P</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6"/>
        </w:trPr>
        <w:tc>
          <w:tcPr>
            <w:tcW w:w="3900" w:type="dxa"/>
            <w:vAlign w:val="bottom"/>
            <w:shd w:val="clear" w:color="auto" w:fill="E5E5E5"/>
          </w:tcPr>
          <w:p>
            <w:pPr>
              <w:ind w:left="80"/>
              <w:spacing w:after="0"/>
              <w:rPr>
                <w:sz w:val="20"/>
                <w:szCs w:val="20"/>
                <w:color w:val="auto"/>
              </w:rPr>
            </w:pPr>
            <w:r>
              <w:rPr>
                <w:rFonts w:ascii="Arial" w:cs="Arial" w:eastAsia="Arial" w:hAnsi="Arial"/>
                <w:sz w:val="18"/>
                <w:szCs w:val="18"/>
                <w:b w:val="1"/>
                <w:bCs w:val="1"/>
                <w:color w:val="007549"/>
              </w:rPr>
              <w:t>Goodell, Timothy B.</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700,000</w:t>
            </w:r>
          </w:p>
        </w:tc>
        <w:tc>
          <w:tcPr>
            <w:tcW w:w="158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8"/>
              </w:rPr>
              <w:t>119.7%</w:t>
            </w:r>
          </w:p>
        </w:tc>
        <w:tc>
          <w:tcPr>
            <w:tcW w:w="1640" w:type="dxa"/>
            <w:vAlign w:val="bottom"/>
            <w:shd w:val="clear" w:color="auto" w:fill="E5E5E5"/>
          </w:tcPr>
          <w:p>
            <w:pPr>
              <w:ind w:left="260"/>
              <w:spacing w:after="0"/>
              <w:rPr>
                <w:sz w:val="20"/>
                <w:szCs w:val="20"/>
                <w:color w:val="auto"/>
              </w:rPr>
            </w:pPr>
            <w:r>
              <w:rPr>
                <w:rFonts w:ascii="Arial" w:cs="Arial" w:eastAsia="Arial" w:hAnsi="Arial"/>
                <w:sz w:val="18"/>
                <w:szCs w:val="18"/>
                <w:color w:val="auto"/>
              </w:rPr>
              <w:t>No adjustment</w:t>
            </w:r>
          </w:p>
        </w:tc>
        <w:tc>
          <w:tcPr>
            <w:tcW w:w="1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ind w:right="98"/>
              <w:spacing w:after="0"/>
              <w:rPr>
                <w:sz w:val="20"/>
                <w:szCs w:val="20"/>
                <w:color w:val="auto"/>
              </w:rPr>
            </w:pPr>
            <w:r>
              <w:rPr>
                <w:rFonts w:ascii="Arial" w:cs="Arial" w:eastAsia="Arial" w:hAnsi="Arial"/>
                <w:sz w:val="18"/>
                <w:szCs w:val="18"/>
                <w:color w:val="auto"/>
              </w:rPr>
              <w:t>837,900</w:t>
            </w:r>
          </w:p>
        </w:tc>
      </w:tr>
      <w:tr>
        <w:trPr>
          <w:trHeight w:val="227"/>
        </w:trPr>
        <w:tc>
          <w:tcPr>
            <w:tcW w:w="3900" w:type="dxa"/>
            <w:vAlign w:val="bottom"/>
            <w:shd w:val="clear" w:color="auto" w:fill="E5E5E5"/>
          </w:tcPr>
          <w:p>
            <w:pPr>
              <w:ind w:left="80"/>
              <w:spacing w:after="0"/>
              <w:rPr>
                <w:sz w:val="20"/>
                <w:szCs w:val="20"/>
                <w:color w:val="auto"/>
              </w:rPr>
            </w:pPr>
            <w:r>
              <w:rPr>
                <w:rFonts w:ascii="Arial" w:cs="Arial" w:eastAsia="Arial" w:hAnsi="Arial"/>
                <w:sz w:val="18"/>
                <w:szCs w:val="18"/>
                <w:color w:val="auto"/>
              </w:rPr>
              <w:t>SVP, General Counsel &amp; Corporate Secretary</w:t>
            </w:r>
          </w:p>
        </w:tc>
        <w:tc>
          <w:tcPr>
            <w:tcW w:w="360" w:type="dxa"/>
            <w:vAlign w:val="bottom"/>
            <w:shd w:val="clear" w:color="auto" w:fill="E5E5E5"/>
          </w:tcPr>
          <w:p>
            <w:pPr>
              <w:spacing w:after="0"/>
              <w:rPr>
                <w:sz w:val="19"/>
                <w:szCs w:val="19"/>
                <w:color w:val="auto"/>
              </w:rPr>
            </w:pPr>
          </w:p>
        </w:tc>
        <w:tc>
          <w:tcPr>
            <w:tcW w:w="1040" w:type="dxa"/>
            <w:vAlign w:val="bottom"/>
            <w:shd w:val="clear" w:color="auto" w:fill="E5E5E5"/>
          </w:tcPr>
          <w:p>
            <w:pPr>
              <w:spacing w:after="0"/>
              <w:rPr>
                <w:sz w:val="19"/>
                <w:szCs w:val="19"/>
                <w:color w:val="auto"/>
              </w:rPr>
            </w:pPr>
          </w:p>
        </w:tc>
        <w:tc>
          <w:tcPr>
            <w:tcW w:w="1580" w:type="dxa"/>
            <w:vAlign w:val="bottom"/>
            <w:shd w:val="clear" w:color="auto" w:fill="E5E5E5"/>
          </w:tcPr>
          <w:p>
            <w:pPr>
              <w:spacing w:after="0"/>
              <w:rPr>
                <w:sz w:val="19"/>
                <w:szCs w:val="19"/>
                <w:color w:val="auto"/>
              </w:rPr>
            </w:pPr>
          </w:p>
        </w:tc>
        <w:tc>
          <w:tcPr>
            <w:tcW w:w="1640" w:type="dxa"/>
            <w:vAlign w:val="bottom"/>
            <w:shd w:val="clear" w:color="auto" w:fill="E5E5E5"/>
          </w:tcPr>
          <w:p>
            <w:pPr>
              <w:spacing w:after="0"/>
              <w:rPr>
                <w:sz w:val="19"/>
                <w:szCs w:val="19"/>
                <w:color w:val="auto"/>
              </w:rPr>
            </w:pPr>
          </w:p>
        </w:tc>
        <w:tc>
          <w:tcPr>
            <w:tcW w:w="1360" w:type="dxa"/>
            <w:vAlign w:val="bottom"/>
            <w:shd w:val="clear" w:color="auto" w:fill="E5E5E5"/>
          </w:tcPr>
          <w:p>
            <w:pPr>
              <w:spacing w:after="0"/>
              <w:rPr>
                <w:sz w:val="19"/>
                <w:szCs w:val="19"/>
                <w:color w:val="auto"/>
              </w:rPr>
            </w:pPr>
          </w:p>
        </w:tc>
        <w:tc>
          <w:tcPr>
            <w:tcW w:w="980" w:type="dxa"/>
            <w:vAlign w:val="bottom"/>
            <w:shd w:val="clear" w:color="auto" w:fill="E5E5E5"/>
          </w:tcPr>
          <w:p>
            <w:pPr>
              <w:spacing w:after="0"/>
              <w:rPr>
                <w:sz w:val="19"/>
                <w:szCs w:val="19"/>
                <w:color w:val="auto"/>
              </w:rPr>
            </w:pPr>
          </w:p>
        </w:tc>
      </w:tr>
      <w:tr>
        <w:trPr>
          <w:trHeight w:val="239"/>
        </w:trPr>
        <w:tc>
          <w:tcPr>
            <w:tcW w:w="3900" w:type="dxa"/>
            <w:vAlign w:val="bottom"/>
          </w:tcPr>
          <w:p>
            <w:pPr>
              <w:ind w:left="80"/>
              <w:spacing w:after="0"/>
              <w:rPr>
                <w:sz w:val="20"/>
                <w:szCs w:val="20"/>
                <w:color w:val="auto"/>
              </w:rPr>
            </w:pPr>
            <w:r>
              <w:rPr>
                <w:rFonts w:ascii="Arial" w:cs="Arial" w:eastAsia="Arial" w:hAnsi="Arial"/>
                <w:sz w:val="18"/>
                <w:szCs w:val="18"/>
                <w:b w:val="1"/>
                <w:bCs w:val="1"/>
                <w:color w:val="007549"/>
              </w:rPr>
              <w:t>Rielly, John P.</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6"/>
              <w:spacing w:after="0"/>
              <w:rPr>
                <w:sz w:val="20"/>
                <w:szCs w:val="20"/>
                <w:color w:val="auto"/>
              </w:rPr>
            </w:pPr>
            <w:r>
              <w:rPr>
                <w:rFonts w:ascii="Arial" w:cs="Arial" w:eastAsia="Arial" w:hAnsi="Arial"/>
                <w:sz w:val="18"/>
                <w:szCs w:val="18"/>
                <w:color w:val="auto"/>
              </w:rPr>
              <w:t>700,000</w:t>
            </w:r>
          </w:p>
        </w:tc>
        <w:tc>
          <w:tcPr>
            <w:tcW w:w="1580" w:type="dxa"/>
            <w:vAlign w:val="bottom"/>
          </w:tcPr>
          <w:p>
            <w:pPr>
              <w:jc w:val="center"/>
              <w:spacing w:after="0"/>
              <w:rPr>
                <w:sz w:val="20"/>
                <w:szCs w:val="20"/>
                <w:color w:val="auto"/>
              </w:rPr>
            </w:pPr>
            <w:r>
              <w:rPr>
                <w:rFonts w:ascii="Arial" w:cs="Arial" w:eastAsia="Arial" w:hAnsi="Arial"/>
                <w:sz w:val="18"/>
                <w:szCs w:val="18"/>
                <w:color w:val="auto"/>
                <w:w w:val="98"/>
              </w:rPr>
              <w:t>119.7%</w:t>
            </w:r>
          </w:p>
        </w:tc>
        <w:tc>
          <w:tcPr>
            <w:tcW w:w="1640" w:type="dxa"/>
            <w:vAlign w:val="bottom"/>
          </w:tcPr>
          <w:p>
            <w:pPr>
              <w:ind w:left="260"/>
              <w:spacing w:after="0"/>
              <w:rPr>
                <w:sz w:val="20"/>
                <w:szCs w:val="20"/>
                <w:color w:val="auto"/>
              </w:rPr>
            </w:pPr>
            <w:r>
              <w:rPr>
                <w:rFonts w:ascii="Arial" w:cs="Arial" w:eastAsia="Arial" w:hAnsi="Arial"/>
                <w:sz w:val="18"/>
                <w:szCs w:val="18"/>
                <w:color w:val="auto"/>
              </w:rPr>
              <w:t>No adjustment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8"/>
              <w:spacing w:after="0"/>
              <w:rPr>
                <w:sz w:val="20"/>
                <w:szCs w:val="20"/>
                <w:color w:val="auto"/>
              </w:rPr>
            </w:pPr>
            <w:r>
              <w:rPr>
                <w:rFonts w:ascii="Arial" w:cs="Arial" w:eastAsia="Arial" w:hAnsi="Arial"/>
                <w:sz w:val="18"/>
                <w:szCs w:val="18"/>
                <w:color w:val="auto"/>
              </w:rPr>
              <w:t>837,900</w:t>
            </w:r>
          </w:p>
        </w:tc>
      </w:tr>
      <w:tr>
        <w:trPr>
          <w:trHeight w:val="220"/>
        </w:trPr>
        <w:tc>
          <w:tcPr>
            <w:tcW w:w="3900" w:type="dxa"/>
            <w:vAlign w:val="bottom"/>
          </w:tcPr>
          <w:p>
            <w:pPr>
              <w:ind w:left="80"/>
              <w:spacing w:after="0"/>
              <w:rPr>
                <w:sz w:val="20"/>
                <w:szCs w:val="20"/>
                <w:color w:val="auto"/>
              </w:rPr>
            </w:pPr>
            <w:r>
              <w:rPr>
                <w:rFonts w:ascii="Arial" w:cs="Arial" w:eastAsia="Arial" w:hAnsi="Arial"/>
                <w:sz w:val="18"/>
                <w:szCs w:val="18"/>
                <w:color w:val="auto"/>
              </w:rPr>
              <w:t>SVP &amp; Chief Financial Officer</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6"/>
        </w:trPr>
        <w:tc>
          <w:tcPr>
            <w:tcW w:w="3900" w:type="dxa"/>
            <w:vAlign w:val="bottom"/>
            <w:shd w:val="clear" w:color="auto" w:fill="E5E5E5"/>
          </w:tcPr>
          <w:p>
            <w:pPr>
              <w:ind w:left="80"/>
              <w:spacing w:after="0"/>
              <w:rPr>
                <w:sz w:val="20"/>
                <w:szCs w:val="20"/>
                <w:color w:val="auto"/>
              </w:rPr>
            </w:pPr>
            <w:r>
              <w:rPr>
                <w:rFonts w:ascii="Arial" w:cs="Arial" w:eastAsia="Arial" w:hAnsi="Arial"/>
                <w:sz w:val="18"/>
                <w:szCs w:val="18"/>
                <w:b w:val="1"/>
                <w:bCs w:val="1"/>
                <w:color w:val="007549"/>
              </w:rPr>
              <w:t>Turner, Michael R.</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375,000</w:t>
            </w:r>
          </w:p>
        </w:tc>
        <w:tc>
          <w:tcPr>
            <w:tcW w:w="158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8"/>
              </w:rPr>
              <w:t>119.7%</w:t>
            </w:r>
          </w:p>
        </w:tc>
        <w:tc>
          <w:tcPr>
            <w:tcW w:w="1640" w:type="dxa"/>
            <w:vAlign w:val="bottom"/>
            <w:shd w:val="clear" w:color="auto" w:fill="E5E5E5"/>
          </w:tcPr>
          <w:p>
            <w:pPr>
              <w:ind w:left="260"/>
              <w:spacing w:after="0"/>
              <w:rPr>
                <w:sz w:val="20"/>
                <w:szCs w:val="20"/>
                <w:color w:val="auto"/>
              </w:rPr>
            </w:pPr>
            <w:r>
              <w:rPr>
                <w:rFonts w:ascii="Arial" w:cs="Arial" w:eastAsia="Arial" w:hAnsi="Arial"/>
                <w:sz w:val="18"/>
                <w:szCs w:val="18"/>
                <w:color w:val="auto"/>
              </w:rPr>
              <w:t>No adjustment</w:t>
            </w:r>
          </w:p>
        </w:tc>
        <w:tc>
          <w:tcPr>
            <w:tcW w:w="1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ind w:right="98"/>
              <w:spacing w:after="0"/>
              <w:rPr>
                <w:sz w:val="20"/>
                <w:szCs w:val="20"/>
                <w:color w:val="auto"/>
              </w:rPr>
            </w:pPr>
            <w:r>
              <w:rPr>
                <w:rFonts w:ascii="Arial" w:cs="Arial" w:eastAsia="Arial" w:hAnsi="Arial"/>
                <w:sz w:val="18"/>
                <w:szCs w:val="18"/>
                <w:color w:val="auto"/>
              </w:rPr>
              <w:t>448,900</w:t>
            </w:r>
          </w:p>
        </w:tc>
      </w:tr>
      <w:tr>
        <w:trPr>
          <w:trHeight w:val="220"/>
        </w:trPr>
        <w:tc>
          <w:tcPr>
            <w:tcW w:w="3900" w:type="dxa"/>
            <w:vAlign w:val="bottom"/>
            <w:tcBorders>
              <w:bottom w:val="single" w:sz="8" w:color="007549"/>
            </w:tcBorders>
            <w:shd w:val="clear" w:color="auto" w:fill="E5E5E5"/>
          </w:tcPr>
          <w:p>
            <w:pPr>
              <w:ind w:left="80"/>
              <w:spacing w:after="0"/>
              <w:rPr>
                <w:sz w:val="20"/>
                <w:szCs w:val="20"/>
                <w:color w:val="auto"/>
              </w:rPr>
            </w:pPr>
            <w:r>
              <w:rPr>
                <w:rFonts w:ascii="Arial" w:cs="Arial" w:eastAsia="Arial" w:hAnsi="Arial"/>
                <w:sz w:val="18"/>
                <w:szCs w:val="18"/>
                <w:color w:val="auto"/>
              </w:rPr>
              <w:t>SVP, Global Production</w:t>
            </w:r>
          </w:p>
        </w:tc>
        <w:tc>
          <w:tcPr>
            <w:tcW w:w="360" w:type="dxa"/>
            <w:vAlign w:val="bottom"/>
            <w:tcBorders>
              <w:bottom w:val="single" w:sz="8" w:color="007549"/>
            </w:tcBorders>
            <w:shd w:val="clear" w:color="auto" w:fill="E5E5E5"/>
          </w:tcPr>
          <w:p>
            <w:pPr>
              <w:spacing w:after="0"/>
              <w:rPr>
                <w:sz w:val="19"/>
                <w:szCs w:val="19"/>
                <w:color w:val="auto"/>
              </w:rPr>
            </w:pPr>
          </w:p>
        </w:tc>
        <w:tc>
          <w:tcPr>
            <w:tcW w:w="1040" w:type="dxa"/>
            <w:vAlign w:val="bottom"/>
            <w:tcBorders>
              <w:bottom w:val="single" w:sz="8" w:color="007549"/>
            </w:tcBorders>
            <w:shd w:val="clear" w:color="auto" w:fill="E5E5E5"/>
          </w:tcPr>
          <w:p>
            <w:pPr>
              <w:spacing w:after="0"/>
              <w:rPr>
                <w:sz w:val="19"/>
                <w:szCs w:val="19"/>
                <w:color w:val="auto"/>
              </w:rPr>
            </w:pPr>
          </w:p>
        </w:tc>
        <w:tc>
          <w:tcPr>
            <w:tcW w:w="1580" w:type="dxa"/>
            <w:vAlign w:val="bottom"/>
            <w:tcBorders>
              <w:bottom w:val="single" w:sz="8" w:color="007549"/>
            </w:tcBorders>
            <w:shd w:val="clear" w:color="auto" w:fill="E5E5E5"/>
          </w:tcPr>
          <w:p>
            <w:pPr>
              <w:spacing w:after="0"/>
              <w:rPr>
                <w:sz w:val="19"/>
                <w:szCs w:val="19"/>
                <w:color w:val="auto"/>
              </w:rPr>
            </w:pPr>
          </w:p>
        </w:tc>
        <w:tc>
          <w:tcPr>
            <w:tcW w:w="1640" w:type="dxa"/>
            <w:vAlign w:val="bottom"/>
            <w:tcBorders>
              <w:bottom w:val="single" w:sz="8" w:color="007549"/>
            </w:tcBorders>
            <w:shd w:val="clear" w:color="auto" w:fill="E5E5E5"/>
          </w:tcPr>
          <w:p>
            <w:pPr>
              <w:spacing w:after="0"/>
              <w:rPr>
                <w:sz w:val="19"/>
                <w:szCs w:val="19"/>
                <w:color w:val="auto"/>
              </w:rPr>
            </w:pPr>
          </w:p>
        </w:tc>
        <w:tc>
          <w:tcPr>
            <w:tcW w:w="1360" w:type="dxa"/>
            <w:vAlign w:val="bottom"/>
            <w:tcBorders>
              <w:bottom w:val="single" w:sz="8" w:color="007549"/>
            </w:tcBorders>
            <w:shd w:val="clear" w:color="auto" w:fill="E5E5E5"/>
          </w:tcPr>
          <w:p>
            <w:pPr>
              <w:spacing w:after="0"/>
              <w:rPr>
                <w:sz w:val="19"/>
                <w:szCs w:val="19"/>
                <w:color w:val="auto"/>
              </w:rPr>
            </w:pPr>
          </w:p>
        </w:tc>
        <w:tc>
          <w:tcPr>
            <w:tcW w:w="980" w:type="dxa"/>
            <w:vAlign w:val="bottom"/>
            <w:tcBorders>
              <w:bottom w:val="single" w:sz="8" w:color="007549"/>
            </w:tcBorders>
            <w:shd w:val="clear" w:color="auto" w:fill="E5E5E5"/>
          </w:tcPr>
          <w:p>
            <w:pPr>
              <w:spacing w:after="0"/>
              <w:rPr>
                <w:sz w:val="19"/>
                <w:szCs w:val="19"/>
                <w:color w:val="auto"/>
              </w:rPr>
            </w:pPr>
          </w:p>
        </w:tc>
      </w:tr>
    </w:tbl>
    <w:p>
      <w:pPr>
        <w:spacing w:after="0" w:line="163" w:lineRule="exact"/>
        <w:rPr>
          <w:sz w:val="20"/>
          <w:szCs w:val="20"/>
          <w:color w:val="auto"/>
        </w:rPr>
      </w:pPr>
    </w:p>
    <w:p>
      <w:pPr>
        <w:jc w:val="both"/>
        <w:ind w:left="280"/>
        <w:spacing w:after="0" w:line="247" w:lineRule="auto"/>
        <w:rPr>
          <w:sz w:val="20"/>
          <w:szCs w:val="20"/>
          <w:color w:val="auto"/>
        </w:rPr>
      </w:pPr>
      <w:r>
        <w:rPr>
          <w:rFonts w:ascii="Arial" w:cs="Arial" w:eastAsia="Arial" w:hAnsi="Arial"/>
          <w:sz w:val="18"/>
          <w:szCs w:val="18"/>
          <w:b w:val="1"/>
          <w:bCs w:val="1"/>
          <w:i w:val="1"/>
          <w:iCs w:val="1"/>
          <w:color w:val="007549"/>
        </w:rPr>
        <w:t xml:space="preserve">Rigorous Target Setting for Enterprise Performance Metrics. </w:t>
      </w:r>
      <w:r>
        <w:rPr>
          <w:rFonts w:ascii="Arial" w:cs="Arial" w:eastAsia="Arial" w:hAnsi="Arial"/>
          <w:sz w:val="18"/>
          <w:szCs w:val="18"/>
          <w:color w:val="000000"/>
        </w:rPr>
        <w:t>The committee follows a rigorous target setting process each year to</w:t>
      </w:r>
      <w:r>
        <w:rPr>
          <w:rFonts w:ascii="Arial" w:cs="Arial" w:eastAsia="Arial" w:hAnsi="Arial"/>
          <w:sz w:val="18"/>
          <w:szCs w:val="18"/>
          <w:b w:val="1"/>
          <w:bCs w:val="1"/>
          <w:i w:val="1"/>
          <w:iCs w:val="1"/>
          <w:color w:val="007549"/>
        </w:rPr>
        <w:t xml:space="preserve"> </w:t>
      </w:r>
      <w:r>
        <w:rPr>
          <w:rFonts w:ascii="Arial" w:cs="Arial" w:eastAsia="Arial" w:hAnsi="Arial"/>
          <w:sz w:val="18"/>
          <w:szCs w:val="18"/>
          <w:color w:val="000000"/>
        </w:rPr>
        <w:t>ensure the annual incentive plan includes challenging, yet attainable targets for executives. The enterprise metrics are selected each year to reflect the core operating functions of our management team through the business cycle.</w:t>
      </w:r>
    </w:p>
    <w:p>
      <w:pPr>
        <w:spacing w:after="0" w:line="155" w:lineRule="exact"/>
        <w:rPr>
          <w:sz w:val="20"/>
          <w:szCs w:val="20"/>
          <w:color w:val="auto"/>
        </w:rPr>
      </w:pPr>
    </w:p>
    <w:p>
      <w:pPr>
        <w:jc w:val="both"/>
        <w:ind w:left="280"/>
        <w:spacing w:after="0" w:line="234" w:lineRule="auto"/>
        <w:rPr>
          <w:sz w:val="20"/>
          <w:szCs w:val="20"/>
          <w:color w:val="auto"/>
        </w:rPr>
      </w:pPr>
      <w:r>
        <w:rPr>
          <w:rFonts w:ascii="Arial" w:cs="Arial" w:eastAsia="Arial" w:hAnsi="Arial"/>
          <w:sz w:val="18"/>
          <w:szCs w:val="18"/>
          <w:color w:val="auto"/>
        </w:rPr>
        <w:t>The transformation of our portfolio over the last several years, and more recently our significant divestments, are considered among other factors when setting targets. Given the challenges of the broader industry environment and the evolution of our portfolio, comparing changes in target levels on a year-over-year basis is not representative of the level of difficulty in achieving these targets. The committee relied on a thorough process and believes that targets for 2017 were set with sufficient rigor to create the proper incentives for the executive team for each of the enterprise 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1820545</wp:posOffset>
            </wp:positionH>
            <wp:positionV relativeFrom="paragraph">
              <wp:posOffset>86360</wp:posOffset>
            </wp:positionV>
            <wp:extent cx="405765" cy="2451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216" w:lineRule="exact"/>
        <w:rPr>
          <w:sz w:val="20"/>
          <w:szCs w:val="20"/>
          <w:color w:val="auto"/>
        </w:rPr>
      </w:pPr>
    </w:p>
    <w:p>
      <w:pPr>
        <w:ind w:left="760" w:hanging="474"/>
        <w:spacing w:after="0"/>
        <w:tabs>
          <w:tab w:leader="none" w:pos="760" w:val="left"/>
        </w:tabs>
        <w:numPr>
          <w:ilvl w:val="0"/>
          <w:numId w:val="51"/>
        </w:numPr>
        <w:rPr>
          <w:rFonts w:ascii="Arial" w:cs="Arial" w:eastAsia="Arial" w:hAnsi="Arial"/>
          <w:sz w:val="14"/>
          <w:szCs w:val="14"/>
          <w:b w:val="1"/>
          <w:bCs w:val="1"/>
          <w:color w:val="007549"/>
        </w:rPr>
      </w:pPr>
      <w:r>
        <w:rPr>
          <w:rFonts w:ascii="Arial" w:cs="Arial" w:eastAsia="Arial" w:hAnsi="Arial"/>
          <w:sz w:val="12"/>
          <w:szCs w:val="12"/>
          <w:b w:val="1"/>
          <w:bCs w:val="1"/>
          <w:color w:val="666666"/>
        </w:rPr>
        <w:t>2018 PROXY STATEMENT</w:t>
      </w:r>
    </w:p>
    <w:p>
      <w:pPr>
        <w:sectPr>
          <w:pgSz w:w="11900" w:h="16838" w:orient="portrait"/>
          <w:cols w:equalWidth="0" w:num="1">
            <w:col w:w="11140"/>
          </w:cols>
          <w:pgMar w:left="240" w:top="454" w:right="51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6020"/>
        <w:spacing w:after="0"/>
        <w:rPr>
          <w:sz w:val="20"/>
          <w:szCs w:val="20"/>
          <w:color w:val="auto"/>
        </w:rPr>
      </w:pPr>
      <w:r>
        <w:rPr>
          <w:rFonts w:ascii="Arial" w:cs="Arial" w:eastAsia="Arial" w:hAnsi="Arial"/>
          <w:sz w:val="16"/>
          <w:szCs w:val="16"/>
          <w:b w:val="1"/>
          <w:bCs w:val="1"/>
          <w:color w:val="007549"/>
        </w:rPr>
        <w:t xml:space="preserve">Executive Compensation </w:t>
      </w:r>
      <w:r>
        <w:rPr>
          <w:rFonts w:ascii="Arial" w:cs="Arial" w:eastAsia="Arial" w:hAnsi="Arial"/>
          <w:sz w:val="16"/>
          <w:szCs w:val="16"/>
          <w:b w:val="1"/>
          <w:bCs w:val="1"/>
          <w:color w:val="000000"/>
        </w:rPr>
        <w:t>+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55245</wp:posOffset>
            </wp:positionV>
            <wp:extent cx="689356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244"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007549"/>
        </w:rPr>
        <w:t>2017 Enterprise Performance Metrics</w:t>
      </w:r>
      <w:r>
        <w:rPr>
          <w:rFonts w:ascii="Arial" w:cs="Arial" w:eastAsia="Arial" w:hAnsi="Arial"/>
          <w:sz w:val="17"/>
          <w:szCs w:val="17"/>
          <w:color w:val="000000"/>
        </w:rPr>
        <w:t>. The following table details our 2017 goals for enterprise performance metrics and actual results.</w:t>
      </w:r>
    </w:p>
    <w:p>
      <w:pPr>
        <w:spacing w:after="0" w:line="240" w:lineRule="exact"/>
        <w:rPr>
          <w:sz w:val="20"/>
          <w:szCs w:val="20"/>
          <w:color w:val="auto"/>
        </w:rPr>
      </w:pPr>
    </w:p>
    <w:tbl>
      <w:tblPr>
        <w:tblLayout w:type="fixed"/>
        <w:tblInd w:w="280" w:type="dxa"/>
        <w:tblCellMar>
          <w:top w:w="0" w:type="dxa"/>
          <w:left w:w="0" w:type="dxa"/>
          <w:bottom w:w="0" w:type="dxa"/>
          <w:right w:w="0" w:type="dxa"/>
        </w:tblCellMar>
      </w:tblPr>
      <w:tr>
        <w:trPr>
          <w:trHeight w:val="186"/>
        </w:trPr>
        <w:tc>
          <w:tcPr>
            <w:tcW w:w="2100" w:type="dxa"/>
            <w:vAlign w:val="bottom"/>
            <w:shd w:val="clear" w:color="auto" w:fill="007549"/>
          </w:tcPr>
          <w:p>
            <w:pPr>
              <w:spacing w:after="0"/>
              <w:rPr>
                <w:sz w:val="16"/>
                <w:szCs w:val="16"/>
                <w:color w:val="auto"/>
              </w:rPr>
            </w:pPr>
          </w:p>
        </w:tc>
        <w:tc>
          <w:tcPr>
            <w:tcW w:w="180" w:type="dxa"/>
            <w:vAlign w:val="bottom"/>
            <w:shd w:val="clear" w:color="auto" w:fill="007549"/>
          </w:tcPr>
          <w:p>
            <w:pPr>
              <w:spacing w:after="0"/>
              <w:rPr>
                <w:sz w:val="16"/>
                <w:szCs w:val="16"/>
                <w:color w:val="auto"/>
              </w:rPr>
            </w:pPr>
          </w:p>
        </w:tc>
        <w:tc>
          <w:tcPr>
            <w:tcW w:w="4920" w:type="dxa"/>
            <w:vAlign w:val="bottom"/>
            <w:shd w:val="clear" w:color="auto" w:fill="007549"/>
          </w:tcPr>
          <w:p>
            <w:pPr>
              <w:spacing w:after="0"/>
              <w:rPr>
                <w:sz w:val="16"/>
                <w:szCs w:val="16"/>
                <w:color w:val="auto"/>
              </w:rPr>
            </w:pPr>
          </w:p>
        </w:tc>
        <w:tc>
          <w:tcPr>
            <w:tcW w:w="2080" w:type="dxa"/>
            <w:vAlign w:val="bottom"/>
            <w:shd w:val="clear" w:color="auto" w:fill="007549"/>
          </w:tcPr>
          <w:p>
            <w:pPr>
              <w:jc w:val="center"/>
              <w:spacing w:after="0"/>
              <w:rPr>
                <w:sz w:val="20"/>
                <w:szCs w:val="20"/>
                <w:color w:val="auto"/>
              </w:rPr>
            </w:pPr>
            <w:r>
              <w:rPr>
                <w:rFonts w:ascii="Arial" w:cs="Arial" w:eastAsia="Arial" w:hAnsi="Arial"/>
                <w:sz w:val="14"/>
                <w:szCs w:val="14"/>
                <w:b w:val="1"/>
                <w:bCs w:val="1"/>
                <w:color w:val="FFFFFF"/>
              </w:rPr>
              <w:t>2017</w:t>
            </w:r>
          </w:p>
        </w:tc>
        <w:tc>
          <w:tcPr>
            <w:tcW w:w="840" w:type="dxa"/>
            <w:vAlign w:val="bottom"/>
            <w:shd w:val="clear" w:color="auto" w:fill="007549"/>
          </w:tcPr>
          <w:p>
            <w:pPr>
              <w:spacing w:after="0"/>
              <w:rPr>
                <w:sz w:val="16"/>
                <w:szCs w:val="16"/>
                <w:color w:val="auto"/>
              </w:rPr>
            </w:pPr>
          </w:p>
        </w:tc>
        <w:tc>
          <w:tcPr>
            <w:tcW w:w="740" w:type="dxa"/>
            <w:vAlign w:val="bottom"/>
            <w:shd w:val="clear" w:color="auto" w:fill="007549"/>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100" w:type="dxa"/>
            <w:vAlign w:val="bottom"/>
            <w:shd w:val="clear" w:color="auto" w:fill="007549"/>
          </w:tcPr>
          <w:p>
            <w:pPr>
              <w:spacing w:after="0"/>
              <w:rPr>
                <w:sz w:val="13"/>
                <w:szCs w:val="13"/>
                <w:color w:val="auto"/>
              </w:rPr>
            </w:pPr>
          </w:p>
        </w:tc>
        <w:tc>
          <w:tcPr>
            <w:tcW w:w="180" w:type="dxa"/>
            <w:vAlign w:val="bottom"/>
            <w:shd w:val="clear" w:color="auto" w:fill="007549"/>
          </w:tcPr>
          <w:p>
            <w:pPr>
              <w:spacing w:after="0"/>
              <w:rPr>
                <w:sz w:val="13"/>
                <w:szCs w:val="13"/>
                <w:color w:val="auto"/>
              </w:rPr>
            </w:pPr>
          </w:p>
        </w:tc>
        <w:tc>
          <w:tcPr>
            <w:tcW w:w="4920" w:type="dxa"/>
            <w:vAlign w:val="bottom"/>
            <w:shd w:val="clear" w:color="auto" w:fill="007549"/>
          </w:tcPr>
          <w:p>
            <w:pPr>
              <w:spacing w:after="0"/>
              <w:rPr>
                <w:sz w:val="13"/>
                <w:szCs w:val="13"/>
                <w:color w:val="auto"/>
              </w:rPr>
            </w:pPr>
          </w:p>
        </w:tc>
        <w:tc>
          <w:tcPr>
            <w:tcW w:w="2080" w:type="dxa"/>
            <w:vAlign w:val="bottom"/>
            <w:shd w:val="clear" w:color="auto" w:fill="007549"/>
          </w:tcPr>
          <w:p>
            <w:pPr>
              <w:jc w:val="center"/>
              <w:spacing w:after="0" w:line="160" w:lineRule="exact"/>
              <w:rPr>
                <w:sz w:val="20"/>
                <w:szCs w:val="20"/>
                <w:color w:val="auto"/>
              </w:rPr>
            </w:pPr>
            <w:r>
              <w:rPr>
                <w:rFonts w:ascii="Arial" w:cs="Arial" w:eastAsia="Arial" w:hAnsi="Arial"/>
                <w:sz w:val="14"/>
                <w:szCs w:val="14"/>
                <w:b w:val="1"/>
                <w:bCs w:val="1"/>
                <w:color w:val="FFFFFF"/>
                <w:w w:val="99"/>
              </w:rPr>
              <w:t>Threshold /Target/</w:t>
            </w:r>
          </w:p>
        </w:tc>
        <w:tc>
          <w:tcPr>
            <w:tcW w:w="840" w:type="dxa"/>
            <w:vAlign w:val="bottom"/>
            <w:shd w:val="clear" w:color="auto" w:fill="007549"/>
          </w:tcPr>
          <w:p>
            <w:pPr>
              <w:jc w:val="right"/>
              <w:ind w:right="169"/>
              <w:spacing w:after="0" w:line="160" w:lineRule="exact"/>
              <w:rPr>
                <w:sz w:val="20"/>
                <w:szCs w:val="20"/>
                <w:color w:val="auto"/>
              </w:rPr>
            </w:pPr>
            <w:r>
              <w:rPr>
                <w:rFonts w:ascii="Arial" w:cs="Arial" w:eastAsia="Arial" w:hAnsi="Arial"/>
                <w:sz w:val="14"/>
                <w:szCs w:val="14"/>
                <w:b w:val="1"/>
                <w:bCs w:val="1"/>
                <w:color w:val="FFFFFF"/>
              </w:rPr>
              <w:t>2017</w:t>
            </w:r>
          </w:p>
        </w:tc>
        <w:tc>
          <w:tcPr>
            <w:tcW w:w="740" w:type="dxa"/>
            <w:vAlign w:val="bottom"/>
            <w:shd w:val="clear" w:color="auto" w:fill="007549"/>
          </w:tcPr>
          <w:p>
            <w:pPr>
              <w:jc w:val="right"/>
              <w:ind w:right="169"/>
              <w:spacing w:after="0" w:line="160" w:lineRule="exact"/>
              <w:rPr>
                <w:sz w:val="20"/>
                <w:szCs w:val="20"/>
                <w:color w:val="auto"/>
              </w:rPr>
            </w:pPr>
            <w:r>
              <w:rPr>
                <w:rFonts w:ascii="Arial" w:cs="Arial" w:eastAsia="Arial" w:hAnsi="Arial"/>
                <w:sz w:val="14"/>
                <w:szCs w:val="14"/>
                <w:b w:val="1"/>
                <w:bCs w:val="1"/>
                <w:color w:val="FFFFFF"/>
              </w:rPr>
              <w:t>Metric</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100" w:type="dxa"/>
            <w:vAlign w:val="bottom"/>
            <w:shd w:val="clear" w:color="auto" w:fill="007549"/>
          </w:tcPr>
          <w:p>
            <w:pPr>
              <w:ind w:left="80"/>
              <w:spacing w:after="0"/>
              <w:rPr>
                <w:sz w:val="20"/>
                <w:szCs w:val="20"/>
                <w:color w:val="auto"/>
              </w:rPr>
            </w:pPr>
            <w:r>
              <w:rPr>
                <w:rFonts w:ascii="Arial" w:cs="Arial" w:eastAsia="Arial" w:hAnsi="Arial"/>
                <w:sz w:val="14"/>
                <w:szCs w:val="14"/>
                <w:b w:val="1"/>
                <w:bCs w:val="1"/>
                <w:color w:val="FFFFFF"/>
              </w:rPr>
              <w:t>2017 Metric</w:t>
            </w:r>
          </w:p>
        </w:tc>
        <w:tc>
          <w:tcPr>
            <w:tcW w:w="180" w:type="dxa"/>
            <w:vAlign w:val="bottom"/>
            <w:shd w:val="clear" w:color="auto" w:fill="007549"/>
          </w:tcPr>
          <w:p>
            <w:pPr>
              <w:spacing w:after="0"/>
              <w:rPr>
                <w:sz w:val="17"/>
                <w:szCs w:val="17"/>
                <w:color w:val="auto"/>
              </w:rPr>
            </w:pPr>
          </w:p>
        </w:tc>
        <w:tc>
          <w:tcPr>
            <w:tcW w:w="4920" w:type="dxa"/>
            <w:vAlign w:val="bottom"/>
            <w:shd w:val="clear" w:color="auto" w:fill="007549"/>
          </w:tcPr>
          <w:p>
            <w:pPr>
              <w:ind w:left="1760"/>
              <w:spacing w:after="0"/>
              <w:rPr>
                <w:sz w:val="20"/>
                <w:szCs w:val="20"/>
                <w:color w:val="auto"/>
              </w:rPr>
            </w:pPr>
            <w:r>
              <w:rPr>
                <w:rFonts w:ascii="Arial" w:cs="Arial" w:eastAsia="Arial" w:hAnsi="Arial"/>
                <w:sz w:val="14"/>
                <w:szCs w:val="14"/>
                <w:b w:val="1"/>
                <w:bCs w:val="1"/>
                <w:color w:val="FFFFFF"/>
              </w:rPr>
              <w:t>Rationale for Use</w:t>
            </w:r>
          </w:p>
        </w:tc>
        <w:tc>
          <w:tcPr>
            <w:tcW w:w="2080" w:type="dxa"/>
            <w:vAlign w:val="bottom"/>
            <w:shd w:val="clear" w:color="auto" w:fill="007549"/>
          </w:tcPr>
          <w:p>
            <w:pPr>
              <w:jc w:val="center"/>
              <w:spacing w:after="0"/>
              <w:rPr>
                <w:sz w:val="20"/>
                <w:szCs w:val="20"/>
                <w:color w:val="auto"/>
              </w:rPr>
            </w:pPr>
            <w:r>
              <w:rPr>
                <w:rFonts w:ascii="Arial" w:cs="Arial" w:eastAsia="Arial" w:hAnsi="Arial"/>
                <w:sz w:val="14"/>
                <w:szCs w:val="14"/>
                <w:b w:val="1"/>
                <w:bCs w:val="1"/>
                <w:color w:val="FFFFFF"/>
              </w:rPr>
              <w:t>Maximum</w:t>
            </w:r>
          </w:p>
        </w:tc>
        <w:tc>
          <w:tcPr>
            <w:tcW w:w="840" w:type="dxa"/>
            <w:vAlign w:val="bottom"/>
            <w:shd w:val="clear" w:color="auto" w:fill="007549"/>
          </w:tcPr>
          <w:p>
            <w:pPr>
              <w:jc w:val="right"/>
              <w:ind w:right="109"/>
              <w:spacing w:after="0"/>
              <w:rPr>
                <w:sz w:val="20"/>
                <w:szCs w:val="20"/>
                <w:color w:val="auto"/>
              </w:rPr>
            </w:pPr>
            <w:r>
              <w:rPr>
                <w:rFonts w:ascii="Arial" w:cs="Arial" w:eastAsia="Arial" w:hAnsi="Arial"/>
                <w:sz w:val="14"/>
                <w:szCs w:val="14"/>
                <w:b w:val="1"/>
                <w:bCs w:val="1"/>
                <w:color w:val="FFFFFF"/>
              </w:rPr>
              <w:t>Result</w:t>
            </w:r>
          </w:p>
        </w:tc>
        <w:tc>
          <w:tcPr>
            <w:tcW w:w="740" w:type="dxa"/>
            <w:vAlign w:val="bottom"/>
            <w:shd w:val="clear" w:color="auto" w:fill="007549"/>
          </w:tcPr>
          <w:p>
            <w:pPr>
              <w:jc w:val="right"/>
              <w:ind w:right="149"/>
              <w:spacing w:after="0"/>
              <w:rPr>
                <w:sz w:val="20"/>
                <w:szCs w:val="20"/>
                <w:color w:val="auto"/>
              </w:rPr>
            </w:pPr>
            <w:r>
              <w:rPr>
                <w:rFonts w:ascii="Arial" w:cs="Arial" w:eastAsia="Arial" w:hAnsi="Arial"/>
                <w:sz w:val="14"/>
                <w:szCs w:val="14"/>
                <w:b w:val="1"/>
                <w:bCs w:val="1"/>
                <w:color w:val="FFFFFF"/>
              </w:rPr>
              <w:t>Payout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100" w:type="dxa"/>
            <w:vAlign w:val="bottom"/>
            <w:shd w:val="clear" w:color="auto" w:fill="E5E5E5"/>
          </w:tcPr>
          <w:p>
            <w:pPr>
              <w:ind w:left="80"/>
              <w:spacing w:after="0"/>
              <w:rPr>
                <w:sz w:val="20"/>
                <w:szCs w:val="20"/>
                <w:color w:val="auto"/>
              </w:rPr>
            </w:pPr>
            <w:r>
              <w:rPr>
                <w:rFonts w:ascii="Arial" w:cs="Arial" w:eastAsia="Arial" w:hAnsi="Arial"/>
                <w:sz w:val="14"/>
                <w:szCs w:val="14"/>
                <w:color w:val="auto"/>
              </w:rPr>
              <w:t>Environment, Health &amp;</w:t>
            </w:r>
          </w:p>
        </w:tc>
        <w:tc>
          <w:tcPr>
            <w:tcW w:w="180" w:type="dxa"/>
            <w:vAlign w:val="bottom"/>
            <w:shd w:val="clear" w:color="auto" w:fill="E5E5E5"/>
          </w:tcPr>
          <w:p>
            <w:pPr>
              <w:ind w:left="100"/>
              <w:spacing w:after="0"/>
              <w:rPr>
                <w:sz w:val="20"/>
                <w:szCs w:val="20"/>
                <w:color w:val="auto"/>
              </w:rPr>
            </w:pPr>
            <w:r>
              <w:rPr>
                <w:rFonts w:ascii="Arial" w:cs="Arial" w:eastAsia="Arial" w:hAnsi="Arial"/>
                <w:sz w:val="14"/>
                <w:szCs w:val="14"/>
                <w:color w:val="auto"/>
              </w:rPr>
              <w:t>•</w:t>
            </w:r>
          </w:p>
        </w:tc>
        <w:tc>
          <w:tcPr>
            <w:tcW w:w="4920" w:type="dxa"/>
            <w:vAlign w:val="bottom"/>
            <w:shd w:val="clear" w:color="auto" w:fill="E5E5E5"/>
          </w:tcPr>
          <w:p>
            <w:pPr>
              <w:ind w:left="40"/>
              <w:spacing w:after="0"/>
              <w:rPr>
                <w:sz w:val="20"/>
                <w:szCs w:val="20"/>
                <w:color w:val="auto"/>
              </w:rPr>
            </w:pPr>
            <w:r>
              <w:rPr>
                <w:rFonts w:ascii="Arial" w:cs="Arial" w:eastAsia="Arial" w:hAnsi="Arial"/>
                <w:sz w:val="14"/>
                <w:szCs w:val="14"/>
                <w:color w:val="auto"/>
              </w:rPr>
              <w:t>Protects employees, contractors, communities, reputation and ensures safe</w:t>
            </w:r>
          </w:p>
        </w:tc>
        <w:tc>
          <w:tcPr>
            <w:tcW w:w="2080" w:type="dxa"/>
            <w:vAlign w:val="bottom"/>
            <w:shd w:val="clear" w:color="auto" w:fill="E5E5E5"/>
          </w:tcPr>
          <w:p>
            <w:pPr>
              <w:jc w:val="center"/>
              <w:spacing w:after="0" w:line="204" w:lineRule="exact"/>
              <w:rPr>
                <w:sz w:val="20"/>
                <w:szCs w:val="20"/>
                <w:color w:val="auto"/>
              </w:rPr>
            </w:pPr>
            <w:r>
              <w:rPr>
                <w:rFonts w:ascii="Arial" w:cs="Arial" w:eastAsia="Arial" w:hAnsi="Arial"/>
                <w:sz w:val="14"/>
                <w:szCs w:val="14"/>
                <w:color w:val="auto"/>
                <w:w w:val="97"/>
              </w:rPr>
              <w:t>Varies by measure</w:t>
            </w:r>
            <w:r>
              <w:rPr>
                <w:rFonts w:ascii="Arial" w:cs="Arial" w:eastAsia="Arial" w:hAnsi="Arial"/>
                <w:sz w:val="23"/>
                <w:szCs w:val="23"/>
                <w:color w:val="auto"/>
                <w:w w:val="97"/>
                <w:vertAlign w:val="superscript"/>
              </w:rPr>
              <w:t>(1)</w:t>
            </w:r>
          </w:p>
        </w:tc>
        <w:tc>
          <w:tcPr>
            <w:tcW w:w="840" w:type="dxa"/>
            <w:vAlign w:val="bottom"/>
            <w:shd w:val="clear" w:color="auto" w:fill="E5E5E5"/>
          </w:tcPr>
          <w:p>
            <w:pPr>
              <w:spacing w:after="0"/>
              <w:rPr>
                <w:sz w:val="17"/>
                <w:szCs w:val="17"/>
                <w:color w:val="auto"/>
              </w:rPr>
            </w:pPr>
          </w:p>
        </w:tc>
        <w:tc>
          <w:tcPr>
            <w:tcW w:w="740" w:type="dxa"/>
            <w:vAlign w:val="bottom"/>
            <w:shd w:val="clear" w:color="auto" w:fill="E5E5E5"/>
          </w:tcPr>
          <w:p>
            <w:pPr>
              <w:jc w:val="right"/>
              <w:ind w:right="9"/>
              <w:spacing w:after="0"/>
              <w:rPr>
                <w:sz w:val="20"/>
                <w:szCs w:val="20"/>
                <w:color w:val="auto"/>
              </w:rPr>
            </w:pPr>
            <w:r>
              <w:rPr>
                <w:rFonts w:ascii="Arial" w:cs="Arial" w:eastAsia="Arial" w:hAnsi="Arial"/>
                <w:sz w:val="14"/>
                <w:szCs w:val="14"/>
                <w:color w:val="auto"/>
              </w:rPr>
              <w:t>131%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100" w:type="dxa"/>
            <w:vAlign w:val="bottom"/>
            <w:shd w:val="clear" w:color="auto" w:fill="E5E5E5"/>
          </w:tcPr>
          <w:p>
            <w:pPr>
              <w:ind w:left="80"/>
              <w:spacing w:after="0"/>
              <w:rPr>
                <w:sz w:val="20"/>
                <w:szCs w:val="20"/>
                <w:color w:val="auto"/>
              </w:rPr>
            </w:pPr>
            <w:r>
              <w:rPr>
                <w:rFonts w:ascii="Arial" w:cs="Arial" w:eastAsia="Arial" w:hAnsi="Arial"/>
                <w:sz w:val="14"/>
                <w:szCs w:val="14"/>
                <w:color w:val="auto"/>
              </w:rPr>
              <w:t>Safety (4 measures)</w:t>
            </w:r>
          </w:p>
        </w:tc>
        <w:tc>
          <w:tcPr>
            <w:tcW w:w="180" w:type="dxa"/>
            <w:vAlign w:val="bottom"/>
            <w:shd w:val="clear" w:color="auto" w:fill="E5E5E5"/>
          </w:tcPr>
          <w:p>
            <w:pPr>
              <w:spacing w:after="0"/>
              <w:rPr>
                <w:sz w:val="15"/>
                <w:szCs w:val="15"/>
                <w:color w:val="auto"/>
              </w:rPr>
            </w:pPr>
          </w:p>
        </w:tc>
        <w:tc>
          <w:tcPr>
            <w:tcW w:w="4920" w:type="dxa"/>
            <w:vAlign w:val="bottom"/>
            <w:shd w:val="clear" w:color="auto" w:fill="E5E5E5"/>
          </w:tcPr>
          <w:p>
            <w:pPr>
              <w:ind w:left="60"/>
              <w:spacing w:after="0"/>
              <w:rPr>
                <w:sz w:val="20"/>
                <w:szCs w:val="20"/>
                <w:color w:val="auto"/>
              </w:rPr>
            </w:pPr>
            <w:r>
              <w:rPr>
                <w:rFonts w:ascii="Arial" w:cs="Arial" w:eastAsia="Arial" w:hAnsi="Arial"/>
                <w:sz w:val="14"/>
                <w:szCs w:val="14"/>
                <w:color w:val="auto"/>
              </w:rPr>
              <w:t>operations</w:t>
            </w:r>
          </w:p>
        </w:tc>
        <w:tc>
          <w:tcPr>
            <w:tcW w:w="208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740" w:type="dxa"/>
            <w:vAlign w:val="bottom"/>
            <w:shd w:val="clear" w:color="auto" w:fill="E5E5E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100" w:type="dxa"/>
            <w:vAlign w:val="bottom"/>
          </w:tcPr>
          <w:p>
            <w:pPr>
              <w:ind w:left="80"/>
              <w:spacing w:after="0"/>
              <w:rPr>
                <w:sz w:val="20"/>
                <w:szCs w:val="20"/>
                <w:color w:val="auto"/>
              </w:rPr>
            </w:pPr>
            <w:r>
              <w:rPr>
                <w:rFonts w:ascii="Arial" w:cs="Arial" w:eastAsia="Arial" w:hAnsi="Arial"/>
                <w:sz w:val="14"/>
                <w:szCs w:val="14"/>
                <w:color w:val="auto"/>
              </w:rPr>
              <w:t>Production</w:t>
            </w:r>
          </w:p>
        </w:tc>
        <w:tc>
          <w:tcPr>
            <w:tcW w:w="5100" w:type="dxa"/>
            <w:vAlign w:val="bottom"/>
            <w:gridSpan w:val="2"/>
          </w:tcPr>
          <w:p>
            <w:pPr>
              <w:ind w:left="100"/>
              <w:spacing w:after="0"/>
              <w:rPr>
                <w:sz w:val="20"/>
                <w:szCs w:val="20"/>
                <w:color w:val="auto"/>
              </w:rPr>
            </w:pPr>
            <w:r>
              <w:rPr>
                <w:rFonts w:ascii="Arial" w:cs="Arial" w:eastAsia="Arial" w:hAnsi="Arial"/>
                <w:sz w:val="14"/>
                <w:szCs w:val="14"/>
                <w:color w:val="auto"/>
              </w:rPr>
              <w:t>• Aligned to growth</w:t>
            </w:r>
          </w:p>
        </w:tc>
        <w:tc>
          <w:tcPr>
            <w:tcW w:w="2080" w:type="dxa"/>
            <w:vAlign w:val="bottom"/>
          </w:tcPr>
          <w:p>
            <w:pPr>
              <w:jc w:val="center"/>
              <w:spacing w:after="0"/>
              <w:rPr>
                <w:sz w:val="20"/>
                <w:szCs w:val="20"/>
                <w:color w:val="auto"/>
              </w:rPr>
            </w:pPr>
            <w:r>
              <w:rPr>
                <w:rFonts w:ascii="Arial" w:cs="Arial" w:eastAsia="Arial" w:hAnsi="Arial"/>
                <w:sz w:val="14"/>
                <w:szCs w:val="14"/>
                <w:color w:val="auto"/>
              </w:rPr>
              <w:t>294/299/304 (MBOEPD)</w:t>
            </w:r>
          </w:p>
        </w:tc>
        <w:tc>
          <w:tcPr>
            <w:tcW w:w="840" w:type="dxa"/>
            <w:vAlign w:val="bottom"/>
          </w:tcPr>
          <w:p>
            <w:pPr>
              <w:jc w:val="right"/>
              <w:spacing w:after="0"/>
              <w:rPr>
                <w:sz w:val="20"/>
                <w:szCs w:val="20"/>
                <w:color w:val="auto"/>
              </w:rPr>
            </w:pPr>
            <w:r>
              <w:rPr>
                <w:rFonts w:ascii="Arial" w:cs="Arial" w:eastAsia="Arial" w:hAnsi="Arial"/>
                <w:sz w:val="14"/>
                <w:szCs w:val="14"/>
                <w:color w:val="auto"/>
              </w:rPr>
              <w:t>295</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100" w:type="dxa"/>
            <w:vAlign w:val="bottom"/>
          </w:tcPr>
          <w:p>
            <w:pPr>
              <w:spacing w:after="0"/>
              <w:rPr>
                <w:sz w:val="15"/>
                <w:szCs w:val="15"/>
                <w:color w:val="auto"/>
              </w:rPr>
            </w:pPr>
          </w:p>
        </w:tc>
        <w:tc>
          <w:tcPr>
            <w:tcW w:w="180" w:type="dxa"/>
            <w:vAlign w:val="bottom"/>
          </w:tcPr>
          <w:p>
            <w:pPr>
              <w:ind w:left="100"/>
              <w:spacing w:after="0"/>
              <w:rPr>
                <w:sz w:val="20"/>
                <w:szCs w:val="20"/>
                <w:color w:val="auto"/>
              </w:rPr>
            </w:pPr>
            <w:r>
              <w:rPr>
                <w:rFonts w:ascii="Arial" w:cs="Arial" w:eastAsia="Arial" w:hAnsi="Arial"/>
                <w:sz w:val="14"/>
                <w:szCs w:val="14"/>
                <w:color w:val="auto"/>
              </w:rPr>
              <w:t>•</w:t>
            </w:r>
          </w:p>
        </w:tc>
        <w:tc>
          <w:tcPr>
            <w:tcW w:w="4920" w:type="dxa"/>
            <w:vAlign w:val="bottom"/>
          </w:tcPr>
          <w:p>
            <w:pPr>
              <w:ind w:left="40"/>
              <w:spacing w:after="0"/>
              <w:rPr>
                <w:sz w:val="20"/>
                <w:szCs w:val="20"/>
                <w:color w:val="auto"/>
              </w:rPr>
            </w:pPr>
            <w:r>
              <w:rPr>
                <w:rFonts w:ascii="Arial" w:cs="Arial" w:eastAsia="Arial" w:hAnsi="Arial"/>
                <w:sz w:val="14"/>
                <w:szCs w:val="14"/>
                <w:color w:val="auto"/>
              </w:rPr>
              <w:t>Primary output of E&amp;P investments</w:t>
            </w:r>
          </w:p>
        </w:tc>
        <w:tc>
          <w:tcPr>
            <w:tcW w:w="20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100" w:type="dxa"/>
            <w:vAlign w:val="bottom"/>
            <w:shd w:val="clear" w:color="auto" w:fill="E5E5E5"/>
          </w:tcPr>
          <w:p>
            <w:pPr>
              <w:ind w:left="80"/>
              <w:spacing w:after="0"/>
              <w:rPr>
                <w:sz w:val="20"/>
                <w:szCs w:val="20"/>
                <w:color w:val="auto"/>
              </w:rPr>
            </w:pPr>
            <w:r>
              <w:rPr>
                <w:rFonts w:ascii="Arial" w:cs="Arial" w:eastAsia="Arial" w:hAnsi="Arial"/>
                <w:sz w:val="14"/>
                <w:szCs w:val="14"/>
                <w:color w:val="auto"/>
              </w:rPr>
              <w:t>Capital and Exploratory Spend</w:t>
            </w:r>
          </w:p>
        </w:tc>
        <w:tc>
          <w:tcPr>
            <w:tcW w:w="5100" w:type="dxa"/>
            <w:vAlign w:val="bottom"/>
            <w:gridSpan w:val="2"/>
            <w:shd w:val="clear" w:color="auto" w:fill="E5E5E5"/>
          </w:tcPr>
          <w:p>
            <w:pPr>
              <w:ind w:left="100"/>
              <w:spacing w:after="0"/>
              <w:rPr>
                <w:sz w:val="20"/>
                <w:szCs w:val="20"/>
                <w:color w:val="auto"/>
              </w:rPr>
            </w:pPr>
            <w:r>
              <w:rPr>
                <w:rFonts w:ascii="Arial" w:cs="Arial" w:eastAsia="Arial" w:hAnsi="Arial"/>
                <w:sz w:val="14"/>
                <w:szCs w:val="14"/>
                <w:color w:val="auto"/>
              </w:rPr>
              <w:t>• Aligned to sustainability and profitability</w:t>
            </w:r>
          </w:p>
        </w:tc>
        <w:tc>
          <w:tcPr>
            <w:tcW w:w="208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$2,449/$2,332/$2,216 ($MM)</w:t>
            </w: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$2,168</w:t>
            </w:r>
          </w:p>
        </w:tc>
        <w:tc>
          <w:tcPr>
            <w:tcW w:w="740" w:type="dxa"/>
            <w:vAlign w:val="bottom"/>
            <w:shd w:val="clear" w:color="auto" w:fill="E5E5E5"/>
          </w:tcPr>
          <w:p>
            <w:pPr>
              <w:jc w:val="right"/>
              <w:ind w:right="9"/>
              <w:spacing w:after="0"/>
              <w:rPr>
                <w:sz w:val="20"/>
                <w:szCs w:val="20"/>
                <w:color w:val="auto"/>
              </w:rPr>
            </w:pPr>
            <w:r>
              <w:rPr>
                <w:rFonts w:ascii="Arial" w:cs="Arial" w:eastAsia="Arial" w:hAnsi="Arial"/>
                <w:sz w:val="14"/>
                <w:szCs w:val="14"/>
                <w:color w:val="auto"/>
              </w:rPr>
              <w:t>175%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100" w:type="dxa"/>
            <w:vAlign w:val="bottom"/>
          </w:tcPr>
          <w:p>
            <w:pPr>
              <w:ind w:left="80"/>
              <w:spacing w:after="0"/>
              <w:rPr>
                <w:sz w:val="20"/>
                <w:szCs w:val="20"/>
                <w:color w:val="auto"/>
              </w:rPr>
            </w:pPr>
            <w:r>
              <w:rPr>
                <w:rFonts w:ascii="Arial" w:cs="Arial" w:eastAsia="Arial" w:hAnsi="Arial"/>
                <w:sz w:val="14"/>
                <w:szCs w:val="14"/>
                <w:color w:val="auto"/>
              </w:rPr>
              <w:t>Controllable Operated</w:t>
            </w:r>
          </w:p>
        </w:tc>
        <w:tc>
          <w:tcPr>
            <w:tcW w:w="5100" w:type="dxa"/>
            <w:vAlign w:val="bottom"/>
            <w:gridSpan w:val="2"/>
          </w:tcPr>
          <w:p>
            <w:pPr>
              <w:ind w:left="100"/>
              <w:spacing w:after="0"/>
              <w:rPr>
                <w:sz w:val="20"/>
                <w:szCs w:val="20"/>
                <w:color w:val="auto"/>
              </w:rPr>
            </w:pPr>
            <w:r>
              <w:rPr>
                <w:rFonts w:ascii="Arial" w:cs="Arial" w:eastAsia="Arial" w:hAnsi="Arial"/>
                <w:sz w:val="14"/>
                <w:szCs w:val="14"/>
                <w:color w:val="auto"/>
              </w:rPr>
              <w:t>• Management of expenses to maximize cash margin</w:t>
            </w:r>
          </w:p>
        </w:tc>
        <w:tc>
          <w:tcPr>
            <w:tcW w:w="2080" w:type="dxa"/>
            <w:vAlign w:val="bottom"/>
          </w:tcPr>
          <w:p>
            <w:pPr>
              <w:jc w:val="center"/>
              <w:spacing w:after="0"/>
              <w:rPr>
                <w:sz w:val="20"/>
                <w:szCs w:val="20"/>
                <w:color w:val="auto"/>
              </w:rPr>
            </w:pPr>
            <w:r>
              <w:rPr>
                <w:rFonts w:ascii="Arial" w:cs="Arial" w:eastAsia="Arial" w:hAnsi="Arial"/>
                <w:sz w:val="14"/>
                <w:szCs w:val="14"/>
                <w:color w:val="auto"/>
              </w:rPr>
              <w:t>$1,321/$1,258/$1,195 ($MM)</w:t>
            </w:r>
          </w:p>
        </w:tc>
        <w:tc>
          <w:tcPr>
            <w:tcW w:w="840" w:type="dxa"/>
            <w:vAlign w:val="bottom"/>
          </w:tcPr>
          <w:p>
            <w:pPr>
              <w:jc w:val="right"/>
              <w:spacing w:after="0"/>
              <w:rPr>
                <w:sz w:val="20"/>
                <w:szCs w:val="20"/>
                <w:color w:val="auto"/>
              </w:rPr>
            </w:pPr>
            <w:r>
              <w:rPr>
                <w:rFonts w:ascii="Arial" w:cs="Arial" w:eastAsia="Arial" w:hAnsi="Arial"/>
                <w:sz w:val="14"/>
                <w:szCs w:val="14"/>
                <w:color w:val="auto"/>
              </w:rPr>
              <w:t>$1,253</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100" w:type="dxa"/>
            <w:vAlign w:val="bottom"/>
          </w:tcPr>
          <w:p>
            <w:pPr>
              <w:ind w:left="80"/>
              <w:spacing w:after="0"/>
              <w:rPr>
                <w:sz w:val="20"/>
                <w:szCs w:val="20"/>
                <w:color w:val="auto"/>
              </w:rPr>
            </w:pPr>
            <w:r>
              <w:rPr>
                <w:rFonts w:ascii="Arial" w:cs="Arial" w:eastAsia="Arial" w:hAnsi="Arial"/>
                <w:sz w:val="14"/>
                <w:szCs w:val="14"/>
                <w:color w:val="auto"/>
              </w:rPr>
              <w:t>Cash Costs</w:t>
            </w:r>
          </w:p>
        </w:tc>
        <w:tc>
          <w:tcPr>
            <w:tcW w:w="180" w:type="dxa"/>
            <w:vAlign w:val="bottom"/>
          </w:tcPr>
          <w:p>
            <w:pPr>
              <w:ind w:left="100"/>
              <w:spacing w:after="0"/>
              <w:rPr>
                <w:sz w:val="20"/>
                <w:szCs w:val="20"/>
                <w:color w:val="auto"/>
              </w:rPr>
            </w:pPr>
            <w:r>
              <w:rPr>
                <w:rFonts w:ascii="Arial" w:cs="Arial" w:eastAsia="Arial" w:hAnsi="Arial"/>
                <w:sz w:val="14"/>
                <w:szCs w:val="14"/>
                <w:color w:val="auto"/>
              </w:rPr>
              <w:t>•</w:t>
            </w:r>
          </w:p>
        </w:tc>
        <w:tc>
          <w:tcPr>
            <w:tcW w:w="4920" w:type="dxa"/>
            <w:vAlign w:val="bottom"/>
          </w:tcPr>
          <w:p>
            <w:pPr>
              <w:ind w:left="40"/>
              <w:spacing w:after="0"/>
              <w:rPr>
                <w:sz w:val="20"/>
                <w:szCs w:val="20"/>
                <w:color w:val="auto"/>
              </w:rPr>
            </w:pPr>
            <w:r>
              <w:rPr>
                <w:rFonts w:ascii="Arial" w:cs="Arial" w:eastAsia="Arial" w:hAnsi="Arial"/>
                <w:sz w:val="14"/>
                <w:szCs w:val="14"/>
                <w:color w:val="auto"/>
              </w:rPr>
              <w:t>Controllable component of cash margin</w:t>
            </w:r>
          </w:p>
        </w:tc>
        <w:tc>
          <w:tcPr>
            <w:tcW w:w="20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100" w:type="dxa"/>
            <w:vAlign w:val="bottom"/>
            <w:shd w:val="clear" w:color="auto" w:fill="E5E5E5"/>
          </w:tcPr>
          <w:p>
            <w:pPr>
              <w:ind w:left="80"/>
              <w:spacing w:after="0"/>
              <w:rPr>
                <w:sz w:val="20"/>
                <w:szCs w:val="20"/>
                <w:color w:val="auto"/>
              </w:rPr>
            </w:pPr>
            <w:r>
              <w:rPr>
                <w:rFonts w:ascii="Arial" w:cs="Arial" w:eastAsia="Arial" w:hAnsi="Arial"/>
                <w:sz w:val="14"/>
                <w:szCs w:val="14"/>
                <w:color w:val="auto"/>
              </w:rPr>
              <w:t>Cash Return on</w:t>
            </w:r>
          </w:p>
        </w:tc>
        <w:tc>
          <w:tcPr>
            <w:tcW w:w="180" w:type="dxa"/>
            <w:vAlign w:val="bottom"/>
            <w:shd w:val="clear" w:color="auto" w:fill="E5E5E5"/>
          </w:tcPr>
          <w:p>
            <w:pPr>
              <w:ind w:left="100"/>
              <w:spacing w:after="0"/>
              <w:rPr>
                <w:sz w:val="20"/>
                <w:szCs w:val="20"/>
                <w:color w:val="auto"/>
              </w:rPr>
            </w:pPr>
            <w:r>
              <w:rPr>
                <w:rFonts w:ascii="Arial" w:cs="Arial" w:eastAsia="Arial" w:hAnsi="Arial"/>
                <w:sz w:val="14"/>
                <w:szCs w:val="14"/>
                <w:color w:val="auto"/>
              </w:rPr>
              <w:t>•</w:t>
            </w:r>
          </w:p>
        </w:tc>
        <w:tc>
          <w:tcPr>
            <w:tcW w:w="4920" w:type="dxa"/>
            <w:vAlign w:val="bottom"/>
            <w:shd w:val="clear" w:color="auto" w:fill="E5E5E5"/>
          </w:tcPr>
          <w:p>
            <w:pPr>
              <w:ind w:left="40"/>
              <w:spacing w:after="0"/>
              <w:rPr>
                <w:sz w:val="20"/>
                <w:szCs w:val="20"/>
                <w:color w:val="auto"/>
              </w:rPr>
            </w:pPr>
            <w:r>
              <w:rPr>
                <w:rFonts w:ascii="Arial" w:cs="Arial" w:eastAsia="Arial" w:hAnsi="Arial"/>
                <w:sz w:val="14"/>
                <w:szCs w:val="14"/>
                <w:color w:val="auto"/>
              </w:rPr>
              <w:t>Measure company’s use of capital</w:t>
            </w:r>
          </w:p>
        </w:tc>
        <w:tc>
          <w:tcPr>
            <w:tcW w:w="208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5.2/8.1/11.0 (%)</w:t>
            </w: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8.3%</w:t>
            </w:r>
          </w:p>
        </w:tc>
        <w:tc>
          <w:tcPr>
            <w:tcW w:w="740" w:type="dxa"/>
            <w:vAlign w:val="bottom"/>
            <w:shd w:val="clear" w:color="auto" w:fill="E5E5E5"/>
          </w:tcPr>
          <w:p>
            <w:pPr>
              <w:jc w:val="right"/>
              <w:ind w:right="9"/>
              <w:spacing w:after="0"/>
              <w:rPr>
                <w:sz w:val="20"/>
                <w:szCs w:val="20"/>
                <w:color w:val="auto"/>
              </w:rPr>
            </w:pPr>
            <w:r>
              <w:rPr>
                <w:rFonts w:ascii="Arial" w:cs="Arial" w:eastAsia="Arial" w:hAnsi="Arial"/>
                <w:sz w:val="14"/>
                <w:szCs w:val="14"/>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100" w:type="dxa"/>
            <w:vAlign w:val="bottom"/>
            <w:shd w:val="clear" w:color="auto" w:fill="E5E5E5"/>
          </w:tcPr>
          <w:p>
            <w:pPr>
              <w:ind w:left="80"/>
              <w:spacing w:after="0"/>
              <w:rPr>
                <w:sz w:val="20"/>
                <w:szCs w:val="20"/>
                <w:color w:val="auto"/>
              </w:rPr>
            </w:pPr>
            <w:r>
              <w:rPr>
                <w:rFonts w:ascii="Arial" w:cs="Arial" w:eastAsia="Arial" w:hAnsi="Arial"/>
                <w:sz w:val="14"/>
                <w:szCs w:val="14"/>
                <w:color w:val="auto"/>
              </w:rPr>
              <w:t>Capital Employed</w:t>
            </w:r>
          </w:p>
        </w:tc>
        <w:tc>
          <w:tcPr>
            <w:tcW w:w="180" w:type="dxa"/>
            <w:vAlign w:val="bottom"/>
            <w:shd w:val="clear" w:color="auto" w:fill="E5E5E5"/>
          </w:tcPr>
          <w:p>
            <w:pPr>
              <w:spacing w:after="0"/>
              <w:rPr>
                <w:sz w:val="15"/>
                <w:szCs w:val="15"/>
                <w:color w:val="auto"/>
              </w:rPr>
            </w:pPr>
          </w:p>
        </w:tc>
        <w:tc>
          <w:tcPr>
            <w:tcW w:w="4920" w:type="dxa"/>
            <w:vAlign w:val="bottom"/>
            <w:shd w:val="clear" w:color="auto" w:fill="E5E5E5"/>
          </w:tcPr>
          <w:p>
            <w:pPr>
              <w:spacing w:after="0"/>
              <w:rPr>
                <w:sz w:val="15"/>
                <w:szCs w:val="15"/>
                <w:color w:val="auto"/>
              </w:rPr>
            </w:pPr>
          </w:p>
        </w:tc>
        <w:tc>
          <w:tcPr>
            <w:tcW w:w="208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740" w:type="dxa"/>
            <w:vAlign w:val="bottom"/>
            <w:shd w:val="clear" w:color="auto" w:fill="E5E5E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100" w:type="dxa"/>
            <w:vAlign w:val="bottom"/>
          </w:tcPr>
          <w:p>
            <w:pPr>
              <w:ind w:left="80"/>
              <w:spacing w:after="0"/>
              <w:rPr>
                <w:sz w:val="20"/>
                <w:szCs w:val="20"/>
                <w:color w:val="auto"/>
              </w:rPr>
            </w:pPr>
            <w:r>
              <w:rPr>
                <w:rFonts w:ascii="Arial" w:cs="Arial" w:eastAsia="Arial" w:hAnsi="Arial"/>
                <w:sz w:val="14"/>
                <w:szCs w:val="14"/>
                <w:color w:val="auto"/>
              </w:rPr>
              <w:t>Exploration Resource</w:t>
            </w:r>
          </w:p>
        </w:tc>
        <w:tc>
          <w:tcPr>
            <w:tcW w:w="5100" w:type="dxa"/>
            <w:vAlign w:val="bottom"/>
            <w:gridSpan w:val="2"/>
          </w:tcPr>
          <w:p>
            <w:pPr>
              <w:ind w:left="100"/>
              <w:spacing w:after="0"/>
              <w:rPr>
                <w:sz w:val="20"/>
                <w:szCs w:val="20"/>
                <w:color w:val="auto"/>
              </w:rPr>
            </w:pPr>
            <w:r>
              <w:rPr>
                <w:rFonts w:ascii="Arial" w:cs="Arial" w:eastAsia="Arial" w:hAnsi="Arial"/>
                <w:sz w:val="14"/>
                <w:szCs w:val="14"/>
                <w:color w:val="auto"/>
              </w:rPr>
              <w:t>• Aligned to sustainability</w:t>
            </w:r>
          </w:p>
        </w:tc>
        <w:tc>
          <w:tcPr>
            <w:tcW w:w="2080" w:type="dxa"/>
            <w:vAlign w:val="bottom"/>
          </w:tcPr>
          <w:p>
            <w:pPr>
              <w:jc w:val="center"/>
              <w:spacing w:after="0" w:line="204" w:lineRule="exact"/>
              <w:rPr>
                <w:sz w:val="20"/>
                <w:szCs w:val="20"/>
                <w:color w:val="auto"/>
              </w:rPr>
            </w:pPr>
            <w:r>
              <w:rPr>
                <w:rFonts w:ascii="Arial" w:cs="Arial" w:eastAsia="Arial" w:hAnsi="Arial"/>
                <w:sz w:val="14"/>
                <w:szCs w:val="14"/>
                <w:color w:val="auto"/>
                <w:w w:val="97"/>
              </w:rPr>
              <w:t>67%/Budget/133%</w:t>
            </w:r>
            <w:r>
              <w:rPr>
                <w:rFonts w:ascii="Arial" w:cs="Arial" w:eastAsia="Arial" w:hAnsi="Arial"/>
                <w:sz w:val="23"/>
                <w:szCs w:val="23"/>
                <w:color w:val="auto"/>
                <w:w w:val="97"/>
                <w:vertAlign w:val="superscript"/>
              </w:rPr>
              <w:t>(2)</w:t>
            </w:r>
          </w:p>
        </w:tc>
        <w:tc>
          <w:tcPr>
            <w:tcW w:w="840" w:type="dxa"/>
            <w:vAlign w:val="bottom"/>
          </w:tcPr>
          <w:p>
            <w:pPr>
              <w:jc w:val="right"/>
              <w:spacing w:after="0"/>
              <w:rPr>
                <w:sz w:val="20"/>
                <w:szCs w:val="20"/>
                <w:color w:val="auto"/>
              </w:rPr>
            </w:pPr>
            <w:r>
              <w:rPr>
                <w:rFonts w:ascii="Arial" w:cs="Arial" w:eastAsia="Arial" w:hAnsi="Arial"/>
                <w:sz w:val="14"/>
                <w:szCs w:val="14"/>
                <w:color w:val="auto"/>
              </w:rPr>
              <w:t>Maximum</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100" w:type="dxa"/>
            <w:vAlign w:val="bottom"/>
            <w:tcBorders>
              <w:bottom w:val="single" w:sz="8" w:color="007549"/>
            </w:tcBorders>
          </w:tcPr>
          <w:p>
            <w:pPr>
              <w:ind w:left="80"/>
              <w:spacing w:after="0"/>
              <w:rPr>
                <w:sz w:val="20"/>
                <w:szCs w:val="20"/>
                <w:color w:val="auto"/>
              </w:rPr>
            </w:pPr>
            <w:r>
              <w:rPr>
                <w:rFonts w:ascii="Arial" w:cs="Arial" w:eastAsia="Arial" w:hAnsi="Arial"/>
                <w:sz w:val="14"/>
                <w:szCs w:val="14"/>
                <w:color w:val="auto"/>
              </w:rPr>
              <w:t>Additions</w:t>
            </w:r>
          </w:p>
        </w:tc>
        <w:tc>
          <w:tcPr>
            <w:tcW w:w="5100" w:type="dxa"/>
            <w:vAlign w:val="bottom"/>
            <w:tcBorders>
              <w:bottom w:val="single" w:sz="8" w:color="007549"/>
            </w:tcBorders>
            <w:gridSpan w:val="2"/>
          </w:tcPr>
          <w:p>
            <w:pPr>
              <w:ind w:left="100"/>
              <w:spacing w:after="0"/>
              <w:rPr>
                <w:sz w:val="20"/>
                <w:szCs w:val="20"/>
                <w:color w:val="auto"/>
              </w:rPr>
            </w:pPr>
            <w:r>
              <w:rPr>
                <w:rFonts w:ascii="Arial" w:cs="Arial" w:eastAsia="Arial" w:hAnsi="Arial"/>
                <w:sz w:val="14"/>
                <w:szCs w:val="14"/>
                <w:color w:val="auto"/>
              </w:rPr>
              <w:t>• Aligned to growth</w:t>
            </w:r>
          </w:p>
        </w:tc>
        <w:tc>
          <w:tcPr>
            <w:tcW w:w="2080" w:type="dxa"/>
            <w:vAlign w:val="bottom"/>
            <w:tcBorders>
              <w:bottom w:val="single" w:sz="8" w:color="007549"/>
            </w:tcBorders>
          </w:tcPr>
          <w:p>
            <w:pPr>
              <w:spacing w:after="0"/>
              <w:rPr>
                <w:sz w:val="15"/>
                <w:szCs w:val="15"/>
                <w:color w:val="auto"/>
              </w:rPr>
            </w:pPr>
          </w:p>
        </w:tc>
        <w:tc>
          <w:tcPr>
            <w:tcW w:w="840" w:type="dxa"/>
            <w:vAlign w:val="bottom"/>
            <w:tcBorders>
              <w:bottom w:val="single" w:sz="8" w:color="007549"/>
            </w:tcBorders>
          </w:tcPr>
          <w:p>
            <w:pPr>
              <w:spacing w:after="0"/>
              <w:rPr>
                <w:sz w:val="15"/>
                <w:szCs w:val="15"/>
                <w:color w:val="auto"/>
              </w:rPr>
            </w:pPr>
          </w:p>
        </w:tc>
        <w:tc>
          <w:tcPr>
            <w:tcW w:w="740" w:type="dxa"/>
            <w:vAlign w:val="bottom"/>
            <w:tcBorders>
              <w:bottom w:val="single" w:sz="8" w:color="007549"/>
            </w:tcBorders>
          </w:tcPr>
          <w:p>
            <w:pPr>
              <w:spacing w:after="0"/>
              <w:rPr>
                <w:sz w:val="15"/>
                <w:szCs w:val="15"/>
                <w:color w:val="auto"/>
              </w:rPr>
            </w:pPr>
          </w:p>
        </w:tc>
        <w:tc>
          <w:tcPr>
            <w:tcW w:w="20" w:type="dxa"/>
            <w:vAlign w:val="bottom"/>
            <w:tcBorders>
              <w:bottom w:val="single" w:sz="8" w:color="007549"/>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9280" w:type="dxa"/>
            <w:vAlign w:val="bottom"/>
            <w:gridSpan w:val="4"/>
          </w:tcPr>
          <w:p>
            <w:pPr>
              <w:spacing w:after="0"/>
              <w:rPr>
                <w:sz w:val="20"/>
                <w:szCs w:val="20"/>
                <w:color w:val="auto"/>
              </w:rPr>
            </w:pPr>
            <w:r>
              <w:rPr>
                <w:rFonts w:ascii="Arial" w:cs="Arial" w:eastAsia="Arial" w:hAnsi="Arial"/>
                <w:sz w:val="14"/>
                <w:szCs w:val="14"/>
                <w:color w:val="auto"/>
              </w:rPr>
              <w:t>(1)  Includes 4 measures (equally weighted): Integrity Critical Equipment (ICE) performance standard implementation, high potential incident rate</w:t>
            </w:r>
          </w:p>
        </w:tc>
        <w:tc>
          <w:tcPr>
            <w:tcW w:w="840" w:type="dxa"/>
            <w:vAlign w:val="bottom"/>
            <w:vMerge w:val="restart"/>
            <w:shd w:val="clear" w:color="auto" w:fill="E5E5E5"/>
          </w:tcPr>
          <w:p>
            <w:pPr>
              <w:jc w:val="right"/>
              <w:ind w:right="129"/>
              <w:spacing w:after="0"/>
              <w:rPr>
                <w:sz w:val="20"/>
                <w:szCs w:val="20"/>
                <w:color w:val="auto"/>
              </w:rPr>
            </w:pPr>
            <w:r>
              <w:rPr>
                <w:rFonts w:ascii="Arial" w:cs="Arial" w:eastAsia="Arial" w:hAnsi="Arial"/>
                <w:sz w:val="14"/>
                <w:szCs w:val="14"/>
                <w:b w:val="1"/>
                <w:bCs w:val="1"/>
                <w:color w:val="auto"/>
              </w:rPr>
              <w:t>Total:</w:t>
            </w:r>
          </w:p>
        </w:tc>
        <w:tc>
          <w:tcPr>
            <w:tcW w:w="740" w:type="dxa"/>
            <w:vAlign w:val="bottom"/>
            <w:vMerge w:val="restart"/>
            <w:shd w:val="clear" w:color="auto" w:fill="E5E5E5"/>
          </w:tcPr>
          <w:p>
            <w:pPr>
              <w:jc w:val="right"/>
              <w:ind w:right="9"/>
              <w:spacing w:after="0"/>
              <w:rPr>
                <w:sz w:val="20"/>
                <w:szCs w:val="20"/>
                <w:color w:val="auto"/>
              </w:rPr>
            </w:pPr>
            <w:r>
              <w:rPr>
                <w:rFonts w:ascii="Arial" w:cs="Arial" w:eastAsia="Arial" w:hAnsi="Arial"/>
                <w:sz w:val="14"/>
                <w:szCs w:val="14"/>
                <w:b w:val="1"/>
                <w:bCs w:val="1"/>
                <w:color w:val="auto"/>
              </w:rPr>
              <w:t>119.7%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7200" w:type="dxa"/>
            <w:vAlign w:val="bottom"/>
            <w:gridSpan w:val="3"/>
            <w:vMerge w:val="restart"/>
          </w:tcPr>
          <w:p>
            <w:pPr>
              <w:ind w:left="280"/>
              <w:spacing w:after="0" w:line="155" w:lineRule="exact"/>
              <w:rPr>
                <w:sz w:val="20"/>
                <w:szCs w:val="20"/>
                <w:color w:val="auto"/>
              </w:rPr>
            </w:pPr>
            <w:r>
              <w:rPr>
                <w:rFonts w:ascii="Arial" w:cs="Arial" w:eastAsia="Arial" w:hAnsi="Arial"/>
                <w:sz w:val="14"/>
                <w:szCs w:val="14"/>
                <w:color w:val="auto"/>
              </w:rPr>
              <w:t>for safety and environmental, and asset integrity assessments.</w:t>
            </w:r>
          </w:p>
        </w:tc>
        <w:tc>
          <w:tcPr>
            <w:tcW w:w="2080" w:type="dxa"/>
            <w:vAlign w:val="bottom"/>
          </w:tcPr>
          <w:p>
            <w:pPr>
              <w:spacing w:after="0"/>
              <w:rPr>
                <w:sz w:val="7"/>
                <w:szCs w:val="7"/>
                <w:color w:val="auto"/>
              </w:rPr>
            </w:pPr>
          </w:p>
        </w:tc>
        <w:tc>
          <w:tcPr>
            <w:tcW w:w="840" w:type="dxa"/>
            <w:vAlign w:val="bottom"/>
            <w:vMerge w:val="continue"/>
            <w:shd w:val="clear" w:color="auto" w:fill="E5E5E5"/>
          </w:tcPr>
          <w:p>
            <w:pPr>
              <w:spacing w:after="0"/>
              <w:rPr>
                <w:sz w:val="7"/>
                <w:szCs w:val="7"/>
                <w:color w:val="auto"/>
              </w:rPr>
            </w:pPr>
          </w:p>
        </w:tc>
        <w:tc>
          <w:tcPr>
            <w:tcW w:w="740" w:type="dxa"/>
            <w:vAlign w:val="bottom"/>
            <w:vMerge w:val="continue"/>
            <w:shd w:val="clear" w:color="auto" w:fill="E5E5E5"/>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7200" w:type="dxa"/>
            <w:vAlign w:val="bottom"/>
            <w:gridSpan w:val="3"/>
            <w:vMerge w:val="continue"/>
          </w:tcPr>
          <w:p>
            <w:pPr>
              <w:spacing w:after="0"/>
              <w:rPr>
                <w:sz w:val="5"/>
                <w:szCs w:val="5"/>
                <w:color w:val="auto"/>
              </w:rPr>
            </w:pPr>
          </w:p>
        </w:tc>
        <w:tc>
          <w:tcPr>
            <w:tcW w:w="2080" w:type="dxa"/>
            <w:vAlign w:val="bottom"/>
          </w:tcPr>
          <w:p>
            <w:pPr>
              <w:spacing w:after="0"/>
              <w:rPr>
                <w:sz w:val="5"/>
                <w:szCs w:val="5"/>
                <w:color w:val="auto"/>
              </w:rPr>
            </w:pPr>
          </w:p>
        </w:tc>
        <w:tc>
          <w:tcPr>
            <w:tcW w:w="840" w:type="dxa"/>
            <w:vAlign w:val="bottom"/>
            <w:shd w:val="clear" w:color="auto" w:fill="E5E5E5"/>
          </w:tcPr>
          <w:p>
            <w:pPr>
              <w:spacing w:after="0"/>
              <w:rPr>
                <w:sz w:val="5"/>
                <w:szCs w:val="5"/>
                <w:color w:val="auto"/>
              </w:rPr>
            </w:pPr>
          </w:p>
        </w:tc>
        <w:tc>
          <w:tcPr>
            <w:tcW w:w="740" w:type="dxa"/>
            <w:vAlign w:val="bottom"/>
            <w:shd w:val="clear" w:color="auto" w:fill="E5E5E5"/>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6069965</wp:posOffset>
            </wp:positionH>
            <wp:positionV relativeFrom="paragraph">
              <wp:posOffset>-210820</wp:posOffset>
            </wp:positionV>
            <wp:extent cx="1014095" cy="4222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014095" cy="422275"/>
                    </a:xfrm>
                    <a:prstGeom prst="rect">
                      <a:avLst/>
                    </a:prstGeom>
                    <a:noFill/>
                  </pic:spPr>
                </pic:pic>
              </a:graphicData>
            </a:graphic>
          </wp:anchor>
        </w:drawing>
      </w:r>
    </w:p>
    <w:p>
      <w:pPr>
        <w:ind w:left="560" w:right="1760" w:hanging="274"/>
        <w:spacing w:after="0" w:line="251" w:lineRule="auto"/>
        <w:tabs>
          <w:tab w:leader="none" w:pos="541" w:val="left"/>
        </w:tabs>
        <w:numPr>
          <w:ilvl w:val="0"/>
          <w:numId w:val="52"/>
        </w:numPr>
        <w:rPr>
          <w:rFonts w:ascii="Arial" w:cs="Arial" w:eastAsia="Arial" w:hAnsi="Arial"/>
          <w:sz w:val="14"/>
          <w:szCs w:val="14"/>
          <w:color w:val="auto"/>
        </w:rPr>
      </w:pPr>
      <w:r>
        <w:rPr>
          <w:rFonts w:ascii="Arial" w:cs="Arial" w:eastAsia="Arial" w:hAnsi="Arial"/>
          <w:sz w:val="14"/>
          <w:szCs w:val="14"/>
          <w:color w:val="auto"/>
        </w:rPr>
        <w:t>Accounting for a target weighting of 10% of the overall enterprise metrics, target performance goal reflects risked, net entitlement volumes for wells drilled in 2017. Performance above target required exceptional results and caused a payout above target.</w:t>
      </w:r>
    </w:p>
    <w:p>
      <w:pPr>
        <w:spacing w:after="0" w:line="141" w:lineRule="exact"/>
        <w:rPr>
          <w:sz w:val="20"/>
          <w:szCs w:val="20"/>
          <w:color w:val="auto"/>
        </w:rPr>
      </w:pPr>
    </w:p>
    <w:p>
      <w:pPr>
        <w:jc w:val="both"/>
        <w:ind w:left="280" w:right="20"/>
        <w:spacing w:after="0" w:line="239" w:lineRule="auto"/>
        <w:rPr>
          <w:sz w:val="20"/>
          <w:szCs w:val="20"/>
          <w:color w:val="auto"/>
        </w:rPr>
      </w:pPr>
      <w:r>
        <w:rPr>
          <w:rFonts w:ascii="Arial" w:cs="Arial" w:eastAsia="Arial" w:hAnsi="Arial"/>
          <w:sz w:val="18"/>
          <w:szCs w:val="18"/>
          <w:b w:val="1"/>
          <w:bCs w:val="1"/>
          <w:i w:val="1"/>
          <w:iCs w:val="1"/>
          <w:color w:val="007549"/>
        </w:rPr>
        <w:t xml:space="preserve">2017 Enterprise Performance Summary. </w:t>
      </w:r>
      <w:r>
        <w:rPr>
          <w:rFonts w:ascii="Arial" w:cs="Arial" w:eastAsia="Arial" w:hAnsi="Arial"/>
          <w:sz w:val="18"/>
          <w:szCs w:val="18"/>
          <w:color w:val="000000"/>
        </w:rPr>
        <w:t>Production in 2017 was below target due in part to the unplanned shutdown of the non-operated Enchilada platform in the Gulf of Mexico in the fourth quarter, which shut-in 30,000 barrels of oil equivalent per day and had a net annual impact of approximately 4,000 barrels of oil equivalent per day for 2017. The operator of the Enchilada platform continues to work to bring the asset back online. In 2017, we also completed the sale of assets with average production of approximately 60,000 barrels of oil equivalent per day.</w:t>
      </w:r>
    </w:p>
    <w:p>
      <w:pPr>
        <w:spacing w:after="0" w:line="175" w:lineRule="exact"/>
        <w:rPr>
          <w:sz w:val="20"/>
          <w:szCs w:val="20"/>
          <w:color w:val="auto"/>
        </w:rPr>
      </w:pPr>
    </w:p>
    <w:p>
      <w:pPr>
        <w:jc w:val="both"/>
        <w:ind w:left="280" w:right="20"/>
        <w:spacing w:after="0" w:line="233" w:lineRule="auto"/>
        <w:rPr>
          <w:sz w:val="20"/>
          <w:szCs w:val="20"/>
          <w:color w:val="auto"/>
        </w:rPr>
      </w:pPr>
      <w:r>
        <w:rPr>
          <w:rFonts w:ascii="Arial" w:cs="Arial" w:eastAsia="Arial" w:hAnsi="Arial"/>
          <w:sz w:val="18"/>
          <w:szCs w:val="18"/>
          <w:color w:val="auto"/>
        </w:rPr>
        <w:t>The company’s Controllable Operated Cash Costs and Cash Return on Capital Employed continued to perform in-line with expectations as the cost cutting program and efficient operations delivered in-line margins. Environment, Health and Safety, which includes 4 equally weighted measures, remain a core focus of management and we delivered ahead of expectations on three of the four measures. We reduced our severe environmental incident rate by 38% compared to 2016, completed all remaining asset integrity assessments and implemented all outstanding Integrity Critical Equipment (ICE) performance standards. Although the severe safety incident rate was higher than target due to incidents in early 2017, management’s response measures were effective and performance improved in the second half of the year.</w:t>
      </w:r>
    </w:p>
    <w:p>
      <w:pPr>
        <w:spacing w:after="0" w:line="163" w:lineRule="exact"/>
        <w:rPr>
          <w:sz w:val="20"/>
          <w:szCs w:val="20"/>
          <w:color w:val="auto"/>
        </w:rPr>
      </w:pPr>
    </w:p>
    <w:p>
      <w:pPr>
        <w:jc w:val="both"/>
        <w:ind w:left="280" w:right="20"/>
        <w:spacing w:after="0" w:line="234" w:lineRule="auto"/>
        <w:rPr>
          <w:sz w:val="20"/>
          <w:szCs w:val="20"/>
          <w:color w:val="auto"/>
        </w:rPr>
      </w:pPr>
      <w:r>
        <w:rPr>
          <w:rFonts w:ascii="Arial" w:cs="Arial" w:eastAsia="Arial" w:hAnsi="Arial"/>
          <w:sz w:val="18"/>
          <w:szCs w:val="18"/>
          <w:color w:val="auto"/>
        </w:rPr>
        <w:t>Exploration Resource Additions far exceeded the target goal and paid out at the maximum level, driven by our exploration success in Guyana, where we drilled five successful exploration and appraisal wells and nearly tripled the estimated resource size since year-end 2016. The company was able to achieve this higher than expected resource growth in an efficient manner, as Capital and Exploratory Spend came in well below budget. Our targets for Capital and Exploratory Spend were higher in 2017 reflecting our increased budget for additional planned activity at our growth assets in the Bakken and Guyana.</w:t>
      </w:r>
    </w:p>
    <w:p>
      <w:pPr>
        <w:spacing w:after="0" w:line="162" w:lineRule="exact"/>
        <w:rPr>
          <w:sz w:val="20"/>
          <w:szCs w:val="20"/>
          <w:color w:val="auto"/>
        </w:rPr>
      </w:pPr>
    </w:p>
    <w:p>
      <w:pPr>
        <w:jc w:val="both"/>
        <w:ind w:left="280" w:right="20"/>
        <w:spacing w:after="0" w:line="233" w:lineRule="auto"/>
        <w:rPr>
          <w:sz w:val="20"/>
          <w:szCs w:val="20"/>
          <w:color w:val="auto"/>
        </w:rPr>
      </w:pPr>
      <w:r>
        <w:rPr>
          <w:rFonts w:ascii="Arial" w:cs="Arial" w:eastAsia="Arial" w:hAnsi="Arial"/>
          <w:sz w:val="18"/>
          <w:szCs w:val="18"/>
          <w:color w:val="auto"/>
        </w:rPr>
        <w:t>The committee maintains discretion to reduce the AIP payouts below achievement levels and recognizes that the company’s stock price performance during 2017 was below expectations. However, the committee believes that management performed above expectations with respect to the aspects of the business that are most under their control and that a payout in-line with the formulaic AIP determination was appropriate. Further, the PSUs covering the 2015 to 2017 performance period under our LTIP, which comprise a much greater portion of our NEOs’ total compensation than the AIP, paid out at 63% of target. As a result, the committee believes the AIP payout was appropriate as management was rewarded for achieving the one-year milestones that will deliver value over the long-term, but received below target total compensation in-line with stock price performance.</w:t>
      </w:r>
    </w:p>
    <w:p>
      <w:pPr>
        <w:spacing w:after="0" w:line="155" w:lineRule="exact"/>
        <w:rPr>
          <w:sz w:val="20"/>
          <w:szCs w:val="20"/>
          <w:color w:val="auto"/>
        </w:rPr>
      </w:pPr>
    </w:p>
    <w:p>
      <w:pPr>
        <w:jc w:val="both"/>
        <w:ind w:left="280" w:right="20"/>
        <w:spacing w:after="0" w:line="239" w:lineRule="auto"/>
        <w:rPr>
          <w:sz w:val="20"/>
          <w:szCs w:val="20"/>
          <w:color w:val="auto"/>
        </w:rPr>
      </w:pPr>
      <w:r>
        <w:rPr>
          <w:rFonts w:ascii="Arial" w:cs="Arial" w:eastAsia="Arial" w:hAnsi="Arial"/>
          <w:sz w:val="18"/>
          <w:szCs w:val="18"/>
          <w:b w:val="1"/>
          <w:bCs w:val="1"/>
          <w:i w:val="1"/>
          <w:iCs w:val="1"/>
          <w:color w:val="007549"/>
        </w:rPr>
        <w:t xml:space="preserve">Assessment of Individual Performance. </w:t>
      </w:r>
      <w:r>
        <w:rPr>
          <w:rFonts w:ascii="Arial" w:cs="Arial" w:eastAsia="Arial" w:hAnsi="Arial"/>
          <w:sz w:val="18"/>
          <w:szCs w:val="18"/>
          <w:color w:val="000000"/>
        </w:rPr>
        <w:t>We assess individual performance-based on goals set at the beginning of each year, specific to</w:t>
      </w:r>
      <w:r>
        <w:rPr>
          <w:rFonts w:ascii="Arial" w:cs="Arial" w:eastAsia="Arial" w:hAnsi="Arial"/>
          <w:sz w:val="18"/>
          <w:szCs w:val="18"/>
          <w:b w:val="1"/>
          <w:bCs w:val="1"/>
          <w:i w:val="1"/>
          <w:iCs w:val="1"/>
          <w:color w:val="007549"/>
        </w:rPr>
        <w:t xml:space="preserve"> </w:t>
      </w:r>
      <w:r>
        <w:rPr>
          <w:rFonts w:ascii="Arial" w:cs="Arial" w:eastAsia="Arial" w:hAnsi="Arial"/>
          <w:sz w:val="18"/>
          <w:szCs w:val="18"/>
          <w:color w:val="000000"/>
        </w:rPr>
        <w:t>each NEO. Following year-end, achievement of these pre-defined performance goals is assessed. The CEO conducts performance reviews for his direct reporting NEOs and makes compensation recommendations to the committee based on these reviews, with the committee making the final award determination. The cumulative assessment against these objectives for each NEO determines the modifier used (if any) to influence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86360</wp:posOffset>
            </wp:positionV>
            <wp:extent cx="405765" cy="2451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210" w:lineRule="exact"/>
        <w:rPr>
          <w:sz w:val="20"/>
          <w:szCs w:val="20"/>
          <w:color w:val="auto"/>
        </w:rPr>
      </w:pPr>
    </w:p>
    <w:tbl>
      <w:tblPr>
        <w:tblLayout w:type="fixed"/>
        <w:tblInd w:w="9140" w:type="dxa"/>
        <w:tblCellMar>
          <w:top w:w="0" w:type="dxa"/>
          <w:left w:w="0" w:type="dxa"/>
          <w:bottom w:w="0" w:type="dxa"/>
          <w:right w:w="0" w:type="dxa"/>
        </w:tblCellMar>
      </w:tblPr>
      <w:tr>
        <w:trPr>
          <w:trHeight w:val="188"/>
        </w:trPr>
        <w:tc>
          <w:tcPr>
            <w:tcW w:w="1680" w:type="dxa"/>
            <w:vAlign w:val="bottom"/>
          </w:tcPr>
          <w:p>
            <w:pPr>
              <w:spacing w:after="0"/>
              <w:rPr>
                <w:sz w:val="20"/>
                <w:szCs w:val="20"/>
                <w:color w:val="auto"/>
              </w:rPr>
            </w:pPr>
            <w:r>
              <w:rPr>
                <w:rFonts w:ascii="Arial" w:cs="Arial" w:eastAsia="Arial" w:hAnsi="Arial"/>
                <w:sz w:val="12"/>
                <w:szCs w:val="12"/>
                <w:b w:val="1"/>
                <w:bCs w:val="1"/>
                <w:color w:val="666666"/>
              </w:rPr>
              <w:t>2018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007549"/>
              </w:rPr>
              <w:t>29</w:t>
            </w:r>
          </w:p>
        </w:tc>
      </w:tr>
    </w:tbl>
    <w:p>
      <w:pPr>
        <w:sectPr>
          <w:pgSz w:w="11900" w:h="16838" w:orient="portrait"/>
          <w:cols w:equalWidth="0" w:num="1">
            <w:col w:w="11160"/>
          </w:cols>
          <w:pgMar w:left="240" w:top="454" w:right="4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007549"/>
        </w:rPr>
        <w:t xml:space="preserve">Executive Compensation </w:t>
      </w:r>
      <w:r>
        <w:rPr>
          <w:rFonts w:ascii="Arial" w:cs="Arial" w:eastAsia="Arial" w:hAnsi="Arial"/>
          <w:sz w:val="16"/>
          <w:szCs w:val="16"/>
          <w:b w:val="1"/>
          <w:bCs w:val="1"/>
          <w:color w:val="000000"/>
        </w:rPr>
        <w:t>+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55245</wp:posOffset>
            </wp:positionV>
            <wp:extent cx="689356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266" w:lineRule="exact"/>
        <w:rPr>
          <w:sz w:val="20"/>
          <w:szCs w:val="20"/>
          <w:color w:val="auto"/>
        </w:rPr>
      </w:pPr>
    </w:p>
    <w:p>
      <w:pPr>
        <w:jc w:val="both"/>
        <w:ind w:left="280"/>
        <w:spacing w:after="0" w:line="236" w:lineRule="auto"/>
        <w:rPr>
          <w:sz w:val="20"/>
          <w:szCs w:val="20"/>
          <w:color w:val="auto"/>
        </w:rPr>
      </w:pPr>
      <w:r>
        <w:rPr>
          <w:rFonts w:ascii="Arial" w:cs="Arial" w:eastAsia="Arial" w:hAnsi="Arial"/>
          <w:sz w:val="18"/>
          <w:szCs w:val="18"/>
          <w:color w:val="auto"/>
        </w:rPr>
        <w:t>the final payout of their annual incentive award. The target LTI value for any NEO can be adjusted down to zero or increased by up to 25%, given the result of each individual performance assessment. This review can also influence the grant date dollar value of LTI compensation and base salary adjustments for the subsequent year.</w:t>
      </w:r>
    </w:p>
    <w:p>
      <w:pPr>
        <w:spacing w:after="0" w:line="161" w:lineRule="exact"/>
        <w:rPr>
          <w:sz w:val="20"/>
          <w:szCs w:val="20"/>
          <w:color w:val="auto"/>
        </w:rPr>
      </w:pPr>
    </w:p>
    <w:p>
      <w:pPr>
        <w:jc w:val="both"/>
        <w:ind w:left="280"/>
        <w:spacing w:after="0" w:line="234" w:lineRule="auto"/>
        <w:rPr>
          <w:sz w:val="20"/>
          <w:szCs w:val="20"/>
          <w:color w:val="auto"/>
        </w:rPr>
      </w:pPr>
      <w:r>
        <w:rPr>
          <w:rFonts w:ascii="Arial" w:cs="Arial" w:eastAsia="Arial" w:hAnsi="Arial"/>
          <w:sz w:val="18"/>
          <w:szCs w:val="18"/>
          <w:color w:val="auto"/>
        </w:rPr>
        <w:t>The committee chairperson and chairman of the board facilitate a process with the full board of directors to review the CEO self-assessment of prior year performance and discuss specific feedback on that performance against pre-established operational, financial and organizational performance objectives. Upon review of this collective feedback, the committee makes CEO award determinations for base salary increases, annual incentive awards and long-term incentive award dollar values. Other considerations by the committee in the compensation determinations include external market reference points and overall enterprise and share price performance.</w:t>
      </w:r>
    </w:p>
    <w:p>
      <w:pPr>
        <w:spacing w:after="0" w:line="175" w:lineRule="exact"/>
        <w:rPr>
          <w:sz w:val="20"/>
          <w:szCs w:val="20"/>
          <w:color w:val="auto"/>
        </w:rPr>
      </w:pPr>
    </w:p>
    <w:p>
      <w:pPr>
        <w:jc w:val="both"/>
        <w:ind w:left="280"/>
        <w:spacing w:after="0" w:line="233" w:lineRule="auto"/>
        <w:rPr>
          <w:sz w:val="20"/>
          <w:szCs w:val="20"/>
          <w:color w:val="auto"/>
        </w:rPr>
      </w:pPr>
      <w:r>
        <w:rPr>
          <w:rFonts w:ascii="Arial" w:cs="Arial" w:eastAsia="Arial" w:hAnsi="Arial"/>
          <w:sz w:val="18"/>
          <w:szCs w:val="18"/>
          <w:color w:val="auto"/>
        </w:rPr>
        <w:t>In March 2017, the committee approved the performance objectives for our CEO and other NEOs. None of the objectives had specific weighting. Each objective is intended to be used together with other information the committee determines relevant to develop a holistic evaluation of individual performance. In the first quarter of 2018, the committee evaluated 2017 performance for each NEO against the approved performance objectives and in light of external market trends and enterprise performance. For Mr. Hess, the committee conducted the process described above, reviewed and considered his 2017 performance self-assessment, collectively discussed feedback on the performance objectives outlined below and concluded that his 2017 performance met or exceeded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147320</wp:posOffset>
            </wp:positionV>
            <wp:extent cx="6893560" cy="1689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93560" cy="168910"/>
                    </a:xfrm>
                    <a:prstGeom prst="rect">
                      <a:avLst/>
                    </a:prstGeom>
                    <a:noFill/>
                  </pic:spPr>
                </pic:pic>
              </a:graphicData>
            </a:graphic>
          </wp:anchor>
        </w:drawing>
      </w:r>
    </w:p>
    <w:p>
      <w:pPr>
        <w:spacing w:after="0" w:line="22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FFFFFF"/>
        </w:rPr>
        <w:t>Performance vs. Goals for our Chief Executive Officer</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Strategic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-113665</wp:posOffset>
            </wp:positionV>
            <wp:extent cx="6893560" cy="3582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93560" cy="3582035"/>
                    </a:xfrm>
                    <a:prstGeom prst="rect">
                      <a:avLst/>
                    </a:prstGeom>
                    <a:noFill/>
                  </pic:spPr>
                </pic:pic>
              </a:graphicData>
            </a:graphic>
          </wp:anchor>
        </w:drawing>
      </w:r>
    </w:p>
    <w:p>
      <w:pPr>
        <w:ind w:left="620" w:hanging="120"/>
        <w:spacing w:after="0"/>
        <w:tabs>
          <w:tab w:leader="none" w:pos="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High-graded the portfolio, completing asset sales of $3.4 billion that exceeded timing and value expectations</w:t>
      </w:r>
    </w:p>
    <w:p>
      <w:pPr>
        <w:spacing w:after="0" w:line="70" w:lineRule="exact"/>
        <w:rPr>
          <w:rFonts w:ascii="Arial" w:cs="Arial" w:eastAsia="Arial" w:hAnsi="Arial"/>
          <w:sz w:val="17"/>
          <w:szCs w:val="17"/>
          <w:color w:val="auto"/>
        </w:rPr>
      </w:pPr>
    </w:p>
    <w:p>
      <w:pPr>
        <w:ind w:left="620" w:hanging="120"/>
        <w:spacing w:after="0"/>
        <w:tabs>
          <w:tab w:leader="none" w:pos="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Sanctioned the first phase of a planned multiphase development of the Liza Field</w:t>
      </w:r>
    </w:p>
    <w:p>
      <w:pPr>
        <w:spacing w:after="0" w:line="70" w:lineRule="exact"/>
        <w:rPr>
          <w:rFonts w:ascii="Arial" w:cs="Arial" w:eastAsia="Arial" w:hAnsi="Arial"/>
          <w:sz w:val="17"/>
          <w:szCs w:val="17"/>
          <w:color w:val="auto"/>
        </w:rPr>
      </w:pPr>
    </w:p>
    <w:p>
      <w:pPr>
        <w:ind w:left="640" w:right="120" w:hanging="140"/>
        <w:spacing w:after="0" w:line="238" w:lineRule="auto"/>
        <w:tabs>
          <w:tab w:leader="none" w:pos="625" w:val="left"/>
        </w:tabs>
        <w:numPr>
          <w:ilvl w:val="0"/>
          <w:numId w:val="53"/>
        </w:numPr>
        <w:rPr>
          <w:rFonts w:ascii="Arial" w:cs="Arial" w:eastAsia="Arial" w:hAnsi="Arial"/>
          <w:sz w:val="17"/>
          <w:szCs w:val="17"/>
          <w:color w:val="auto"/>
        </w:rPr>
      </w:pPr>
      <w:r>
        <w:rPr>
          <w:rFonts w:ascii="Arial" w:cs="Arial" w:eastAsia="Arial" w:hAnsi="Arial"/>
          <w:sz w:val="17"/>
          <w:szCs w:val="17"/>
          <w:color w:val="auto"/>
        </w:rPr>
        <w:t>Drilled 5 successful exploration and appraisal wells on the Stabroek Block in Guyana, nearly tripling estimated resource size compared to year-end 2016; Acquired interests in additional exploration prospects in the Guyana Basin</w:t>
      </w:r>
    </w:p>
    <w:p>
      <w:pPr>
        <w:spacing w:after="0" w:line="64" w:lineRule="exact"/>
        <w:rPr>
          <w:rFonts w:ascii="Arial" w:cs="Arial" w:eastAsia="Arial" w:hAnsi="Arial"/>
          <w:sz w:val="17"/>
          <w:szCs w:val="17"/>
          <w:color w:val="auto"/>
        </w:rPr>
      </w:pPr>
    </w:p>
    <w:p>
      <w:pPr>
        <w:ind w:left="620" w:hanging="120"/>
        <w:spacing w:after="0"/>
        <w:tabs>
          <w:tab w:leader="none" w:pos="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Successfully completed upsized initial public offering of Hess Midstream Partners LP common units</w:t>
      </w:r>
    </w:p>
    <w:p>
      <w:pPr>
        <w:spacing w:after="0" w:line="70" w:lineRule="exact"/>
        <w:rPr>
          <w:rFonts w:ascii="Arial" w:cs="Arial" w:eastAsia="Arial" w:hAnsi="Arial"/>
          <w:sz w:val="17"/>
          <w:szCs w:val="17"/>
          <w:color w:val="auto"/>
        </w:rPr>
      </w:pPr>
    </w:p>
    <w:p>
      <w:pPr>
        <w:ind w:left="620" w:hanging="120"/>
        <w:spacing w:after="0"/>
        <w:tabs>
          <w:tab w:leader="none" w:pos="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Brought North Malay Basin online on schedule and under budget; progressed Stampede towards first oil in Jan. 2018</w:t>
      </w:r>
    </w:p>
    <w:p>
      <w:pPr>
        <w:spacing w:after="0" w:line="70" w:lineRule="exact"/>
        <w:rPr>
          <w:rFonts w:ascii="Arial" w:cs="Arial" w:eastAsia="Arial" w:hAnsi="Arial"/>
          <w:sz w:val="17"/>
          <w:szCs w:val="17"/>
          <w:color w:val="auto"/>
        </w:rPr>
      </w:pPr>
    </w:p>
    <w:p>
      <w:pPr>
        <w:ind w:left="620" w:hanging="120"/>
        <w:spacing w:after="0"/>
        <w:tabs>
          <w:tab w:leader="none" w:pos="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Initiated organizational restructuring to drive efficiency and reduce costs</w:t>
      </w:r>
    </w:p>
    <w:p>
      <w:pPr>
        <w:spacing w:after="0" w:line="51"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Annual Operations and Financial Goals</w:t>
      </w:r>
    </w:p>
    <w:p>
      <w:pPr>
        <w:spacing w:after="0" w:line="11" w:lineRule="exact"/>
        <w:rPr>
          <w:sz w:val="20"/>
          <w:szCs w:val="20"/>
          <w:color w:val="auto"/>
        </w:rPr>
      </w:pPr>
    </w:p>
    <w:p>
      <w:pPr>
        <w:ind w:left="620" w:hanging="120"/>
        <w:spacing w:after="0"/>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Significantly exceeded reserve replacement and exploration resource addition goals</w:t>
      </w:r>
    </w:p>
    <w:p>
      <w:pPr>
        <w:spacing w:after="0" w:line="70" w:lineRule="exact"/>
        <w:rPr>
          <w:rFonts w:ascii="Arial" w:cs="Arial" w:eastAsia="Arial" w:hAnsi="Arial"/>
          <w:sz w:val="17"/>
          <w:szCs w:val="17"/>
          <w:color w:val="auto"/>
        </w:rPr>
      </w:pPr>
    </w:p>
    <w:p>
      <w:pPr>
        <w:ind w:left="620" w:hanging="120"/>
        <w:spacing w:after="0"/>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Delivered capital and exploratory spend and cash cost under budget</w:t>
      </w:r>
    </w:p>
    <w:p>
      <w:pPr>
        <w:spacing w:after="0" w:line="70" w:lineRule="exact"/>
        <w:rPr>
          <w:rFonts w:ascii="Arial" w:cs="Arial" w:eastAsia="Arial" w:hAnsi="Arial"/>
          <w:sz w:val="17"/>
          <w:szCs w:val="17"/>
          <w:color w:val="auto"/>
        </w:rPr>
      </w:pPr>
    </w:p>
    <w:p>
      <w:pPr>
        <w:ind w:left="640" w:right="120" w:hanging="140"/>
        <w:spacing w:after="0" w:line="238" w:lineRule="auto"/>
        <w:tabs>
          <w:tab w:leader="none" w:pos="625"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Bakken production of 105,000 boepd was at upper end of target; total production was at low end of range due to a fire at a non-operated platform in the Gulf of Mexico</w:t>
      </w:r>
    </w:p>
    <w:p>
      <w:pPr>
        <w:spacing w:after="0" w:line="45"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Environment, Health, Safety &amp; Sustainability</w:t>
      </w:r>
    </w:p>
    <w:p>
      <w:pPr>
        <w:spacing w:after="0" w:line="11" w:lineRule="exact"/>
        <w:rPr>
          <w:sz w:val="20"/>
          <w:szCs w:val="20"/>
          <w:color w:val="auto"/>
        </w:rPr>
      </w:pPr>
    </w:p>
    <w:p>
      <w:pPr>
        <w:jc w:val="both"/>
        <w:ind w:left="640" w:right="120" w:hanging="140"/>
        <w:spacing w:after="0" w:line="235" w:lineRule="auto"/>
        <w:tabs>
          <w:tab w:leader="none" w:pos="625" w:val="left"/>
        </w:tabs>
        <w:numPr>
          <w:ilvl w:val="0"/>
          <w:numId w:val="55"/>
        </w:numPr>
        <w:rPr>
          <w:rFonts w:ascii="Arial" w:cs="Arial" w:eastAsia="Arial" w:hAnsi="Arial"/>
          <w:sz w:val="17"/>
          <w:szCs w:val="17"/>
          <w:color w:val="auto"/>
        </w:rPr>
      </w:pPr>
      <w:r>
        <w:rPr>
          <w:rFonts w:ascii="Arial" w:cs="Arial" w:eastAsia="Arial" w:hAnsi="Arial"/>
          <w:sz w:val="17"/>
          <w:szCs w:val="17"/>
          <w:color w:val="auto"/>
        </w:rPr>
        <w:t>Environment, Health and Safety results generally exceeded expectations, with significantly lower severe environmental incident and total recordable incident rates compared to prior years; severe safety incidents were higher than target but mitigations were effective and performance improved in the second half of 2017</w:t>
      </w:r>
    </w:p>
    <w:p>
      <w:pPr>
        <w:spacing w:after="0" w:line="64" w:lineRule="exact"/>
        <w:rPr>
          <w:rFonts w:ascii="Arial" w:cs="Arial" w:eastAsia="Arial" w:hAnsi="Arial"/>
          <w:sz w:val="17"/>
          <w:szCs w:val="17"/>
          <w:color w:val="auto"/>
        </w:rPr>
      </w:pPr>
    </w:p>
    <w:p>
      <w:pPr>
        <w:ind w:left="640" w:right="120" w:hanging="140"/>
        <w:spacing w:after="0" w:line="238" w:lineRule="auto"/>
        <w:tabs>
          <w:tab w:leader="none" w:pos="625" w:val="left"/>
        </w:tabs>
        <w:numPr>
          <w:ilvl w:val="0"/>
          <w:numId w:val="55"/>
        </w:numPr>
        <w:rPr>
          <w:rFonts w:ascii="Arial" w:cs="Arial" w:eastAsia="Arial" w:hAnsi="Arial"/>
          <w:sz w:val="17"/>
          <w:szCs w:val="17"/>
          <w:color w:val="auto"/>
        </w:rPr>
      </w:pPr>
      <w:r>
        <w:rPr>
          <w:rFonts w:ascii="Arial" w:cs="Arial" w:eastAsia="Arial" w:hAnsi="Arial"/>
          <w:sz w:val="17"/>
          <w:szCs w:val="17"/>
          <w:color w:val="auto"/>
        </w:rPr>
        <w:t>Hess’s sustainability practices continue to be recognized by third-party organizations; Hess earned leadership status in CDP’s 2017 Global Climate Analysis, the only U.S. oil and gas producer to do so</w:t>
      </w:r>
    </w:p>
    <w:p>
      <w:pPr>
        <w:spacing w:after="0" w:line="45"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Corporate Reputation and Relationship Building</w:t>
      </w:r>
    </w:p>
    <w:p>
      <w:pPr>
        <w:spacing w:after="0" w:line="11" w:lineRule="exact"/>
        <w:rPr>
          <w:sz w:val="20"/>
          <w:szCs w:val="20"/>
          <w:color w:val="auto"/>
        </w:rPr>
      </w:pPr>
    </w:p>
    <w:p>
      <w:pPr>
        <w:ind w:left="640" w:right="120" w:hanging="140"/>
        <w:spacing w:after="0" w:line="238" w:lineRule="auto"/>
        <w:tabs>
          <w:tab w:leader="none" w:pos="616" w:val="left"/>
        </w:tabs>
        <w:numPr>
          <w:ilvl w:val="0"/>
          <w:numId w:val="56"/>
        </w:numPr>
        <w:rPr>
          <w:rFonts w:ascii="Arial" w:cs="Arial" w:eastAsia="Arial" w:hAnsi="Arial"/>
          <w:sz w:val="17"/>
          <w:szCs w:val="17"/>
          <w:color w:val="auto"/>
        </w:rPr>
      </w:pPr>
      <w:r>
        <w:rPr>
          <w:rFonts w:ascii="Arial" w:cs="Arial" w:eastAsia="Arial" w:hAnsi="Arial"/>
          <w:sz w:val="17"/>
          <w:szCs w:val="17"/>
          <w:color w:val="auto"/>
        </w:rPr>
        <w:t>Advanced Hess’ interests as a spokesperson for the industry, including speaking at CERAWeek and PIRA’s Executive Energy Conference and conducted numerous interviews with trade media about industry challenges</w:t>
      </w:r>
    </w:p>
    <w:p>
      <w:pPr>
        <w:spacing w:after="0" w:line="64" w:lineRule="exact"/>
        <w:rPr>
          <w:rFonts w:ascii="Arial" w:cs="Arial" w:eastAsia="Arial" w:hAnsi="Arial"/>
          <w:sz w:val="17"/>
          <w:szCs w:val="17"/>
          <w:color w:val="auto"/>
        </w:rPr>
      </w:pPr>
    </w:p>
    <w:p>
      <w:pPr>
        <w:ind w:left="620" w:hanging="120"/>
        <w:spacing w:after="0"/>
        <w:tabs>
          <w:tab w:leader="none" w:pos="6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Maintained robust dialogue with investors and participated in over 100 investor meetings</w:t>
      </w:r>
    </w:p>
    <w:p>
      <w:pPr>
        <w:spacing w:after="0" w:line="70" w:lineRule="exact"/>
        <w:rPr>
          <w:rFonts w:ascii="Arial" w:cs="Arial" w:eastAsia="Arial" w:hAnsi="Arial"/>
          <w:sz w:val="17"/>
          <w:szCs w:val="17"/>
          <w:color w:val="auto"/>
        </w:rPr>
      </w:pPr>
    </w:p>
    <w:p>
      <w:pPr>
        <w:ind w:left="620" w:hanging="120"/>
        <w:spacing w:after="0"/>
        <w:tabs>
          <w:tab w:leader="none" w:pos="6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Maintained strong relationships with key industry CEOs and government officials on corporate and industry issues</w:t>
      </w:r>
    </w:p>
    <w:p>
      <w:pPr>
        <w:spacing w:after="0" w:line="302" w:lineRule="exact"/>
        <w:rPr>
          <w:sz w:val="20"/>
          <w:szCs w:val="20"/>
          <w:color w:val="auto"/>
        </w:rPr>
      </w:pPr>
    </w:p>
    <w:p>
      <w:pPr>
        <w:jc w:val="both"/>
        <w:ind w:left="280"/>
        <w:spacing w:after="0" w:line="236" w:lineRule="auto"/>
        <w:rPr>
          <w:sz w:val="20"/>
          <w:szCs w:val="20"/>
          <w:color w:val="auto"/>
        </w:rPr>
      </w:pPr>
      <w:r>
        <w:rPr>
          <w:rFonts w:ascii="Arial" w:cs="Arial" w:eastAsia="Arial" w:hAnsi="Arial"/>
          <w:sz w:val="18"/>
          <w:szCs w:val="18"/>
          <w:color w:val="auto"/>
        </w:rPr>
        <w:t>Messrs. Hill, Goodell, Rielly and Turner contributed to the positive outcomes listed above. In addition, specific to each individual, the committee considered, among other things, the items listed below for each individual, as well as input from the CEO and other members of the board of directors.</w:t>
      </w:r>
    </w:p>
    <w:p>
      <w:pPr>
        <w:spacing w:after="0" w:line="161" w:lineRule="exact"/>
        <w:rPr>
          <w:sz w:val="20"/>
          <w:szCs w:val="20"/>
          <w:color w:val="auto"/>
        </w:rPr>
      </w:pPr>
    </w:p>
    <w:p>
      <w:pPr>
        <w:jc w:val="both"/>
        <w:ind w:left="280"/>
        <w:spacing w:after="0" w:line="235" w:lineRule="auto"/>
        <w:rPr>
          <w:sz w:val="20"/>
          <w:szCs w:val="20"/>
          <w:color w:val="auto"/>
        </w:rPr>
      </w:pPr>
      <w:r>
        <w:rPr>
          <w:rFonts w:ascii="Arial" w:cs="Arial" w:eastAsia="Arial" w:hAnsi="Arial"/>
          <w:sz w:val="18"/>
          <w:szCs w:val="18"/>
          <w:color w:val="auto"/>
        </w:rPr>
        <w:t>Mr. Hill delivered key business targets and major milestones set forth in his performance goals. He completed the strategic portfolio review process, stewarded the sale of specific assets, restructured the organization to fit the newly designed portfolio, achieved our lowest TRIR rate in a decade and delivered significant cost reductions across multiple areas. Mr. Hill was also instrumental in orchestrating our reported exploration successes in Guyana and represented the company at various investor and industry conferences.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1820545</wp:posOffset>
            </wp:positionH>
            <wp:positionV relativeFrom="paragraph">
              <wp:posOffset>85725</wp:posOffset>
            </wp:positionV>
            <wp:extent cx="405765" cy="2451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215" w:lineRule="exact"/>
        <w:rPr>
          <w:sz w:val="20"/>
          <w:szCs w:val="20"/>
          <w:color w:val="auto"/>
        </w:rPr>
      </w:pPr>
    </w:p>
    <w:p>
      <w:pPr>
        <w:ind w:left="760" w:hanging="474"/>
        <w:spacing w:after="0"/>
        <w:tabs>
          <w:tab w:leader="none" w:pos="760" w:val="left"/>
        </w:tabs>
        <w:numPr>
          <w:ilvl w:val="0"/>
          <w:numId w:val="57"/>
        </w:numPr>
        <w:rPr>
          <w:rFonts w:ascii="Arial" w:cs="Arial" w:eastAsia="Arial" w:hAnsi="Arial"/>
          <w:sz w:val="14"/>
          <w:szCs w:val="14"/>
          <w:b w:val="1"/>
          <w:bCs w:val="1"/>
          <w:color w:val="007549"/>
        </w:rPr>
      </w:pPr>
      <w:r>
        <w:rPr>
          <w:rFonts w:ascii="Arial" w:cs="Arial" w:eastAsia="Arial" w:hAnsi="Arial"/>
          <w:sz w:val="12"/>
          <w:szCs w:val="12"/>
          <w:b w:val="1"/>
          <w:bCs w:val="1"/>
          <w:color w:val="666666"/>
        </w:rPr>
        <w:t>2018 PROXY STATEMENT</w:t>
      </w:r>
    </w:p>
    <w:p>
      <w:pPr>
        <w:sectPr>
          <w:pgSz w:w="11900" w:h="16838" w:orient="portrait"/>
          <w:cols w:equalWidth="0" w:num="1">
            <w:col w:w="11140"/>
          </w:cols>
          <w:pgMar w:left="240" w:top="454" w:right="5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7549"/>
        </w:rPr>
        <w:t xml:space="preserve">Executive Compensation </w:t>
      </w:r>
      <w:r>
        <w:rPr>
          <w:rFonts w:ascii="Arial" w:cs="Arial" w:eastAsia="Arial" w:hAnsi="Arial"/>
          <w:sz w:val="16"/>
          <w:szCs w:val="16"/>
          <w:b w:val="1"/>
          <w:bCs w:val="1"/>
          <w:color w:val="000000"/>
        </w:rPr>
        <w:t>+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55245</wp:posOffset>
            </wp:positionV>
            <wp:extent cx="68935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266" w:lineRule="exact"/>
        <w:rPr>
          <w:sz w:val="20"/>
          <w:szCs w:val="20"/>
          <w:color w:val="auto"/>
        </w:rPr>
      </w:pPr>
    </w:p>
    <w:p>
      <w:pPr>
        <w:jc w:val="both"/>
        <w:ind w:left="280"/>
        <w:spacing w:after="0" w:line="236" w:lineRule="auto"/>
        <w:rPr>
          <w:sz w:val="20"/>
          <w:szCs w:val="20"/>
          <w:color w:val="auto"/>
        </w:rPr>
      </w:pPr>
      <w:r>
        <w:rPr>
          <w:rFonts w:ascii="Arial" w:cs="Arial" w:eastAsia="Arial" w:hAnsi="Arial"/>
          <w:sz w:val="18"/>
          <w:szCs w:val="18"/>
          <w:color w:val="auto"/>
        </w:rPr>
        <w:t>Mr. Goodell delivered key business targets as set forth in his performance goals. He was instrumental in negotiating the asset sales during the year and oversaw the legal function’s activities in the successful initial public offering of Hess Midstream Partners LP. Mr. Goodell is also responsible for our legal strategy regarding global compliance, governance and litigation matters.</w:t>
      </w:r>
    </w:p>
    <w:p>
      <w:pPr>
        <w:spacing w:after="0" w:line="161" w:lineRule="exact"/>
        <w:rPr>
          <w:sz w:val="20"/>
          <w:szCs w:val="20"/>
          <w:color w:val="auto"/>
        </w:rPr>
      </w:pPr>
    </w:p>
    <w:p>
      <w:pPr>
        <w:jc w:val="both"/>
        <w:ind w:left="280"/>
        <w:spacing w:after="0" w:line="236" w:lineRule="auto"/>
        <w:rPr>
          <w:sz w:val="20"/>
          <w:szCs w:val="20"/>
          <w:color w:val="auto"/>
        </w:rPr>
      </w:pPr>
      <w:r>
        <w:rPr>
          <w:rFonts w:ascii="Arial" w:cs="Arial" w:eastAsia="Arial" w:hAnsi="Arial"/>
          <w:sz w:val="18"/>
          <w:szCs w:val="18"/>
          <w:color w:val="auto"/>
        </w:rPr>
        <w:t>Mr. Rielly delivered key business targets as set forth in his performance goals. He played a critical role in the portfolio changes and ensuring long-term financial prudence in regard to risk, balance sheet and operational and financial efficiencies. He worked extensively on our cost reduction efforts, stockholder engagement activities and the announced share repurchase program.</w:t>
      </w:r>
    </w:p>
    <w:p>
      <w:pPr>
        <w:spacing w:after="0" w:line="174" w:lineRule="exact"/>
        <w:rPr>
          <w:sz w:val="20"/>
          <w:szCs w:val="20"/>
          <w:color w:val="auto"/>
        </w:rPr>
      </w:pPr>
    </w:p>
    <w:p>
      <w:pPr>
        <w:jc w:val="both"/>
        <w:ind w:left="280"/>
        <w:spacing w:after="0" w:line="236" w:lineRule="auto"/>
        <w:rPr>
          <w:sz w:val="20"/>
          <w:szCs w:val="20"/>
          <w:color w:val="auto"/>
        </w:rPr>
      </w:pPr>
      <w:r>
        <w:rPr>
          <w:rFonts w:ascii="Arial" w:cs="Arial" w:eastAsia="Arial" w:hAnsi="Arial"/>
          <w:sz w:val="18"/>
          <w:szCs w:val="18"/>
          <w:color w:val="auto"/>
        </w:rPr>
        <w:t>Mr. Turner assumed the role of Senior Vice President, Global Production in early 2017 and delivered on the key business targets as set forth in his performance goals. He achieved milestone performance in the areas of global safety, environment and other key operational measures related to our offshore and onshore operations.</w:t>
      </w:r>
    </w:p>
    <w:p>
      <w:pPr>
        <w:spacing w:after="0" w:line="161" w:lineRule="exact"/>
        <w:rPr>
          <w:sz w:val="20"/>
          <w:szCs w:val="20"/>
          <w:color w:val="auto"/>
        </w:rPr>
      </w:pPr>
    </w:p>
    <w:p>
      <w:pPr>
        <w:jc w:val="both"/>
        <w:ind w:left="280"/>
        <w:spacing w:after="0" w:line="235" w:lineRule="auto"/>
        <w:rPr>
          <w:sz w:val="20"/>
          <w:szCs w:val="20"/>
          <w:color w:val="auto"/>
        </w:rPr>
      </w:pPr>
      <w:r>
        <w:rPr>
          <w:rFonts w:ascii="Arial" w:cs="Arial" w:eastAsia="Arial" w:hAnsi="Arial"/>
          <w:sz w:val="18"/>
          <w:szCs w:val="18"/>
          <w:color w:val="auto"/>
        </w:rPr>
        <w:t>After reviewing the 2017 pre-defined individual performance goals in light of the overall enterprise financial performance, the committee made no individual adjustment to annual incentive payments for any of the NEOs. The committee determined this action was appropriate considering the company having a strong year of value creating portfolio and organizational changes and each individual exceeding individual performance expectations.</w:t>
      </w:r>
    </w:p>
    <w:p>
      <w:pPr>
        <w:spacing w:after="0" w:line="139" w:lineRule="exact"/>
        <w:rPr>
          <w:sz w:val="20"/>
          <w:szCs w:val="20"/>
          <w:color w:val="auto"/>
        </w:rPr>
      </w:pPr>
    </w:p>
    <w:p>
      <w:pPr>
        <w:jc w:val="both"/>
        <w:ind w:left="280"/>
        <w:spacing w:after="0" w:line="251" w:lineRule="auto"/>
        <w:rPr>
          <w:sz w:val="20"/>
          <w:szCs w:val="20"/>
          <w:color w:val="auto"/>
        </w:rPr>
      </w:pPr>
      <w:r>
        <w:rPr>
          <w:rFonts w:ascii="Arial" w:cs="Arial" w:eastAsia="Arial" w:hAnsi="Arial"/>
          <w:sz w:val="17"/>
          <w:szCs w:val="17"/>
          <w:b w:val="1"/>
          <w:bCs w:val="1"/>
          <w:i w:val="1"/>
          <w:iCs w:val="1"/>
          <w:color w:val="007549"/>
        </w:rPr>
        <w:t xml:space="preserve">LTI Program Structure. </w:t>
      </w:r>
      <w:r>
        <w:rPr>
          <w:rFonts w:ascii="Arial" w:cs="Arial" w:eastAsia="Arial" w:hAnsi="Arial"/>
          <w:sz w:val="17"/>
          <w:szCs w:val="17"/>
          <w:color w:val="000000"/>
        </w:rPr>
        <w:t>Long-term incentive compensation is an important tool to drive behavior that supports our long-term business</w:t>
      </w:r>
      <w:r>
        <w:rPr>
          <w:rFonts w:ascii="Arial" w:cs="Arial" w:eastAsia="Arial" w:hAnsi="Arial"/>
          <w:sz w:val="17"/>
          <w:szCs w:val="17"/>
          <w:b w:val="1"/>
          <w:bCs w:val="1"/>
          <w:i w:val="1"/>
          <w:iCs w:val="1"/>
          <w:color w:val="007549"/>
        </w:rPr>
        <w:t xml:space="preserve"> </w:t>
      </w:r>
      <w:r>
        <w:rPr>
          <w:rFonts w:ascii="Arial" w:cs="Arial" w:eastAsia="Arial" w:hAnsi="Arial"/>
          <w:sz w:val="17"/>
          <w:szCs w:val="17"/>
          <w:color w:val="000000"/>
        </w:rPr>
        <w:t>strategy. LTI compensation is also an important retention tool and aligns employee interests with stockholder interests. As a result, LTI compensation represents the largest portion of each executive officer’s target total direct compensation package. When determining the appropriate mix of LTI awards, the committee considers the typical time horizons of investment decisions for Hess’ business and industry, the current commodity price environment, the current performance metric for PSUs and market practice. For 2017, the committee determined to maintain the long-term incentive mix for Mr. Hess, which links 100% of his target LTI compensation to performance. As a result, 70% of Mr. Hess’ target LTI award was in the form of PSUs and 30% in the form of stock options. The committee also maintained the LTI mix for the company’s other NEOs for 2017. For such NEOs, 80% of the target LTI compensation was performance-contingent, with 60% in the form of PSUs, 20% in the form of stock options and the remaining 20% in the form of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1423670</wp:posOffset>
            </wp:positionH>
            <wp:positionV relativeFrom="paragraph">
              <wp:posOffset>198120</wp:posOffset>
            </wp:positionV>
            <wp:extent cx="4410075" cy="15798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410075" cy="1579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280"/>
        <w:spacing w:after="0" w:line="233" w:lineRule="auto"/>
        <w:rPr>
          <w:sz w:val="20"/>
          <w:szCs w:val="20"/>
          <w:color w:val="auto"/>
        </w:rPr>
      </w:pPr>
      <w:r>
        <w:rPr>
          <w:rFonts w:ascii="Arial" w:cs="Arial" w:eastAsia="Arial" w:hAnsi="Arial"/>
          <w:sz w:val="18"/>
          <w:szCs w:val="18"/>
          <w:color w:val="auto"/>
        </w:rPr>
        <w:t>Payout of PSUs is contingent upon the company’s TSR compared with that of our peer companies, identified on page 33, over a three-year period. In addition, our TSR must be positive during the three-year performance period for payout to exceed target, even if the company outperforms peers. Use of stock options, which remain exercisable for ten years, is supported by the company’s capital intensive industry, where the time horizon for investment decisions often extends over many years. Stock options, which only provide value upon absolute stock price appreciation, also reinforce a balance between relative and absolute stock price performance goals, given that the PSU payout is primarily based on relative TSR. Use of restricted stock promotes retention and aligns long-term interests of employees and stockholders.</w:t>
      </w:r>
    </w:p>
    <w:p>
      <w:pPr>
        <w:spacing w:after="0" w:line="141" w:lineRule="exact"/>
        <w:rPr>
          <w:sz w:val="20"/>
          <w:szCs w:val="20"/>
          <w:color w:val="auto"/>
        </w:rPr>
      </w:pPr>
    </w:p>
    <w:p>
      <w:pPr>
        <w:jc w:val="both"/>
        <w:ind w:left="280"/>
        <w:spacing w:after="0" w:line="263" w:lineRule="auto"/>
        <w:rPr>
          <w:sz w:val="20"/>
          <w:szCs w:val="20"/>
          <w:color w:val="auto"/>
        </w:rPr>
      </w:pPr>
      <w:r>
        <w:rPr>
          <w:rFonts w:ascii="Arial" w:cs="Arial" w:eastAsia="Arial" w:hAnsi="Arial"/>
          <w:sz w:val="18"/>
          <w:szCs w:val="18"/>
          <w:b w:val="1"/>
          <w:bCs w:val="1"/>
          <w:i w:val="1"/>
          <w:iCs w:val="1"/>
          <w:color w:val="007549"/>
        </w:rPr>
        <w:t xml:space="preserve">2017 Grant Levels. </w:t>
      </w:r>
      <w:r>
        <w:rPr>
          <w:rFonts w:ascii="Arial" w:cs="Arial" w:eastAsia="Arial" w:hAnsi="Arial"/>
          <w:sz w:val="18"/>
          <w:szCs w:val="18"/>
          <w:color w:val="000000"/>
        </w:rPr>
        <w:t>The committee reduced the CEO’s aggregate grant date value of LTI awards by 10% from target and approved grants</w:t>
      </w:r>
      <w:r>
        <w:rPr>
          <w:rFonts w:ascii="Arial" w:cs="Arial" w:eastAsia="Arial" w:hAnsi="Arial"/>
          <w:sz w:val="18"/>
          <w:szCs w:val="18"/>
          <w:b w:val="1"/>
          <w:bCs w:val="1"/>
          <w:i w:val="1"/>
          <w:iCs w:val="1"/>
          <w:color w:val="007549"/>
        </w:rPr>
        <w:t xml:space="preserve"> </w:t>
      </w:r>
      <w:r>
        <w:rPr>
          <w:rFonts w:ascii="Arial" w:cs="Arial" w:eastAsia="Arial" w:hAnsi="Arial"/>
          <w:sz w:val="18"/>
          <w:szCs w:val="18"/>
          <w:color w:val="000000"/>
        </w:rPr>
        <w:t>at target for the other NEOs.</w:t>
      </w:r>
    </w:p>
    <w:p>
      <w:pPr>
        <w:spacing w:after="0" w:line="158" w:lineRule="exact"/>
        <w:rPr>
          <w:sz w:val="20"/>
          <w:szCs w:val="20"/>
          <w:color w:val="auto"/>
        </w:rPr>
      </w:pPr>
    </w:p>
    <w:p>
      <w:pPr>
        <w:jc w:val="both"/>
        <w:ind w:left="280"/>
        <w:spacing w:after="0" w:line="263" w:lineRule="auto"/>
        <w:rPr>
          <w:sz w:val="20"/>
          <w:szCs w:val="20"/>
          <w:color w:val="auto"/>
        </w:rPr>
      </w:pPr>
      <w:r>
        <w:rPr>
          <w:rFonts w:ascii="Arial" w:cs="Arial" w:eastAsia="Arial" w:hAnsi="Arial"/>
          <w:sz w:val="18"/>
          <w:szCs w:val="18"/>
          <w:b w:val="1"/>
          <w:bCs w:val="1"/>
          <w:i w:val="1"/>
          <w:iCs w:val="1"/>
          <w:color w:val="007549"/>
        </w:rPr>
        <w:t xml:space="preserve">2018 Grant Level for CEO. </w:t>
      </w:r>
      <w:r>
        <w:rPr>
          <w:rFonts w:ascii="Arial" w:cs="Arial" w:eastAsia="Arial" w:hAnsi="Arial"/>
          <w:sz w:val="18"/>
          <w:szCs w:val="18"/>
          <w:color w:val="000000"/>
        </w:rPr>
        <w:t>In early 2018, after a review of market reference pay levels and considering the actions taken to streamline</w:t>
      </w:r>
      <w:r>
        <w:rPr>
          <w:rFonts w:ascii="Arial" w:cs="Arial" w:eastAsia="Arial" w:hAnsi="Arial"/>
          <w:sz w:val="18"/>
          <w:szCs w:val="18"/>
          <w:b w:val="1"/>
          <w:bCs w:val="1"/>
          <w:i w:val="1"/>
          <w:iCs w:val="1"/>
          <w:color w:val="007549"/>
        </w:rPr>
        <w:t xml:space="preserve"> </w:t>
      </w:r>
      <w:r>
        <w:rPr>
          <w:rFonts w:ascii="Arial" w:cs="Arial" w:eastAsia="Arial" w:hAnsi="Arial"/>
          <w:sz w:val="18"/>
          <w:szCs w:val="18"/>
          <w:color w:val="000000"/>
        </w:rPr>
        <w:t>the company through the sale of certain assets and cost reductions, the committee determined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73025</wp:posOffset>
            </wp:positionV>
            <wp:extent cx="405765" cy="2451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188" w:lineRule="exact"/>
        <w:rPr>
          <w:sz w:val="20"/>
          <w:szCs w:val="20"/>
          <w:color w:val="auto"/>
        </w:rPr>
      </w:pPr>
    </w:p>
    <w:tbl>
      <w:tblPr>
        <w:tblLayout w:type="fixed"/>
        <w:tblInd w:w="9140" w:type="dxa"/>
        <w:tblCellMar>
          <w:top w:w="0" w:type="dxa"/>
          <w:left w:w="0" w:type="dxa"/>
          <w:bottom w:w="0" w:type="dxa"/>
          <w:right w:w="0" w:type="dxa"/>
        </w:tblCellMar>
      </w:tblPr>
      <w:tr>
        <w:trPr>
          <w:trHeight w:val="188"/>
        </w:trPr>
        <w:tc>
          <w:tcPr>
            <w:tcW w:w="1680" w:type="dxa"/>
            <w:vAlign w:val="bottom"/>
          </w:tcPr>
          <w:p>
            <w:pPr>
              <w:spacing w:after="0"/>
              <w:rPr>
                <w:sz w:val="20"/>
                <w:szCs w:val="20"/>
                <w:color w:val="auto"/>
              </w:rPr>
            </w:pPr>
            <w:r>
              <w:rPr>
                <w:rFonts w:ascii="Arial" w:cs="Arial" w:eastAsia="Arial" w:hAnsi="Arial"/>
                <w:sz w:val="12"/>
                <w:szCs w:val="12"/>
                <w:b w:val="1"/>
                <w:bCs w:val="1"/>
                <w:color w:val="666666"/>
              </w:rPr>
              <w:t>2018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007549"/>
              </w:rPr>
              <w:t>31</w:t>
            </w:r>
          </w:p>
        </w:tc>
      </w:tr>
    </w:tbl>
    <w:p>
      <w:pPr>
        <w:sectPr>
          <w:pgSz w:w="11900" w:h="16838" w:orient="portrait"/>
          <w:cols w:equalWidth="0" w:num="1">
            <w:col w:w="11140"/>
          </w:cols>
          <w:pgMar w:left="240" w:top="454" w:right="5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007549"/>
        </w:rPr>
        <w:t xml:space="preserve">Executive Compensation </w:t>
      </w:r>
      <w:r>
        <w:rPr>
          <w:rFonts w:ascii="Arial" w:cs="Arial" w:eastAsia="Arial" w:hAnsi="Arial"/>
          <w:sz w:val="16"/>
          <w:szCs w:val="16"/>
          <w:b w:val="1"/>
          <w:bCs w:val="1"/>
          <w:color w:val="000000"/>
        </w:rPr>
        <w:t>+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55245</wp:posOffset>
            </wp:positionV>
            <wp:extent cx="689356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266" w:lineRule="exact"/>
        <w:rPr>
          <w:sz w:val="20"/>
          <w:szCs w:val="20"/>
          <w:color w:val="auto"/>
        </w:rPr>
      </w:pPr>
    </w:p>
    <w:p>
      <w:pPr>
        <w:jc w:val="both"/>
        <w:ind w:left="280"/>
        <w:spacing w:after="0" w:line="236" w:lineRule="auto"/>
        <w:rPr>
          <w:sz w:val="20"/>
          <w:szCs w:val="20"/>
          <w:color w:val="auto"/>
        </w:rPr>
      </w:pPr>
      <w:r>
        <w:rPr>
          <w:rFonts w:ascii="Arial" w:cs="Arial" w:eastAsia="Arial" w:hAnsi="Arial"/>
          <w:sz w:val="18"/>
          <w:szCs w:val="18"/>
          <w:color w:val="auto"/>
        </w:rPr>
        <w:t>reset our CEO’s target LTI award beginning in 2018, reducing it by 21% to $ 7.5 million. Based on the board’s assessment of our CEO’s performance versus his key performance initiatives, which met or exceeded expectations, the committee awarded him an LTI award in 2018 at target of $7.5 million.</w:t>
      </w:r>
    </w:p>
    <w:p>
      <w:pPr>
        <w:spacing w:after="0" w:line="139" w:lineRule="exact"/>
        <w:rPr>
          <w:sz w:val="20"/>
          <w:szCs w:val="20"/>
          <w:color w:val="auto"/>
        </w:rPr>
      </w:pPr>
    </w:p>
    <w:p>
      <w:pPr>
        <w:jc w:val="both"/>
        <w:ind w:left="280"/>
        <w:spacing w:after="0" w:line="247" w:lineRule="auto"/>
        <w:rPr>
          <w:sz w:val="20"/>
          <w:szCs w:val="20"/>
          <w:color w:val="auto"/>
        </w:rPr>
      </w:pPr>
      <w:r>
        <w:rPr>
          <w:rFonts w:ascii="Arial" w:cs="Arial" w:eastAsia="Arial" w:hAnsi="Arial"/>
          <w:sz w:val="18"/>
          <w:szCs w:val="18"/>
          <w:b w:val="1"/>
          <w:bCs w:val="1"/>
          <w:i w:val="1"/>
          <w:iCs w:val="1"/>
          <w:color w:val="007549"/>
        </w:rPr>
        <w:t xml:space="preserve">Timing of LTI Awards. </w:t>
      </w:r>
      <w:r>
        <w:rPr>
          <w:rFonts w:ascii="Arial" w:cs="Arial" w:eastAsia="Arial" w:hAnsi="Arial"/>
          <w:sz w:val="18"/>
          <w:szCs w:val="18"/>
          <w:color w:val="000000"/>
        </w:rPr>
        <w:t>In general, awards of restricted stock, stock options and PSUs to the NEOs are made in early March after our</w:t>
      </w:r>
      <w:r>
        <w:rPr>
          <w:rFonts w:ascii="Arial" w:cs="Arial" w:eastAsia="Arial" w:hAnsi="Arial"/>
          <w:sz w:val="18"/>
          <w:szCs w:val="18"/>
          <w:b w:val="1"/>
          <w:bCs w:val="1"/>
          <w:i w:val="1"/>
          <w:iCs w:val="1"/>
          <w:color w:val="007549"/>
        </w:rPr>
        <w:t xml:space="preserve"> </w:t>
      </w:r>
      <w:r>
        <w:rPr>
          <w:rFonts w:ascii="Arial" w:cs="Arial" w:eastAsia="Arial" w:hAnsi="Arial"/>
          <w:sz w:val="18"/>
          <w:szCs w:val="18"/>
          <w:color w:val="000000"/>
        </w:rPr>
        <w:t>financial statements have been audited by our independent public accountants. However, the committee retains discretion to vary the timing of awards as it deems appropriate.</w:t>
      </w:r>
    </w:p>
    <w:p>
      <w:pPr>
        <w:spacing w:after="0" w:line="146" w:lineRule="exact"/>
        <w:rPr>
          <w:sz w:val="20"/>
          <w:szCs w:val="20"/>
          <w:color w:val="auto"/>
        </w:rPr>
      </w:pPr>
    </w:p>
    <w:p>
      <w:pPr>
        <w:jc w:val="both"/>
        <w:ind w:left="280"/>
        <w:spacing w:after="0" w:line="242" w:lineRule="auto"/>
        <w:rPr>
          <w:sz w:val="20"/>
          <w:szCs w:val="20"/>
          <w:color w:val="auto"/>
        </w:rPr>
      </w:pPr>
      <w:r>
        <w:rPr>
          <w:rFonts w:ascii="Arial" w:cs="Arial" w:eastAsia="Arial" w:hAnsi="Arial"/>
          <w:sz w:val="18"/>
          <w:szCs w:val="18"/>
          <w:b w:val="1"/>
          <w:bCs w:val="1"/>
          <w:i w:val="1"/>
          <w:iCs w:val="1"/>
          <w:color w:val="007549"/>
        </w:rPr>
        <w:t xml:space="preserve">Terms of LTI Awards. </w:t>
      </w:r>
      <w:r>
        <w:rPr>
          <w:rFonts w:ascii="Arial" w:cs="Arial" w:eastAsia="Arial" w:hAnsi="Arial"/>
          <w:sz w:val="18"/>
          <w:szCs w:val="18"/>
          <w:color w:val="000000"/>
        </w:rPr>
        <w:t>Restricted stock awards and stock options vest ratably over a three-year period from the date of grant and stock</w:t>
      </w:r>
      <w:r>
        <w:rPr>
          <w:rFonts w:ascii="Arial" w:cs="Arial" w:eastAsia="Arial" w:hAnsi="Arial"/>
          <w:sz w:val="18"/>
          <w:szCs w:val="18"/>
          <w:b w:val="1"/>
          <w:bCs w:val="1"/>
          <w:i w:val="1"/>
          <w:iCs w:val="1"/>
          <w:color w:val="007549"/>
        </w:rPr>
        <w:t xml:space="preserve"> </w:t>
      </w:r>
      <w:r>
        <w:rPr>
          <w:rFonts w:ascii="Arial" w:cs="Arial" w:eastAsia="Arial" w:hAnsi="Arial"/>
          <w:sz w:val="18"/>
          <w:szCs w:val="18"/>
          <w:color w:val="000000"/>
        </w:rPr>
        <w:t>options remain exercisable until ten years after the date of grant. PSUs, if earned, vest after the three-year performance period. We believe these vesting periods are appropriate and are generally consistent with market practice. Generally, all our awards are subject to continued employment.</w:t>
      </w:r>
    </w:p>
    <w:p>
      <w:pPr>
        <w:spacing w:after="0" w:line="158" w:lineRule="exact"/>
        <w:rPr>
          <w:sz w:val="20"/>
          <w:szCs w:val="20"/>
          <w:color w:val="auto"/>
        </w:rPr>
      </w:pPr>
    </w:p>
    <w:p>
      <w:pPr>
        <w:jc w:val="both"/>
        <w:ind w:left="280"/>
        <w:spacing w:after="0" w:line="235" w:lineRule="auto"/>
        <w:rPr>
          <w:sz w:val="20"/>
          <w:szCs w:val="20"/>
          <w:color w:val="auto"/>
        </w:rPr>
      </w:pPr>
      <w:r>
        <w:rPr>
          <w:rFonts w:ascii="Arial" w:cs="Arial" w:eastAsia="Arial" w:hAnsi="Arial"/>
          <w:sz w:val="18"/>
          <w:szCs w:val="18"/>
          <w:color w:val="auto"/>
        </w:rPr>
        <w:t>Shares of restricted stock are entitled to dividend equivalents if and when paid on shares of common stock. Dividends accrued on shares of restricted stock are paid upon vesting. To the extent earned, performance share units will be paid in shares of common stock which will vest and be issued following the end of the performance period. Dividend equivalents for PSUs will only be paid out on earned PSUs, after the performance period.</w:t>
      </w:r>
    </w:p>
    <w:p>
      <w:pPr>
        <w:spacing w:after="0" w:line="139" w:lineRule="exact"/>
        <w:rPr>
          <w:sz w:val="20"/>
          <w:szCs w:val="20"/>
          <w:color w:val="auto"/>
        </w:rPr>
      </w:pPr>
    </w:p>
    <w:p>
      <w:pPr>
        <w:jc w:val="both"/>
        <w:ind w:left="280"/>
        <w:spacing w:after="0" w:line="238" w:lineRule="auto"/>
        <w:rPr>
          <w:sz w:val="20"/>
          <w:szCs w:val="20"/>
          <w:color w:val="auto"/>
        </w:rPr>
      </w:pPr>
      <w:r>
        <w:rPr>
          <w:rFonts w:ascii="Arial" w:cs="Arial" w:eastAsia="Arial" w:hAnsi="Arial"/>
          <w:sz w:val="18"/>
          <w:szCs w:val="18"/>
          <w:b w:val="1"/>
          <w:bCs w:val="1"/>
          <w:i w:val="1"/>
          <w:iCs w:val="1"/>
          <w:color w:val="007549"/>
        </w:rPr>
        <w:t xml:space="preserve">Value of LTI Awards. </w:t>
      </w:r>
      <w:r>
        <w:rPr>
          <w:rFonts w:ascii="Arial" w:cs="Arial" w:eastAsia="Arial" w:hAnsi="Arial"/>
          <w:sz w:val="18"/>
          <w:szCs w:val="18"/>
          <w:color w:val="000000"/>
        </w:rPr>
        <w:t>We aim to provide long-term incentive awards such that together with total cash compensation, target total direct</w:t>
      </w:r>
      <w:r>
        <w:rPr>
          <w:rFonts w:ascii="Arial" w:cs="Arial" w:eastAsia="Arial" w:hAnsi="Arial"/>
          <w:sz w:val="18"/>
          <w:szCs w:val="18"/>
          <w:b w:val="1"/>
          <w:bCs w:val="1"/>
          <w:i w:val="1"/>
          <w:iCs w:val="1"/>
          <w:color w:val="007549"/>
        </w:rPr>
        <w:t xml:space="preserve"> </w:t>
      </w:r>
      <w:r>
        <w:rPr>
          <w:rFonts w:ascii="Arial" w:cs="Arial" w:eastAsia="Arial" w:hAnsi="Arial"/>
          <w:sz w:val="18"/>
          <w:szCs w:val="18"/>
          <w:color w:val="000000"/>
        </w:rPr>
        <w:t>compensation is within a competitive range of market median. Compensation is intended to vary based on company and individual performance outcomes. The committee bases individual award levels on comparative market data for the executive’s position, award levels of comparably-situated executives, and an assessment of individual potential and sustained performance. In making awards to any individual, the committee does not consider his or her gains made, or failure to achieve gains, on prior restricted stock, stock option or performance share unit awards.</w:t>
      </w:r>
    </w:p>
    <w:p>
      <w:pPr>
        <w:spacing w:after="0" w:line="201" w:lineRule="exact"/>
        <w:rPr>
          <w:sz w:val="20"/>
          <w:szCs w:val="20"/>
          <w:color w:val="auto"/>
        </w:rPr>
      </w:pPr>
    </w:p>
    <w:p>
      <w:pPr>
        <w:jc w:val="both"/>
        <w:ind w:left="280"/>
        <w:spacing w:after="0" w:line="234" w:lineRule="auto"/>
        <w:rPr>
          <w:sz w:val="20"/>
          <w:szCs w:val="20"/>
          <w:color w:val="auto"/>
        </w:rPr>
      </w:pPr>
      <w:r>
        <w:rPr>
          <w:rFonts w:ascii="Arial" w:cs="Arial" w:eastAsia="Arial" w:hAnsi="Arial"/>
          <w:sz w:val="18"/>
          <w:szCs w:val="18"/>
          <w:color w:val="auto"/>
        </w:rPr>
        <w:t>The chart below reflects the payout matrix for the 2017 PSU awards. In defining the PSU payout schedule, the following guiding principles were used: for maximum payout, performance must be approximately top 15% versus our peers; for target payout, performance must exceed median; for threshold payout, approximately 25</w:t>
      </w:r>
      <w:r>
        <w:rPr>
          <w:rFonts w:ascii="Arial" w:cs="Arial" w:eastAsia="Arial" w:hAnsi="Arial"/>
          <w:sz w:val="15"/>
          <w:szCs w:val="15"/>
          <w:color w:val="auto"/>
        </w:rPr>
        <w:t>th</w:t>
      </w:r>
      <w:r>
        <w:rPr>
          <w:rFonts w:ascii="Arial" w:cs="Arial" w:eastAsia="Arial" w:hAnsi="Arial"/>
          <w:sz w:val="18"/>
          <w:szCs w:val="18"/>
          <w:color w:val="auto"/>
        </w:rPr>
        <w:t xml:space="preserve"> percentile must be achieved and no payout is earned for performance below 25</w:t>
      </w:r>
      <w:r>
        <w:rPr>
          <w:rFonts w:ascii="Arial" w:cs="Arial" w:eastAsia="Arial" w:hAnsi="Arial"/>
          <w:sz w:val="15"/>
          <w:szCs w:val="15"/>
          <w:color w:val="auto"/>
        </w:rPr>
        <w:t>th</w:t>
      </w:r>
      <w:r>
        <w:rPr>
          <w:rFonts w:ascii="Arial" w:cs="Arial" w:eastAsia="Arial" w:hAnsi="Arial"/>
          <w:sz w:val="18"/>
          <w:szCs w:val="18"/>
          <w:color w:val="auto"/>
        </w:rPr>
        <w:t xml:space="preserve"> percentile. In addition, as described above, payout can only exceed target if our TSR during the performance measurement period is positive.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688340</wp:posOffset>
            </wp:positionH>
            <wp:positionV relativeFrom="paragraph">
              <wp:posOffset>145415</wp:posOffset>
            </wp:positionV>
            <wp:extent cx="5880100" cy="16643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880100" cy="166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040" w:hanging="435"/>
        <w:spacing w:after="0"/>
        <w:tabs>
          <w:tab w:leader="none" w:pos="10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Includes Hess Corporation</w:t>
      </w:r>
    </w:p>
    <w:p>
      <w:pPr>
        <w:spacing w:after="0" w:line="184" w:lineRule="exact"/>
        <w:rPr>
          <w:sz w:val="20"/>
          <w:szCs w:val="20"/>
          <w:color w:val="auto"/>
        </w:rPr>
      </w:pPr>
    </w:p>
    <w:p>
      <w:pPr>
        <w:jc w:val="both"/>
        <w:ind w:left="280"/>
        <w:spacing w:after="0" w:line="247" w:lineRule="auto"/>
        <w:rPr>
          <w:sz w:val="20"/>
          <w:szCs w:val="20"/>
          <w:color w:val="auto"/>
        </w:rPr>
      </w:pPr>
      <w:r>
        <w:rPr>
          <w:rFonts w:ascii="Arial" w:cs="Arial" w:eastAsia="Arial" w:hAnsi="Arial"/>
          <w:sz w:val="18"/>
          <w:szCs w:val="18"/>
          <w:b w:val="1"/>
          <w:bCs w:val="1"/>
          <w:i w:val="1"/>
          <w:iCs w:val="1"/>
          <w:color w:val="007549"/>
        </w:rPr>
        <w:t xml:space="preserve">2015 PSU Award Payout. </w:t>
      </w:r>
      <w:r>
        <w:rPr>
          <w:rFonts w:ascii="Arial" w:cs="Arial" w:eastAsia="Arial" w:hAnsi="Arial"/>
          <w:sz w:val="18"/>
          <w:szCs w:val="18"/>
          <w:color w:val="000000"/>
        </w:rPr>
        <w:t>The committee certified performance results with respect to the 2015 to 2017 performance period in February</w:t>
      </w:r>
      <w:r>
        <w:rPr>
          <w:rFonts w:ascii="Arial" w:cs="Arial" w:eastAsia="Arial" w:hAnsi="Arial"/>
          <w:sz w:val="18"/>
          <w:szCs w:val="18"/>
          <w:b w:val="1"/>
          <w:bCs w:val="1"/>
          <w:i w:val="1"/>
          <w:iCs w:val="1"/>
          <w:color w:val="007549"/>
        </w:rPr>
        <w:t xml:space="preserve"> </w:t>
      </w:r>
      <w:r>
        <w:rPr>
          <w:rFonts w:ascii="Arial" w:cs="Arial" w:eastAsia="Arial" w:hAnsi="Arial"/>
          <w:sz w:val="18"/>
          <w:szCs w:val="18"/>
          <w:color w:val="000000"/>
        </w:rPr>
        <w:t>2018 and determined that 63% of PSUs were earned with respect to the 2015 award to be paid out in 2018, illustrating close alignment with the company’s stock performance relative to peers.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1820545</wp:posOffset>
            </wp:positionH>
            <wp:positionV relativeFrom="paragraph">
              <wp:posOffset>81915</wp:posOffset>
            </wp:positionV>
            <wp:extent cx="405765" cy="2451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209" w:lineRule="exact"/>
        <w:rPr>
          <w:sz w:val="20"/>
          <w:szCs w:val="20"/>
          <w:color w:val="auto"/>
        </w:rPr>
      </w:pPr>
    </w:p>
    <w:p>
      <w:pPr>
        <w:ind w:left="760" w:hanging="474"/>
        <w:spacing w:after="0"/>
        <w:tabs>
          <w:tab w:leader="none" w:pos="760" w:val="left"/>
        </w:tabs>
        <w:numPr>
          <w:ilvl w:val="0"/>
          <w:numId w:val="59"/>
        </w:numPr>
        <w:rPr>
          <w:rFonts w:ascii="Arial" w:cs="Arial" w:eastAsia="Arial" w:hAnsi="Arial"/>
          <w:sz w:val="14"/>
          <w:szCs w:val="14"/>
          <w:b w:val="1"/>
          <w:bCs w:val="1"/>
          <w:color w:val="007549"/>
        </w:rPr>
      </w:pPr>
      <w:r>
        <w:rPr>
          <w:rFonts w:ascii="Arial" w:cs="Arial" w:eastAsia="Arial" w:hAnsi="Arial"/>
          <w:sz w:val="12"/>
          <w:szCs w:val="12"/>
          <w:b w:val="1"/>
          <w:bCs w:val="1"/>
          <w:color w:val="666666"/>
        </w:rPr>
        <w:t>2018 PROXY STATEMENT</w:t>
      </w:r>
    </w:p>
    <w:p>
      <w:pPr>
        <w:sectPr>
          <w:pgSz w:w="11900" w:h="16838" w:orient="portrait"/>
          <w:cols w:equalWidth="0" w:num="1">
            <w:col w:w="11140"/>
          </w:cols>
          <w:pgMar w:left="240" w:top="454" w:right="5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007549"/>
        </w:rPr>
        <w:t xml:space="preserve">Executive Compensation </w:t>
      </w:r>
      <w:r>
        <w:rPr>
          <w:rFonts w:ascii="Arial" w:cs="Arial" w:eastAsia="Arial" w:hAnsi="Arial"/>
          <w:sz w:val="16"/>
          <w:szCs w:val="16"/>
          <w:b w:val="1"/>
          <w:bCs w:val="1"/>
          <w:color w:val="000000"/>
        </w:rPr>
        <w:t>+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55245</wp:posOffset>
            </wp:positionV>
            <wp:extent cx="689356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234"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007549"/>
        </w:rPr>
        <w:t>Peer Group</w:t>
      </w:r>
    </w:p>
    <w:p>
      <w:pPr>
        <w:spacing w:after="0" w:line="96" w:lineRule="exact"/>
        <w:rPr>
          <w:sz w:val="20"/>
          <w:szCs w:val="20"/>
          <w:color w:val="auto"/>
        </w:rPr>
      </w:pPr>
    </w:p>
    <w:p>
      <w:pPr>
        <w:jc w:val="both"/>
        <w:ind w:left="280" w:right="20"/>
        <w:spacing w:after="0" w:line="236" w:lineRule="auto"/>
        <w:rPr>
          <w:sz w:val="20"/>
          <w:szCs w:val="20"/>
          <w:color w:val="auto"/>
        </w:rPr>
      </w:pPr>
      <w:r>
        <w:rPr>
          <w:rFonts w:ascii="Arial" w:cs="Arial" w:eastAsia="Arial" w:hAnsi="Arial"/>
          <w:sz w:val="18"/>
          <w:szCs w:val="18"/>
          <w:color w:val="auto"/>
        </w:rPr>
        <w:t>The committee reviews compensation data from a comparative group of oil and gas companies to ensure our compensation and benefit programs are competitive within our industry. For 2017, our peer group remained the same as 2016 and consisted of 12 companies, and were considered in relation to Hess’ size and business strategy.</w:t>
      </w:r>
    </w:p>
    <w:p>
      <w:pPr>
        <w:spacing w:after="0" w:line="228" w:lineRule="exact"/>
        <w:rPr>
          <w:sz w:val="20"/>
          <w:szCs w:val="20"/>
          <w:color w:val="auto"/>
        </w:rPr>
      </w:pPr>
    </w:p>
    <w:tbl>
      <w:tblPr>
        <w:tblLayout w:type="fixed"/>
        <w:tblInd w:w="290" w:type="dxa"/>
        <w:tblCellMar>
          <w:top w:w="0" w:type="dxa"/>
          <w:left w:w="0" w:type="dxa"/>
          <w:bottom w:w="0" w:type="dxa"/>
          <w:right w:w="0" w:type="dxa"/>
        </w:tblCellMar>
      </w:tblPr>
      <w:tr>
        <w:trPr>
          <w:trHeight w:val="266"/>
        </w:trPr>
        <w:tc>
          <w:tcPr>
            <w:tcW w:w="3360" w:type="dxa"/>
            <w:vAlign w:val="bottom"/>
            <w:tcBorders>
              <w:left w:val="single" w:sz="8" w:color="007549"/>
            </w:tcBorders>
            <w:shd w:val="clear" w:color="auto" w:fill="007549"/>
          </w:tcPr>
          <w:p>
            <w:pPr>
              <w:spacing w:after="0"/>
              <w:rPr>
                <w:sz w:val="23"/>
                <w:szCs w:val="23"/>
                <w:color w:val="auto"/>
              </w:rPr>
            </w:pPr>
          </w:p>
        </w:tc>
        <w:tc>
          <w:tcPr>
            <w:tcW w:w="3860" w:type="dxa"/>
            <w:vAlign w:val="bottom"/>
            <w:shd w:val="clear" w:color="auto" w:fill="007549"/>
          </w:tcPr>
          <w:p>
            <w:pPr>
              <w:ind w:left="900"/>
              <w:spacing w:after="0"/>
              <w:rPr>
                <w:sz w:val="20"/>
                <w:szCs w:val="20"/>
                <w:color w:val="auto"/>
              </w:rPr>
            </w:pPr>
            <w:r>
              <w:rPr>
                <w:rFonts w:ascii="Arial" w:cs="Arial" w:eastAsia="Arial" w:hAnsi="Arial"/>
                <w:sz w:val="16"/>
                <w:szCs w:val="16"/>
                <w:b w:val="1"/>
                <w:bCs w:val="1"/>
                <w:color w:val="FFFFFF"/>
              </w:rPr>
              <w:t>2017 Peer Group – 12 Companies</w:t>
            </w:r>
          </w:p>
        </w:tc>
        <w:tc>
          <w:tcPr>
            <w:tcW w:w="3660" w:type="dxa"/>
            <w:vAlign w:val="bottom"/>
            <w:tcBorders>
              <w:right w:val="single" w:sz="8" w:color="007549"/>
            </w:tcBorders>
            <w:shd w:val="clear" w:color="auto" w:fill="007549"/>
          </w:tcPr>
          <w:p>
            <w:pPr>
              <w:spacing w:after="0"/>
              <w:rPr>
                <w:sz w:val="23"/>
                <w:szCs w:val="23"/>
                <w:color w:val="auto"/>
              </w:rPr>
            </w:pPr>
          </w:p>
        </w:tc>
      </w:tr>
      <w:tr>
        <w:trPr>
          <w:trHeight w:val="199"/>
        </w:trPr>
        <w:tc>
          <w:tcPr>
            <w:tcW w:w="3360" w:type="dxa"/>
            <w:vAlign w:val="bottom"/>
            <w:tcBorders>
              <w:left w:val="single" w:sz="8" w:color="007549"/>
            </w:tcBorders>
          </w:tcPr>
          <w:p>
            <w:pPr>
              <w:ind w:left="160"/>
              <w:spacing w:after="0" w:line="199" w:lineRule="exact"/>
              <w:rPr>
                <w:sz w:val="20"/>
                <w:szCs w:val="20"/>
                <w:color w:val="auto"/>
              </w:rPr>
            </w:pPr>
            <w:r>
              <w:rPr>
                <w:rFonts w:ascii="Arial" w:cs="Arial" w:eastAsia="Arial" w:hAnsi="Arial"/>
                <w:sz w:val="18"/>
                <w:szCs w:val="18"/>
                <w:color w:val="auto"/>
              </w:rPr>
              <w:t>Anadarko Petroleum Corporation</w:t>
            </w:r>
          </w:p>
        </w:tc>
        <w:tc>
          <w:tcPr>
            <w:tcW w:w="3860" w:type="dxa"/>
            <w:vAlign w:val="bottom"/>
          </w:tcPr>
          <w:p>
            <w:pPr>
              <w:ind w:left="620"/>
              <w:spacing w:after="0" w:line="199" w:lineRule="exact"/>
              <w:rPr>
                <w:sz w:val="20"/>
                <w:szCs w:val="20"/>
                <w:color w:val="auto"/>
              </w:rPr>
            </w:pPr>
            <w:r>
              <w:rPr>
                <w:rFonts w:ascii="Arial" w:cs="Arial" w:eastAsia="Arial" w:hAnsi="Arial"/>
                <w:sz w:val="18"/>
                <w:szCs w:val="18"/>
                <w:color w:val="auto"/>
              </w:rPr>
              <w:t>Continental Resources, Inc.</w:t>
            </w:r>
          </w:p>
        </w:tc>
        <w:tc>
          <w:tcPr>
            <w:tcW w:w="3660" w:type="dxa"/>
            <w:vAlign w:val="bottom"/>
            <w:tcBorders>
              <w:right w:val="single" w:sz="8" w:color="007549"/>
            </w:tcBorders>
          </w:tcPr>
          <w:p>
            <w:pPr>
              <w:ind w:left="420"/>
              <w:spacing w:after="0" w:line="199" w:lineRule="exact"/>
              <w:rPr>
                <w:sz w:val="20"/>
                <w:szCs w:val="20"/>
                <w:color w:val="auto"/>
              </w:rPr>
            </w:pPr>
            <w:r>
              <w:rPr>
                <w:rFonts w:ascii="Arial" w:cs="Arial" w:eastAsia="Arial" w:hAnsi="Arial"/>
                <w:sz w:val="18"/>
                <w:szCs w:val="18"/>
                <w:color w:val="auto"/>
              </w:rPr>
              <w:t>Murphy Oil Corporation</w:t>
            </w:r>
          </w:p>
        </w:tc>
      </w:tr>
      <w:tr>
        <w:trPr>
          <w:trHeight w:val="200"/>
        </w:trPr>
        <w:tc>
          <w:tcPr>
            <w:tcW w:w="3360" w:type="dxa"/>
            <w:vAlign w:val="bottom"/>
            <w:tcBorders>
              <w:left w:val="single" w:sz="8" w:color="007549"/>
            </w:tcBorders>
          </w:tcPr>
          <w:p>
            <w:pPr>
              <w:ind w:left="160"/>
              <w:spacing w:after="0" w:line="200" w:lineRule="exact"/>
              <w:rPr>
                <w:sz w:val="20"/>
                <w:szCs w:val="20"/>
                <w:color w:val="auto"/>
              </w:rPr>
            </w:pPr>
            <w:r>
              <w:rPr>
                <w:rFonts w:ascii="Arial" w:cs="Arial" w:eastAsia="Arial" w:hAnsi="Arial"/>
                <w:sz w:val="18"/>
                <w:szCs w:val="18"/>
                <w:color w:val="auto"/>
              </w:rPr>
              <w:t>Apache Corporation</w:t>
            </w:r>
          </w:p>
        </w:tc>
        <w:tc>
          <w:tcPr>
            <w:tcW w:w="3860" w:type="dxa"/>
            <w:vAlign w:val="bottom"/>
          </w:tcPr>
          <w:p>
            <w:pPr>
              <w:ind w:left="620"/>
              <w:spacing w:after="0" w:line="200" w:lineRule="exact"/>
              <w:rPr>
                <w:sz w:val="20"/>
                <w:szCs w:val="20"/>
                <w:color w:val="auto"/>
              </w:rPr>
            </w:pPr>
            <w:r>
              <w:rPr>
                <w:rFonts w:ascii="Arial" w:cs="Arial" w:eastAsia="Arial" w:hAnsi="Arial"/>
                <w:sz w:val="18"/>
                <w:szCs w:val="18"/>
                <w:color w:val="auto"/>
              </w:rPr>
              <w:t>Devon Energy Corporation</w:t>
            </w:r>
          </w:p>
        </w:tc>
        <w:tc>
          <w:tcPr>
            <w:tcW w:w="3660" w:type="dxa"/>
            <w:vAlign w:val="bottom"/>
            <w:tcBorders>
              <w:right w:val="single" w:sz="8" w:color="007549"/>
            </w:tcBorders>
          </w:tcPr>
          <w:p>
            <w:pPr>
              <w:ind w:left="420"/>
              <w:spacing w:after="0" w:line="200" w:lineRule="exact"/>
              <w:rPr>
                <w:sz w:val="20"/>
                <w:szCs w:val="20"/>
                <w:color w:val="auto"/>
              </w:rPr>
            </w:pPr>
            <w:r>
              <w:rPr>
                <w:rFonts w:ascii="Arial" w:cs="Arial" w:eastAsia="Arial" w:hAnsi="Arial"/>
                <w:sz w:val="18"/>
                <w:szCs w:val="18"/>
                <w:color w:val="auto"/>
              </w:rPr>
              <w:t>Noble Energy, Inc.</w:t>
            </w:r>
          </w:p>
        </w:tc>
      </w:tr>
      <w:tr>
        <w:trPr>
          <w:trHeight w:val="200"/>
        </w:trPr>
        <w:tc>
          <w:tcPr>
            <w:tcW w:w="3360" w:type="dxa"/>
            <w:vAlign w:val="bottom"/>
            <w:tcBorders>
              <w:left w:val="single" w:sz="8" w:color="007549"/>
            </w:tcBorders>
          </w:tcPr>
          <w:p>
            <w:pPr>
              <w:ind w:left="160"/>
              <w:spacing w:after="0" w:line="200" w:lineRule="exact"/>
              <w:rPr>
                <w:sz w:val="20"/>
                <w:szCs w:val="20"/>
                <w:color w:val="auto"/>
              </w:rPr>
            </w:pPr>
            <w:r>
              <w:rPr>
                <w:rFonts w:ascii="Arial" w:cs="Arial" w:eastAsia="Arial" w:hAnsi="Arial"/>
                <w:sz w:val="18"/>
                <w:szCs w:val="18"/>
                <w:color w:val="auto"/>
              </w:rPr>
              <w:t>Chesapeake Energy Corporation</w:t>
            </w:r>
          </w:p>
        </w:tc>
        <w:tc>
          <w:tcPr>
            <w:tcW w:w="3860" w:type="dxa"/>
            <w:vAlign w:val="bottom"/>
          </w:tcPr>
          <w:p>
            <w:pPr>
              <w:ind w:left="620"/>
              <w:spacing w:after="0" w:line="200" w:lineRule="exact"/>
              <w:rPr>
                <w:sz w:val="20"/>
                <w:szCs w:val="20"/>
                <w:color w:val="auto"/>
              </w:rPr>
            </w:pPr>
            <w:r>
              <w:rPr>
                <w:rFonts w:ascii="Arial" w:cs="Arial" w:eastAsia="Arial" w:hAnsi="Arial"/>
                <w:sz w:val="18"/>
                <w:szCs w:val="18"/>
                <w:color w:val="auto"/>
              </w:rPr>
              <w:t>EOG Resources, Inc.</w:t>
            </w:r>
          </w:p>
        </w:tc>
        <w:tc>
          <w:tcPr>
            <w:tcW w:w="3660" w:type="dxa"/>
            <w:vAlign w:val="bottom"/>
            <w:tcBorders>
              <w:right w:val="single" w:sz="8" w:color="007549"/>
            </w:tcBorders>
          </w:tcPr>
          <w:p>
            <w:pPr>
              <w:ind w:left="420"/>
              <w:spacing w:after="0" w:line="200" w:lineRule="exact"/>
              <w:rPr>
                <w:sz w:val="20"/>
                <w:szCs w:val="20"/>
                <w:color w:val="auto"/>
              </w:rPr>
            </w:pPr>
            <w:r>
              <w:rPr>
                <w:rFonts w:ascii="Arial" w:cs="Arial" w:eastAsia="Arial" w:hAnsi="Arial"/>
                <w:sz w:val="18"/>
                <w:szCs w:val="18"/>
                <w:color w:val="auto"/>
              </w:rPr>
              <w:t>Occidental Petroleum Corporation</w:t>
            </w:r>
          </w:p>
        </w:tc>
      </w:tr>
      <w:tr>
        <w:trPr>
          <w:trHeight w:val="220"/>
        </w:trPr>
        <w:tc>
          <w:tcPr>
            <w:tcW w:w="3360" w:type="dxa"/>
            <w:vAlign w:val="bottom"/>
            <w:tcBorders>
              <w:left w:val="single" w:sz="8" w:color="007549"/>
              <w:bottom w:val="single" w:sz="8" w:color="007549"/>
            </w:tcBorders>
          </w:tcPr>
          <w:p>
            <w:pPr>
              <w:ind w:left="160"/>
              <w:spacing w:after="0"/>
              <w:rPr>
                <w:sz w:val="20"/>
                <w:szCs w:val="20"/>
                <w:color w:val="auto"/>
              </w:rPr>
            </w:pPr>
            <w:r>
              <w:rPr>
                <w:rFonts w:ascii="Arial" w:cs="Arial" w:eastAsia="Arial" w:hAnsi="Arial"/>
                <w:sz w:val="18"/>
                <w:szCs w:val="18"/>
                <w:color w:val="auto"/>
              </w:rPr>
              <w:t>ConocoPhillips</w:t>
            </w:r>
          </w:p>
        </w:tc>
        <w:tc>
          <w:tcPr>
            <w:tcW w:w="3860" w:type="dxa"/>
            <w:vAlign w:val="bottom"/>
            <w:tcBorders>
              <w:bottom w:val="single" w:sz="8" w:color="007549"/>
            </w:tcBorders>
          </w:tcPr>
          <w:p>
            <w:pPr>
              <w:ind w:left="620"/>
              <w:spacing w:after="0"/>
              <w:rPr>
                <w:sz w:val="20"/>
                <w:szCs w:val="20"/>
                <w:color w:val="auto"/>
              </w:rPr>
            </w:pPr>
            <w:r>
              <w:rPr>
                <w:rFonts w:ascii="Arial" w:cs="Arial" w:eastAsia="Arial" w:hAnsi="Arial"/>
                <w:sz w:val="18"/>
                <w:szCs w:val="18"/>
                <w:color w:val="auto"/>
              </w:rPr>
              <w:t>Marathon Oil Corporation</w:t>
            </w:r>
          </w:p>
        </w:tc>
        <w:tc>
          <w:tcPr>
            <w:tcW w:w="3660" w:type="dxa"/>
            <w:vAlign w:val="bottom"/>
            <w:tcBorders>
              <w:bottom w:val="single" w:sz="8" w:color="007549"/>
              <w:right w:val="single" w:sz="8" w:color="007549"/>
            </w:tcBorders>
          </w:tcPr>
          <w:p>
            <w:pPr>
              <w:ind w:left="420"/>
              <w:spacing w:after="0"/>
              <w:rPr>
                <w:sz w:val="20"/>
                <w:szCs w:val="20"/>
                <w:color w:val="auto"/>
              </w:rPr>
            </w:pPr>
            <w:r>
              <w:rPr>
                <w:rFonts w:ascii="Arial" w:cs="Arial" w:eastAsia="Arial" w:hAnsi="Arial"/>
                <w:sz w:val="18"/>
                <w:szCs w:val="18"/>
                <w:color w:val="auto"/>
              </w:rPr>
              <w:t>Pioneer Natural Resources Co.</w:t>
            </w:r>
          </w:p>
        </w:tc>
      </w:tr>
    </w:tbl>
    <w:p>
      <w:pPr>
        <w:spacing w:after="0" w:line="185" w:lineRule="exact"/>
        <w:rPr>
          <w:sz w:val="20"/>
          <w:szCs w:val="20"/>
          <w:color w:val="auto"/>
        </w:rPr>
      </w:pPr>
    </w:p>
    <w:p>
      <w:pPr>
        <w:jc w:val="both"/>
        <w:ind w:left="280" w:right="20"/>
        <w:spacing w:after="0" w:line="236" w:lineRule="auto"/>
        <w:rPr>
          <w:sz w:val="20"/>
          <w:szCs w:val="20"/>
          <w:color w:val="auto"/>
        </w:rPr>
      </w:pPr>
      <w:r>
        <w:rPr>
          <w:rFonts w:ascii="Arial" w:cs="Arial" w:eastAsia="Arial" w:hAnsi="Arial"/>
          <w:sz w:val="18"/>
          <w:szCs w:val="18"/>
          <w:color w:val="auto"/>
        </w:rPr>
        <w:t>As discussed above, we generally target total direct compensation (salary, annual incentive and long-term incentives) within a competitive range of market median. Overall, our review found that target total direct compensation of our NEOs was aligned with our executive compensation philosophy.</w:t>
      </w:r>
    </w:p>
    <w:p>
      <w:pPr>
        <w:spacing w:after="0" w:line="169"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007549"/>
        </w:rPr>
        <w:t>Process for Determining Compensation and Role of Compensation Consultants</w:t>
      </w:r>
    </w:p>
    <w:p>
      <w:pPr>
        <w:spacing w:after="0" w:line="96" w:lineRule="exact"/>
        <w:rPr>
          <w:sz w:val="20"/>
          <w:szCs w:val="20"/>
          <w:color w:val="auto"/>
        </w:rPr>
      </w:pPr>
    </w:p>
    <w:p>
      <w:pPr>
        <w:jc w:val="both"/>
        <w:ind w:left="280" w:right="20"/>
        <w:spacing w:after="0" w:line="236" w:lineRule="auto"/>
        <w:rPr>
          <w:sz w:val="20"/>
          <w:szCs w:val="20"/>
          <w:color w:val="auto"/>
        </w:rPr>
      </w:pPr>
      <w:r>
        <w:rPr>
          <w:rFonts w:ascii="Arial" w:cs="Arial" w:eastAsia="Arial" w:hAnsi="Arial"/>
          <w:sz w:val="18"/>
          <w:szCs w:val="18"/>
          <w:color w:val="auto"/>
        </w:rPr>
        <w:t>The committee has exclusive authority for approving the compensation of the CEO and the other NEOs. Human resources management, acting under the supervision of the CEO, develops compensation recommendations for all officers and employees, including the NEOs, in accordance with the compensation philosophy and policies more fully described elsewhere in this CD&amp;A.</w:t>
      </w:r>
    </w:p>
    <w:p>
      <w:pPr>
        <w:spacing w:after="0" w:line="161" w:lineRule="exact"/>
        <w:rPr>
          <w:sz w:val="20"/>
          <w:szCs w:val="20"/>
          <w:color w:val="auto"/>
        </w:rPr>
      </w:pPr>
    </w:p>
    <w:p>
      <w:pPr>
        <w:jc w:val="both"/>
        <w:ind w:left="280" w:right="20"/>
        <w:spacing w:after="0" w:line="234" w:lineRule="auto"/>
        <w:rPr>
          <w:sz w:val="20"/>
          <w:szCs w:val="20"/>
          <w:color w:val="auto"/>
        </w:rPr>
      </w:pPr>
      <w:r>
        <w:rPr>
          <w:rFonts w:ascii="Arial" w:cs="Arial" w:eastAsia="Arial" w:hAnsi="Arial"/>
          <w:sz w:val="18"/>
          <w:szCs w:val="18"/>
          <w:color w:val="auto"/>
        </w:rPr>
        <w:t>To assist in its review of the compensation recommendations, the committee directly engaged the firm Semler Brossy Consulting Group LLC (“Semler Brossy”) as its independent compensation consultant. Semler Brossy reported exclusively to the committee, which has sole authority to engage, dismiss and approve the terms of engagement of its consultant. During 2017, Semler Brossy did not provide any additional services to the company. The committee assessed the independence of Semler Brossy pursuant to SEC and NYSE rules, and concluded that no conflict of interest concerns exist.</w:t>
      </w:r>
    </w:p>
    <w:p>
      <w:pPr>
        <w:spacing w:after="0" w:line="175" w:lineRule="exact"/>
        <w:rPr>
          <w:sz w:val="20"/>
          <w:szCs w:val="20"/>
          <w:color w:val="auto"/>
        </w:rPr>
      </w:pPr>
    </w:p>
    <w:p>
      <w:pPr>
        <w:jc w:val="both"/>
        <w:ind w:left="280" w:right="20"/>
        <w:spacing w:after="0" w:line="234" w:lineRule="auto"/>
        <w:rPr>
          <w:sz w:val="20"/>
          <w:szCs w:val="20"/>
          <w:color w:val="auto"/>
        </w:rPr>
      </w:pPr>
      <w:r>
        <w:rPr>
          <w:rFonts w:ascii="Arial" w:cs="Arial" w:eastAsia="Arial" w:hAnsi="Arial"/>
          <w:sz w:val="18"/>
          <w:szCs w:val="18"/>
          <w:color w:val="auto"/>
        </w:rPr>
        <w:t>The compensation consultant’s principal responsibility is to advise the committee on compensation recommendations for the NEOs, as well as on general matters relating to executive compensation strategy and programs. The CEO meets with the committee and the compensation consultant to discuss performance objectives and review compensation recommendations for executive officers directly reporting to him, including the other NEOs. Thereafter, the committee meets privately with the independent compensation consultant to review the compensation recommendations. Final decisions on compensation for the NEOs are made solely by the committee.</w:t>
      </w:r>
    </w:p>
    <w:p>
      <w:pPr>
        <w:spacing w:after="0" w:line="277"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007549"/>
        </w:rPr>
        <w:t>Additional Information</w:t>
      </w:r>
    </w:p>
    <w:p>
      <w:pPr>
        <w:spacing w:after="0" w:line="74" w:lineRule="exact"/>
        <w:rPr>
          <w:sz w:val="20"/>
          <w:szCs w:val="20"/>
          <w:color w:val="auto"/>
        </w:rPr>
      </w:pPr>
    </w:p>
    <w:p>
      <w:pPr>
        <w:jc w:val="both"/>
        <w:ind w:left="280" w:right="20"/>
        <w:spacing w:after="0" w:line="237" w:lineRule="auto"/>
        <w:rPr>
          <w:sz w:val="20"/>
          <w:szCs w:val="20"/>
          <w:color w:val="auto"/>
        </w:rPr>
      </w:pPr>
      <w:r>
        <w:rPr>
          <w:rFonts w:ascii="Arial" w:cs="Arial" w:eastAsia="Arial" w:hAnsi="Arial"/>
          <w:sz w:val="18"/>
          <w:szCs w:val="18"/>
          <w:b w:val="1"/>
          <w:bCs w:val="1"/>
          <w:i w:val="1"/>
          <w:iCs w:val="1"/>
          <w:color w:val="007549"/>
        </w:rPr>
        <w:t xml:space="preserve">Other Benefits. </w:t>
      </w:r>
      <w:r>
        <w:rPr>
          <w:rFonts w:ascii="Arial" w:cs="Arial" w:eastAsia="Arial" w:hAnsi="Arial"/>
          <w:sz w:val="18"/>
          <w:szCs w:val="18"/>
          <w:color w:val="000000"/>
        </w:rPr>
        <w:t>We have adopted certain broad-based employee benefit plans in which executive officers are permitted to participate on</w:t>
      </w:r>
      <w:r>
        <w:rPr>
          <w:rFonts w:ascii="Arial" w:cs="Arial" w:eastAsia="Arial" w:hAnsi="Arial"/>
          <w:sz w:val="18"/>
          <w:szCs w:val="18"/>
          <w:b w:val="1"/>
          <w:bCs w:val="1"/>
          <w:i w:val="1"/>
          <w:iCs w:val="1"/>
          <w:color w:val="007549"/>
        </w:rPr>
        <w:t xml:space="preserve"> </w:t>
      </w:r>
      <w:r>
        <w:rPr>
          <w:rFonts w:ascii="Arial" w:cs="Arial" w:eastAsia="Arial" w:hAnsi="Arial"/>
          <w:sz w:val="18"/>
          <w:szCs w:val="18"/>
          <w:color w:val="000000"/>
        </w:rPr>
        <w:t>the same terms as other eligible employees of the company, subject to applicable limits imposed on contributions and benefits under applicable law. Our objective is that the value of these benefits be competitive with what is offered by companies in our peer group. In addition to group life insurance and health and welfare plans, we have a savings plan under which participants can elect to invest (subject to contribution limits imposed by law) up to 50% of pre-tax or after-tax salary in a variety of funds, one of which invests in our common stock, and the company provides matching contributions up to approximately 8% of pre-tax salary for each participant, which are invested at the discretion of the participant.</w:t>
      </w:r>
    </w:p>
    <w:p>
      <w:pPr>
        <w:spacing w:after="0" w:line="139" w:lineRule="exact"/>
        <w:rPr>
          <w:sz w:val="20"/>
          <w:szCs w:val="20"/>
          <w:color w:val="auto"/>
        </w:rPr>
      </w:pPr>
    </w:p>
    <w:p>
      <w:pPr>
        <w:jc w:val="both"/>
        <w:ind w:left="280" w:right="20"/>
        <w:spacing w:after="0" w:line="236" w:lineRule="auto"/>
        <w:rPr>
          <w:sz w:val="20"/>
          <w:szCs w:val="20"/>
          <w:color w:val="auto"/>
        </w:rPr>
      </w:pPr>
      <w:r>
        <w:rPr>
          <w:rFonts w:ascii="Arial" w:cs="Arial" w:eastAsia="Arial" w:hAnsi="Arial"/>
          <w:sz w:val="18"/>
          <w:szCs w:val="18"/>
          <w:b w:val="1"/>
          <w:bCs w:val="1"/>
          <w:i w:val="1"/>
          <w:iCs w:val="1"/>
          <w:color w:val="007549"/>
        </w:rPr>
        <w:t xml:space="preserve">Pension Benefits. </w:t>
      </w:r>
      <w:r>
        <w:rPr>
          <w:rFonts w:ascii="Arial" w:cs="Arial" w:eastAsia="Arial" w:hAnsi="Arial"/>
          <w:sz w:val="18"/>
          <w:szCs w:val="18"/>
          <w:color w:val="000000"/>
        </w:rPr>
        <w:t>As explained elsewhere in this proxy statement, all of our employees hired prior to January 1, 2017 are eligible for both</w:t>
      </w:r>
      <w:r>
        <w:rPr>
          <w:rFonts w:ascii="Arial" w:cs="Arial" w:eastAsia="Arial" w:hAnsi="Arial"/>
          <w:sz w:val="18"/>
          <w:szCs w:val="18"/>
          <w:b w:val="1"/>
          <w:bCs w:val="1"/>
          <w:i w:val="1"/>
          <w:iCs w:val="1"/>
          <w:color w:val="007549"/>
        </w:rPr>
        <w:t xml:space="preserve"> </w:t>
      </w:r>
      <w:r>
        <w:rPr>
          <w:rFonts w:ascii="Arial" w:cs="Arial" w:eastAsia="Arial" w:hAnsi="Arial"/>
          <w:sz w:val="18"/>
          <w:szCs w:val="18"/>
          <w:color w:val="000000"/>
        </w:rPr>
        <w:t>a qualified defined benefit pension plan and a non-qualified supplemental plan (the restoration plan referred to in the Pension Benefits table) that provides only the benefits that would otherwise be paid to participants under the qualified pension plan but for limitations imposed by the Internal Revenue Code (the “Code”). On January 1, 2017, we closed the existing final average pay formula pension plan to new employees, and introduced a cash balance pension plan for new hires which has a restoration component. Employees are eligible to participate in our pension plans after one year of service and vest in the final average pay retirement benefit after five years of service. The vesting requirement for the cash balance plan is three years. All of our NEOs are participants in the final average pay formula pension plan. While benefits from the qualified final average pay formula pension plan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86995</wp:posOffset>
            </wp:positionV>
            <wp:extent cx="405765" cy="2451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211" w:lineRule="exact"/>
        <w:rPr>
          <w:sz w:val="20"/>
          <w:szCs w:val="20"/>
          <w:color w:val="auto"/>
        </w:rPr>
      </w:pPr>
    </w:p>
    <w:tbl>
      <w:tblPr>
        <w:tblLayout w:type="fixed"/>
        <w:tblInd w:w="9140" w:type="dxa"/>
        <w:tblCellMar>
          <w:top w:w="0" w:type="dxa"/>
          <w:left w:w="0" w:type="dxa"/>
          <w:bottom w:w="0" w:type="dxa"/>
          <w:right w:w="0" w:type="dxa"/>
        </w:tblCellMar>
      </w:tblPr>
      <w:tr>
        <w:trPr>
          <w:trHeight w:val="188"/>
        </w:trPr>
        <w:tc>
          <w:tcPr>
            <w:tcW w:w="1680" w:type="dxa"/>
            <w:vAlign w:val="bottom"/>
          </w:tcPr>
          <w:p>
            <w:pPr>
              <w:spacing w:after="0"/>
              <w:rPr>
                <w:sz w:val="20"/>
                <w:szCs w:val="20"/>
                <w:color w:val="auto"/>
              </w:rPr>
            </w:pPr>
            <w:r>
              <w:rPr>
                <w:rFonts w:ascii="Arial" w:cs="Arial" w:eastAsia="Arial" w:hAnsi="Arial"/>
                <w:sz w:val="12"/>
                <w:szCs w:val="12"/>
                <w:b w:val="1"/>
                <w:bCs w:val="1"/>
                <w:color w:val="666666"/>
              </w:rPr>
              <w:t>2018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007549"/>
              </w:rPr>
              <w:t>33</w:t>
            </w:r>
          </w:p>
        </w:tc>
      </w:tr>
    </w:tbl>
    <w:p>
      <w:pPr>
        <w:sectPr>
          <w:pgSz w:w="11900" w:h="16838" w:orient="portrait"/>
          <w:cols w:equalWidth="0" w:num="1">
            <w:col w:w="11160"/>
          </w:cols>
          <w:pgMar w:left="240" w:top="454" w:right="4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007549"/>
        </w:rPr>
        <w:t xml:space="preserve">Executive Compensation </w:t>
      </w:r>
      <w:r>
        <w:rPr>
          <w:rFonts w:ascii="Arial" w:cs="Arial" w:eastAsia="Arial" w:hAnsi="Arial"/>
          <w:sz w:val="16"/>
          <w:szCs w:val="16"/>
          <w:b w:val="1"/>
          <w:bCs w:val="1"/>
          <w:color w:val="000000"/>
        </w:rPr>
        <w:t>+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55245</wp:posOffset>
            </wp:positionV>
            <wp:extent cx="689356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266" w:lineRule="exact"/>
        <w:rPr>
          <w:sz w:val="20"/>
          <w:szCs w:val="20"/>
          <w:color w:val="auto"/>
        </w:rPr>
      </w:pPr>
    </w:p>
    <w:p>
      <w:pPr>
        <w:jc w:val="both"/>
        <w:ind w:left="280"/>
        <w:spacing w:after="0" w:line="234" w:lineRule="auto"/>
        <w:rPr>
          <w:sz w:val="20"/>
          <w:szCs w:val="20"/>
          <w:color w:val="auto"/>
        </w:rPr>
      </w:pPr>
      <w:r>
        <w:rPr>
          <w:rFonts w:ascii="Arial" w:cs="Arial" w:eastAsia="Arial" w:hAnsi="Arial"/>
          <w:sz w:val="18"/>
          <w:szCs w:val="18"/>
          <w:color w:val="auto"/>
        </w:rPr>
        <w:t>payable as monthly annuities beginning at retirement, benefits from the restoration plan are payable in a single lump sum at first retirement eligibility, but no earlier than six months following termination of employment. The value of the lump sum payment is determined by the benefit formula and various assumptions, including the interest rate which is used to determine the equivalent present value of the amount that would be payable monthly if the restoration plan paid annuities. Benefits from the cash balance pension plan are payable as a lump sum or annuity, per the employee’s election.</w:t>
      </w:r>
    </w:p>
    <w:p>
      <w:pPr>
        <w:spacing w:after="0" w:line="162" w:lineRule="exact"/>
        <w:rPr>
          <w:sz w:val="20"/>
          <w:szCs w:val="20"/>
          <w:color w:val="auto"/>
        </w:rPr>
      </w:pPr>
    </w:p>
    <w:p>
      <w:pPr>
        <w:jc w:val="both"/>
        <w:ind w:left="280"/>
        <w:spacing w:after="0" w:line="232" w:lineRule="auto"/>
        <w:rPr>
          <w:sz w:val="20"/>
          <w:szCs w:val="20"/>
          <w:color w:val="auto"/>
        </w:rPr>
      </w:pPr>
      <w:r>
        <w:rPr>
          <w:rFonts w:ascii="Arial" w:cs="Arial" w:eastAsia="Arial" w:hAnsi="Arial"/>
          <w:sz w:val="18"/>
          <w:szCs w:val="18"/>
          <w:color w:val="auto"/>
        </w:rPr>
        <w:t>Prior to 2010, the committee granted additional years of credited service under our pension restoration plan to Messrs. Hill and Rielly as part of the compensation packages necessary to recruit them. In 2009, the committee gave Mr. Hill credit for ten years of service with his prior employer, upon completion of five years of service with the company. Mr. Hill worked for over 25 years with Royal Dutch Shell plc and its affiliates, most recently in senior executive positions. This agreement was intended to compensate Mr. Hill for the difference between the pension benefits he would have received from his prior employer had he retired from his prior employment at age 60 and the pension benefits he would have received, absent such credited service, under the company’s pension plans for his retirement at the same age. The additional years of service for Mr. Rielly are equal to his service with his prior employer, and his supplemental benefits are offset by his pension benefits from his prior employer. Mr. Rielly had more than 16 years of experience with Ernst &amp; Young LLP. He had a successful career at his prior employer and would have continued to accrue years of service under the pension plan of his prior employer. Again, the committee believed that an award of credited service was necessary to compensate this executive for the loss of pension benefits and to induce him to join the company. In addition, Mr. Turner was granted an additional $ 1,850,000 lump sum in the pension restoration plan conditional on his reaching age 60 at retirement. This agreement was intended to compensate Mr. Turner for the difference in pension benefits at retirement under the plans of his prior employer, Royal Dutch Shell, and the company’s plans. In the event that the company initiates a termination of employment (other than for cause) prior to that time, a prorated portion of the payment would be due.</w:t>
      </w:r>
    </w:p>
    <w:p>
      <w:pPr>
        <w:spacing w:after="0" w:line="156" w:lineRule="exact"/>
        <w:rPr>
          <w:sz w:val="20"/>
          <w:szCs w:val="20"/>
          <w:color w:val="auto"/>
        </w:rPr>
      </w:pPr>
    </w:p>
    <w:p>
      <w:pPr>
        <w:jc w:val="both"/>
        <w:ind w:left="280"/>
        <w:spacing w:after="0" w:line="247" w:lineRule="auto"/>
        <w:rPr>
          <w:sz w:val="20"/>
          <w:szCs w:val="20"/>
          <w:color w:val="auto"/>
        </w:rPr>
      </w:pPr>
      <w:r>
        <w:rPr>
          <w:rFonts w:ascii="Arial" w:cs="Arial" w:eastAsia="Arial" w:hAnsi="Arial"/>
          <w:sz w:val="18"/>
          <w:szCs w:val="18"/>
          <w:b w:val="1"/>
          <w:bCs w:val="1"/>
          <w:i w:val="1"/>
          <w:iCs w:val="1"/>
          <w:color w:val="007549"/>
        </w:rPr>
        <w:t xml:space="preserve">Perquisites. </w:t>
      </w:r>
      <w:r>
        <w:rPr>
          <w:rFonts w:ascii="Arial" w:cs="Arial" w:eastAsia="Arial" w:hAnsi="Arial"/>
          <w:sz w:val="18"/>
          <w:szCs w:val="18"/>
          <w:color w:val="000000"/>
        </w:rPr>
        <w:t>The company did not provide perquisites or personal benefits valued at $10,000 or more to any of our NEOs in 2017. While</w:t>
      </w:r>
      <w:r>
        <w:rPr>
          <w:rFonts w:ascii="Arial" w:cs="Arial" w:eastAsia="Arial" w:hAnsi="Arial"/>
          <w:sz w:val="18"/>
          <w:szCs w:val="18"/>
          <w:b w:val="1"/>
          <w:bCs w:val="1"/>
          <w:i w:val="1"/>
          <w:iCs w:val="1"/>
          <w:color w:val="007549"/>
        </w:rPr>
        <w:t xml:space="preserve"> </w:t>
      </w:r>
      <w:r>
        <w:rPr>
          <w:rFonts w:ascii="Arial" w:cs="Arial" w:eastAsia="Arial" w:hAnsi="Arial"/>
          <w:sz w:val="18"/>
          <w:szCs w:val="18"/>
          <w:color w:val="000000"/>
        </w:rPr>
        <w:t>we offer a very limited amount of perquisites and other personal benefits to our NEOs, perquisites are not a material part of our compensation program. The committee periodically reviews the levels of perquisites and other personal benefits provided to our NEOs.</w:t>
      </w:r>
    </w:p>
    <w:p>
      <w:pPr>
        <w:spacing w:after="0" w:line="133" w:lineRule="exact"/>
        <w:rPr>
          <w:sz w:val="20"/>
          <w:szCs w:val="20"/>
          <w:color w:val="auto"/>
        </w:rPr>
      </w:pPr>
    </w:p>
    <w:p>
      <w:pPr>
        <w:jc w:val="both"/>
        <w:ind w:left="280"/>
        <w:spacing w:after="0" w:line="242" w:lineRule="auto"/>
        <w:rPr>
          <w:sz w:val="20"/>
          <w:szCs w:val="20"/>
          <w:color w:val="auto"/>
        </w:rPr>
      </w:pPr>
      <w:r>
        <w:rPr>
          <w:rFonts w:ascii="Arial" w:cs="Arial" w:eastAsia="Arial" w:hAnsi="Arial"/>
          <w:sz w:val="18"/>
          <w:szCs w:val="18"/>
          <w:b w:val="1"/>
          <w:bCs w:val="1"/>
          <w:i w:val="1"/>
          <w:iCs w:val="1"/>
          <w:color w:val="007549"/>
        </w:rPr>
        <w:t xml:space="preserve">Management Stock Ownership Guidelines. </w:t>
      </w:r>
      <w:r>
        <w:rPr>
          <w:rFonts w:ascii="Arial" w:cs="Arial" w:eastAsia="Arial" w:hAnsi="Arial"/>
          <w:sz w:val="18"/>
          <w:szCs w:val="18"/>
          <w:color w:val="000000"/>
        </w:rPr>
        <w:t>In order to further align the interests of senior management and stockholders, we maintain</w:t>
      </w:r>
      <w:r>
        <w:rPr>
          <w:rFonts w:ascii="Arial" w:cs="Arial" w:eastAsia="Arial" w:hAnsi="Arial"/>
          <w:sz w:val="18"/>
          <w:szCs w:val="18"/>
          <w:b w:val="1"/>
          <w:bCs w:val="1"/>
          <w:i w:val="1"/>
          <w:iCs w:val="1"/>
          <w:color w:val="007549"/>
        </w:rPr>
        <w:t xml:space="preserve"> </w:t>
      </w:r>
      <w:r>
        <w:rPr>
          <w:rFonts w:ascii="Arial" w:cs="Arial" w:eastAsia="Arial" w:hAnsi="Arial"/>
          <w:sz w:val="18"/>
          <w:szCs w:val="18"/>
          <w:color w:val="000000"/>
        </w:rPr>
        <w:t>stock ownership guidelines for corporate officers. The guidelines provide that each corporate officer should attain a specified level of ownership of shares of the company’s common stock equal in value to a multiple of the their base salary within five years of the later of the date of adoption of the guidelines and the officer’s first election to his or her role.</w:t>
      </w:r>
    </w:p>
    <w:p>
      <w:pPr>
        <w:spacing w:after="0" w:line="184"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5460" w:type="dxa"/>
            <w:vAlign w:val="bottom"/>
            <w:shd w:val="clear" w:color="auto" w:fill="007549"/>
          </w:tcPr>
          <w:p>
            <w:pPr>
              <w:spacing w:after="0"/>
              <w:rPr>
                <w:sz w:val="14"/>
                <w:szCs w:val="14"/>
                <w:color w:val="auto"/>
              </w:rPr>
            </w:pPr>
          </w:p>
        </w:tc>
        <w:tc>
          <w:tcPr>
            <w:tcW w:w="5400" w:type="dxa"/>
            <w:vAlign w:val="bottom"/>
            <w:shd w:val="clear" w:color="auto" w:fill="007549"/>
          </w:tcPr>
          <w:p>
            <w:pPr>
              <w:ind w:left="3920"/>
              <w:spacing w:after="0"/>
              <w:rPr>
                <w:sz w:val="20"/>
                <w:szCs w:val="20"/>
                <w:color w:val="auto"/>
              </w:rPr>
            </w:pPr>
            <w:r>
              <w:rPr>
                <w:rFonts w:ascii="Arial" w:cs="Arial" w:eastAsia="Arial" w:hAnsi="Arial"/>
                <w:sz w:val="14"/>
                <w:szCs w:val="14"/>
                <w:b w:val="1"/>
                <w:bCs w:val="1"/>
                <w:color w:val="FFFFFF"/>
              </w:rPr>
              <w:t>Requirement</w:t>
            </w:r>
          </w:p>
        </w:tc>
      </w:tr>
      <w:tr>
        <w:trPr>
          <w:trHeight w:val="186"/>
        </w:trPr>
        <w:tc>
          <w:tcPr>
            <w:tcW w:w="5460" w:type="dxa"/>
            <w:vAlign w:val="bottom"/>
            <w:shd w:val="clear" w:color="auto" w:fill="007549"/>
          </w:tcPr>
          <w:p>
            <w:pPr>
              <w:ind w:left="80"/>
              <w:spacing w:after="0"/>
              <w:rPr>
                <w:sz w:val="20"/>
                <w:szCs w:val="20"/>
                <w:color w:val="auto"/>
              </w:rPr>
            </w:pPr>
            <w:r>
              <w:rPr>
                <w:rFonts w:ascii="Arial" w:cs="Arial" w:eastAsia="Arial" w:hAnsi="Arial"/>
                <w:sz w:val="14"/>
                <w:szCs w:val="14"/>
                <w:b w:val="1"/>
                <w:bCs w:val="1"/>
                <w:color w:val="FFFFFF"/>
              </w:rPr>
              <w:t>Role</w:t>
            </w:r>
          </w:p>
        </w:tc>
        <w:tc>
          <w:tcPr>
            <w:tcW w:w="5400" w:type="dxa"/>
            <w:vAlign w:val="bottom"/>
            <w:shd w:val="clear" w:color="auto" w:fill="007549"/>
          </w:tcPr>
          <w:p>
            <w:pPr>
              <w:ind w:left="3560"/>
              <w:spacing w:after="0"/>
              <w:rPr>
                <w:sz w:val="20"/>
                <w:szCs w:val="20"/>
                <w:color w:val="auto"/>
              </w:rPr>
            </w:pPr>
            <w:r>
              <w:rPr>
                <w:rFonts w:ascii="Arial" w:cs="Arial" w:eastAsia="Arial" w:hAnsi="Arial"/>
                <w:sz w:val="14"/>
                <w:szCs w:val="14"/>
                <w:b w:val="1"/>
                <w:bCs w:val="1"/>
                <w:color w:val="FFFFFF"/>
              </w:rPr>
              <w:t>(multiple of base salary)</w:t>
            </w:r>
          </w:p>
        </w:tc>
      </w:tr>
      <w:tr>
        <w:trPr>
          <w:trHeight w:val="266"/>
        </w:trPr>
        <w:tc>
          <w:tcPr>
            <w:tcW w:w="5460" w:type="dxa"/>
            <w:vAlign w:val="bottom"/>
            <w:shd w:val="clear" w:color="auto" w:fill="E5E5E5"/>
          </w:tcPr>
          <w:p>
            <w:pPr>
              <w:ind w:left="80"/>
              <w:spacing w:after="0"/>
              <w:rPr>
                <w:sz w:val="20"/>
                <w:szCs w:val="20"/>
                <w:color w:val="auto"/>
              </w:rPr>
            </w:pPr>
            <w:r>
              <w:rPr>
                <w:rFonts w:ascii="Arial" w:cs="Arial" w:eastAsia="Arial" w:hAnsi="Arial"/>
                <w:sz w:val="18"/>
                <w:szCs w:val="18"/>
                <w:color w:val="auto"/>
              </w:rPr>
              <w:t>Chief Executive Officer</w:t>
            </w:r>
          </w:p>
        </w:tc>
        <w:tc>
          <w:tcPr>
            <w:tcW w:w="5400" w:type="dxa"/>
            <w:vAlign w:val="bottom"/>
            <w:shd w:val="clear" w:color="auto" w:fill="E5E5E5"/>
          </w:tcPr>
          <w:p>
            <w:pPr>
              <w:ind w:left="4420"/>
              <w:spacing w:after="0"/>
              <w:rPr>
                <w:sz w:val="20"/>
                <w:szCs w:val="20"/>
                <w:color w:val="auto"/>
              </w:rPr>
            </w:pPr>
            <w:r>
              <w:rPr>
                <w:rFonts w:ascii="Arial" w:cs="Arial" w:eastAsia="Arial" w:hAnsi="Arial"/>
                <w:sz w:val="18"/>
                <w:szCs w:val="18"/>
                <w:color w:val="auto"/>
              </w:rPr>
              <w:t>6x</w:t>
            </w:r>
          </w:p>
        </w:tc>
      </w:tr>
      <w:tr>
        <w:trPr>
          <w:trHeight w:val="259"/>
        </w:trPr>
        <w:tc>
          <w:tcPr>
            <w:tcW w:w="5460" w:type="dxa"/>
            <w:vAlign w:val="bottom"/>
          </w:tcPr>
          <w:p>
            <w:pPr>
              <w:ind w:left="80"/>
              <w:spacing w:after="0"/>
              <w:rPr>
                <w:sz w:val="20"/>
                <w:szCs w:val="20"/>
                <w:color w:val="auto"/>
              </w:rPr>
            </w:pPr>
            <w:r>
              <w:rPr>
                <w:rFonts w:ascii="Arial" w:cs="Arial" w:eastAsia="Arial" w:hAnsi="Arial"/>
                <w:sz w:val="18"/>
                <w:szCs w:val="18"/>
                <w:color w:val="auto"/>
              </w:rPr>
              <w:t>Chief Operating Officer</w:t>
            </w:r>
          </w:p>
        </w:tc>
        <w:tc>
          <w:tcPr>
            <w:tcW w:w="5400" w:type="dxa"/>
            <w:vAlign w:val="bottom"/>
          </w:tcPr>
          <w:p>
            <w:pPr>
              <w:ind w:left="4420"/>
              <w:spacing w:after="0"/>
              <w:rPr>
                <w:sz w:val="20"/>
                <w:szCs w:val="20"/>
                <w:color w:val="auto"/>
              </w:rPr>
            </w:pPr>
            <w:r>
              <w:rPr>
                <w:rFonts w:ascii="Arial" w:cs="Arial" w:eastAsia="Arial" w:hAnsi="Arial"/>
                <w:sz w:val="18"/>
                <w:szCs w:val="18"/>
                <w:color w:val="auto"/>
              </w:rPr>
              <w:t>4x</w:t>
            </w:r>
          </w:p>
        </w:tc>
      </w:tr>
      <w:tr>
        <w:trPr>
          <w:trHeight w:val="273"/>
        </w:trPr>
        <w:tc>
          <w:tcPr>
            <w:tcW w:w="5460" w:type="dxa"/>
            <w:vAlign w:val="bottom"/>
            <w:shd w:val="clear" w:color="auto" w:fill="E5E5E5"/>
          </w:tcPr>
          <w:p>
            <w:pPr>
              <w:ind w:left="80"/>
              <w:spacing w:after="0"/>
              <w:rPr>
                <w:sz w:val="20"/>
                <w:szCs w:val="20"/>
                <w:color w:val="auto"/>
              </w:rPr>
            </w:pPr>
            <w:r>
              <w:rPr>
                <w:rFonts w:ascii="Arial" w:cs="Arial" w:eastAsia="Arial" w:hAnsi="Arial"/>
                <w:sz w:val="18"/>
                <w:szCs w:val="18"/>
                <w:color w:val="auto"/>
              </w:rPr>
              <w:t>Senior Vice Presidents</w:t>
            </w:r>
          </w:p>
        </w:tc>
        <w:tc>
          <w:tcPr>
            <w:tcW w:w="5400" w:type="dxa"/>
            <w:vAlign w:val="bottom"/>
            <w:shd w:val="clear" w:color="auto" w:fill="E5E5E5"/>
          </w:tcPr>
          <w:p>
            <w:pPr>
              <w:ind w:left="4420"/>
              <w:spacing w:after="0"/>
              <w:rPr>
                <w:sz w:val="20"/>
                <w:szCs w:val="20"/>
                <w:color w:val="auto"/>
              </w:rPr>
            </w:pPr>
            <w:r>
              <w:rPr>
                <w:rFonts w:ascii="Arial" w:cs="Arial" w:eastAsia="Arial" w:hAnsi="Arial"/>
                <w:sz w:val="18"/>
                <w:szCs w:val="18"/>
                <w:color w:val="auto"/>
              </w:rPr>
              <w:t>3x</w:t>
            </w:r>
          </w:p>
        </w:tc>
      </w:tr>
      <w:tr>
        <w:trPr>
          <w:trHeight w:val="252"/>
        </w:trPr>
        <w:tc>
          <w:tcPr>
            <w:tcW w:w="5460" w:type="dxa"/>
            <w:vAlign w:val="bottom"/>
          </w:tcPr>
          <w:p>
            <w:pPr>
              <w:ind w:left="80"/>
              <w:spacing w:after="0"/>
              <w:rPr>
                <w:sz w:val="20"/>
                <w:szCs w:val="20"/>
                <w:color w:val="auto"/>
              </w:rPr>
            </w:pPr>
            <w:r>
              <w:rPr>
                <w:rFonts w:ascii="Arial" w:cs="Arial" w:eastAsia="Arial" w:hAnsi="Arial"/>
                <w:sz w:val="18"/>
                <w:szCs w:val="18"/>
                <w:color w:val="auto"/>
              </w:rPr>
              <w:t>Vice Presidents</w:t>
            </w:r>
          </w:p>
        </w:tc>
        <w:tc>
          <w:tcPr>
            <w:tcW w:w="5400" w:type="dxa"/>
            <w:vAlign w:val="bottom"/>
          </w:tcPr>
          <w:p>
            <w:pPr>
              <w:ind w:left="4420"/>
              <w:spacing w:after="0"/>
              <w:rPr>
                <w:sz w:val="20"/>
                <w:szCs w:val="20"/>
                <w:color w:val="auto"/>
              </w:rPr>
            </w:pPr>
            <w:r>
              <w:rPr>
                <w:rFonts w:ascii="Arial" w:cs="Arial" w:eastAsia="Arial" w:hAnsi="Arial"/>
                <w:sz w:val="18"/>
                <w:szCs w:val="18"/>
                <w:color w:val="auto"/>
              </w:rPr>
              <w:t>1x</w:t>
            </w:r>
          </w:p>
        </w:tc>
      </w:tr>
    </w:tbl>
    <w:p>
      <w:pPr>
        <w:spacing w:after="0" w:line="227" w:lineRule="exact"/>
        <w:rPr>
          <w:sz w:val="20"/>
          <w:szCs w:val="20"/>
          <w:color w:val="auto"/>
        </w:rPr>
      </w:pPr>
    </w:p>
    <w:p>
      <w:pPr>
        <w:jc w:val="both"/>
        <w:ind w:left="280"/>
        <w:spacing w:after="0" w:line="234" w:lineRule="auto"/>
        <w:rPr>
          <w:sz w:val="20"/>
          <w:szCs w:val="20"/>
          <w:color w:val="auto"/>
        </w:rPr>
      </w:pPr>
      <w:r>
        <w:rPr>
          <w:rFonts w:ascii="Arial" w:cs="Arial" w:eastAsia="Arial" w:hAnsi="Arial"/>
          <w:sz w:val="18"/>
          <w:szCs w:val="18"/>
          <w:color w:val="auto"/>
        </w:rPr>
        <w:t>Our NEOs maintain significant ownership in Hess stock. Mr. Hess, our CEO, beneficially owns approximately 11.5% of our outstanding shares, and among the other NEOs, on average, ownership exceeds seven times base salary. This reflects significant alignment of interests between our NEOs and our stockholders. Currently, shares owned outright by an executive, restricted stock and stock held in an executive’s savings plan account are counted for purposes of determining stock ownership levels. Stock options and unvested performance share units are not counted.</w:t>
      </w:r>
    </w:p>
    <w:p>
      <w:pPr>
        <w:spacing w:after="0" w:line="140" w:lineRule="exact"/>
        <w:rPr>
          <w:sz w:val="20"/>
          <w:szCs w:val="20"/>
          <w:color w:val="auto"/>
        </w:rPr>
      </w:pPr>
    </w:p>
    <w:p>
      <w:pPr>
        <w:jc w:val="both"/>
        <w:ind w:left="280"/>
        <w:spacing w:after="0" w:line="242" w:lineRule="auto"/>
        <w:rPr>
          <w:sz w:val="20"/>
          <w:szCs w:val="20"/>
          <w:color w:val="auto"/>
        </w:rPr>
      </w:pPr>
      <w:r>
        <w:rPr>
          <w:rFonts w:ascii="Arial" w:cs="Arial" w:eastAsia="Arial" w:hAnsi="Arial"/>
          <w:sz w:val="18"/>
          <w:szCs w:val="18"/>
          <w:b w:val="1"/>
          <w:bCs w:val="1"/>
          <w:i w:val="1"/>
          <w:iCs w:val="1"/>
          <w:color w:val="007549"/>
        </w:rPr>
        <w:t xml:space="preserve">Anti-hedging and Anti-pledging Policies. </w:t>
      </w:r>
      <w:r>
        <w:rPr>
          <w:rFonts w:ascii="Arial" w:cs="Arial" w:eastAsia="Arial" w:hAnsi="Arial"/>
          <w:sz w:val="18"/>
          <w:szCs w:val="18"/>
          <w:color w:val="000000"/>
        </w:rPr>
        <w:t>We do not permit directors or executive officers to trade in equity derivative instruments in</w:t>
      </w:r>
      <w:r>
        <w:rPr>
          <w:rFonts w:ascii="Arial" w:cs="Arial" w:eastAsia="Arial" w:hAnsi="Arial"/>
          <w:sz w:val="18"/>
          <w:szCs w:val="18"/>
          <w:b w:val="1"/>
          <w:bCs w:val="1"/>
          <w:i w:val="1"/>
          <w:iCs w:val="1"/>
          <w:color w:val="007549"/>
        </w:rPr>
        <w:t xml:space="preserve"> </w:t>
      </w:r>
      <w:r>
        <w:rPr>
          <w:rFonts w:ascii="Arial" w:cs="Arial" w:eastAsia="Arial" w:hAnsi="Arial"/>
          <w:sz w:val="18"/>
          <w:szCs w:val="18"/>
          <w:color w:val="000000"/>
        </w:rPr>
        <w:t>order to hedge the economic risks of holding the company’s stock. The purpose of these policies is to align the interests, including the economic risk of ownership, of directors, management and stockholders. In addition, we do not permit our executives to pledge shares of company stock in which they have a financial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1820545</wp:posOffset>
            </wp:positionH>
            <wp:positionV relativeFrom="paragraph">
              <wp:posOffset>84455</wp:posOffset>
            </wp:positionV>
            <wp:extent cx="405765" cy="2451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212" w:lineRule="exact"/>
        <w:rPr>
          <w:sz w:val="20"/>
          <w:szCs w:val="20"/>
          <w:color w:val="auto"/>
        </w:rPr>
      </w:pPr>
    </w:p>
    <w:p>
      <w:pPr>
        <w:ind w:left="760" w:hanging="474"/>
        <w:spacing w:after="0"/>
        <w:tabs>
          <w:tab w:leader="none" w:pos="760" w:val="left"/>
        </w:tabs>
        <w:numPr>
          <w:ilvl w:val="0"/>
          <w:numId w:val="60"/>
        </w:numPr>
        <w:rPr>
          <w:rFonts w:ascii="Arial" w:cs="Arial" w:eastAsia="Arial" w:hAnsi="Arial"/>
          <w:sz w:val="14"/>
          <w:szCs w:val="14"/>
          <w:b w:val="1"/>
          <w:bCs w:val="1"/>
          <w:color w:val="007549"/>
        </w:rPr>
      </w:pPr>
      <w:r>
        <w:rPr>
          <w:rFonts w:ascii="Arial" w:cs="Arial" w:eastAsia="Arial" w:hAnsi="Arial"/>
          <w:sz w:val="12"/>
          <w:szCs w:val="12"/>
          <w:b w:val="1"/>
          <w:bCs w:val="1"/>
          <w:color w:val="666666"/>
        </w:rPr>
        <w:t>2018 PROXY STATEMENT</w:t>
      </w:r>
    </w:p>
    <w:p>
      <w:pPr>
        <w:sectPr>
          <w:pgSz w:w="11900" w:h="16838" w:orient="portrait"/>
          <w:cols w:equalWidth="0" w:num="1">
            <w:col w:w="11140"/>
          </w:cols>
          <w:pgMar w:left="240" w:top="454" w:right="5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7549"/>
        </w:rPr>
        <w:t xml:space="preserve">Executive Compensation </w:t>
      </w:r>
      <w:r>
        <w:rPr>
          <w:rFonts w:ascii="Arial" w:cs="Arial" w:eastAsia="Arial" w:hAnsi="Arial"/>
          <w:sz w:val="16"/>
          <w:szCs w:val="16"/>
          <w:b w:val="1"/>
          <w:bCs w:val="1"/>
          <w:color w:val="000000"/>
        </w:rPr>
        <w:t>+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55245</wp:posOffset>
            </wp:positionV>
            <wp:extent cx="689356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244" w:lineRule="exact"/>
        <w:rPr>
          <w:sz w:val="20"/>
          <w:szCs w:val="20"/>
          <w:color w:val="auto"/>
        </w:rPr>
      </w:pPr>
    </w:p>
    <w:p>
      <w:pPr>
        <w:jc w:val="both"/>
        <w:ind w:left="280"/>
        <w:spacing w:after="0" w:line="235" w:lineRule="auto"/>
        <w:rPr>
          <w:sz w:val="20"/>
          <w:szCs w:val="20"/>
          <w:color w:val="auto"/>
        </w:rPr>
      </w:pPr>
      <w:r>
        <w:rPr>
          <w:rFonts w:ascii="Arial" w:cs="Arial" w:eastAsia="Arial" w:hAnsi="Arial"/>
          <w:sz w:val="18"/>
          <w:szCs w:val="18"/>
          <w:b w:val="1"/>
          <w:bCs w:val="1"/>
          <w:i w:val="1"/>
          <w:iCs w:val="1"/>
          <w:color w:val="007549"/>
        </w:rPr>
        <w:t xml:space="preserve">Recoupment (“Clawback”) Policy. </w:t>
      </w:r>
      <w:r>
        <w:rPr>
          <w:rFonts w:ascii="Arial" w:cs="Arial" w:eastAsia="Arial" w:hAnsi="Arial"/>
          <w:sz w:val="18"/>
          <w:szCs w:val="18"/>
          <w:color w:val="000000"/>
        </w:rPr>
        <w:t>In the event that the company is required to prepare an accounting restatement due to the material</w:t>
      </w:r>
      <w:r>
        <w:rPr>
          <w:rFonts w:ascii="Arial" w:cs="Arial" w:eastAsia="Arial" w:hAnsi="Arial"/>
          <w:sz w:val="18"/>
          <w:szCs w:val="18"/>
          <w:b w:val="1"/>
          <w:bCs w:val="1"/>
          <w:i w:val="1"/>
          <w:iCs w:val="1"/>
          <w:color w:val="007549"/>
        </w:rPr>
        <w:t xml:space="preserve"> </w:t>
      </w:r>
      <w:r>
        <w:rPr>
          <w:rFonts w:ascii="Arial" w:cs="Arial" w:eastAsia="Arial" w:hAnsi="Arial"/>
          <w:sz w:val="18"/>
          <w:szCs w:val="18"/>
          <w:color w:val="000000"/>
        </w:rPr>
        <w:t>noncompliance of the company with any financial reporting requirement under U.S. securities laws, the company has the right to recover from any current or former executive officer (not only NEOs) of the company who received incentive-based compensation (including stock options awarded as compensation) during the three-year period preceding the date on which the company is required to prepare an accounting restatement, based on the erroneous data, in excess of what would have been paid to the executive officer under the accounting restatement. The committee has full authority and discretion to administer this policy and all determinations of the committee are final and binding. This policy operates in addition to any compensation recoupment provided for by law or by the company’s long-term incentive plans. Once final rules are effective regarding clawback requirements under the Dodd-Frank Act, the company intends to review its compensation recoupment policy and, if necessary, amend such policy to comply with the new mandates.</w:t>
      </w:r>
    </w:p>
    <w:p>
      <w:pPr>
        <w:spacing w:after="0" w:line="167" w:lineRule="exact"/>
        <w:rPr>
          <w:sz w:val="20"/>
          <w:szCs w:val="20"/>
          <w:color w:val="auto"/>
        </w:rPr>
      </w:pPr>
    </w:p>
    <w:p>
      <w:pPr>
        <w:jc w:val="both"/>
        <w:ind w:left="280"/>
        <w:spacing w:after="0" w:line="233" w:lineRule="auto"/>
        <w:rPr>
          <w:sz w:val="20"/>
          <w:szCs w:val="20"/>
          <w:color w:val="auto"/>
        </w:rPr>
      </w:pPr>
      <w:r>
        <w:rPr>
          <w:rFonts w:ascii="Arial" w:cs="Arial" w:eastAsia="Arial" w:hAnsi="Arial"/>
          <w:sz w:val="18"/>
          <w:szCs w:val="18"/>
          <w:color w:val="auto"/>
        </w:rPr>
        <w:t>In addition, in the event of misconduct by an employee that results in material noncompliance with financial reporting requirements, we reserve the right to take all appropriate action to remedy the misconduct, discipline such officer or employee and prevent its recurrence, including (i) termination of employment of such officer or employee and forfeiture of outstanding equity awards, (ii) commencing an action for breach of fiduciary duty and/or (iii) seeking reimbursement of any compensation paid in excess of that which would have been paid in the absence of such noncompliance, either by legal action or by offsetting other amounts owed by the company to such officer or employee to the extent permissible.</w:t>
      </w:r>
    </w:p>
    <w:p>
      <w:pPr>
        <w:spacing w:after="0" w:line="156" w:lineRule="exact"/>
        <w:rPr>
          <w:sz w:val="20"/>
          <w:szCs w:val="20"/>
          <w:color w:val="auto"/>
        </w:rPr>
      </w:pPr>
    </w:p>
    <w:p>
      <w:pPr>
        <w:jc w:val="both"/>
        <w:ind w:left="280"/>
        <w:spacing w:after="0" w:line="235" w:lineRule="auto"/>
        <w:rPr>
          <w:sz w:val="20"/>
          <w:szCs w:val="20"/>
          <w:color w:val="auto"/>
        </w:rPr>
      </w:pPr>
      <w:r>
        <w:rPr>
          <w:rFonts w:ascii="Arial" w:cs="Arial" w:eastAsia="Arial" w:hAnsi="Arial"/>
          <w:sz w:val="18"/>
          <w:szCs w:val="18"/>
          <w:b w:val="1"/>
          <w:bCs w:val="1"/>
          <w:i w:val="1"/>
          <w:iCs w:val="1"/>
          <w:color w:val="007549"/>
        </w:rPr>
        <w:t xml:space="preserve">Change-in-Control Agreements. </w:t>
      </w:r>
      <w:r>
        <w:rPr>
          <w:rFonts w:ascii="Arial" w:cs="Arial" w:eastAsia="Arial" w:hAnsi="Arial"/>
          <w:sz w:val="18"/>
          <w:szCs w:val="18"/>
          <w:color w:val="000000"/>
        </w:rPr>
        <w:t>As explained in greater detail elsewhere in this proxy statement, we have change-in-control agreements</w:t>
      </w:r>
      <w:r>
        <w:rPr>
          <w:rFonts w:ascii="Arial" w:cs="Arial" w:eastAsia="Arial" w:hAnsi="Arial"/>
          <w:sz w:val="18"/>
          <w:szCs w:val="18"/>
          <w:b w:val="1"/>
          <w:bCs w:val="1"/>
          <w:i w:val="1"/>
          <w:iCs w:val="1"/>
          <w:color w:val="007549"/>
        </w:rPr>
        <w:t xml:space="preserve"> </w:t>
      </w:r>
      <w:r>
        <w:rPr>
          <w:rFonts w:ascii="Arial" w:cs="Arial" w:eastAsia="Arial" w:hAnsi="Arial"/>
          <w:sz w:val="18"/>
          <w:szCs w:val="18"/>
          <w:color w:val="000000"/>
        </w:rPr>
        <w:t>with certain executives, including our NEOs, that provide for a lump sum cash payment equal to a multiple of the executive’s compensation, as well as other benefits, if (1) there is a change in control, as defined in the agreements, and (2) the executive is actually or constructively terminated within 24 months following a change in control (“double-trigger”). In view of continuing consolidation within the oil and gas industry, we believe these agreements are necessary to remain competitive with the overall compensation packages afforded by companies in our peer group. We also believe these agreements work to provide security to our executives, many of whom would have key roles in negotiating and implementing a potential change-in-control transaction, and further align their interests with the best long-term interests of stockholders. In 2010, the committee decided to eliminate “golden parachute” excise tax gross-up provisions from any such agreements entered into in the future. As a result, our change-in-control agreement with Mr. Turner, which was entered into during 2015, does not contain a tax gross up provision.</w:t>
      </w:r>
    </w:p>
    <w:p>
      <w:pPr>
        <w:spacing w:after="0" w:line="142" w:lineRule="exact"/>
        <w:rPr>
          <w:sz w:val="20"/>
          <w:szCs w:val="20"/>
          <w:color w:val="auto"/>
        </w:rPr>
      </w:pPr>
    </w:p>
    <w:p>
      <w:pPr>
        <w:jc w:val="both"/>
        <w:ind w:left="280"/>
        <w:spacing w:after="0" w:line="233" w:lineRule="auto"/>
        <w:rPr>
          <w:sz w:val="20"/>
          <w:szCs w:val="20"/>
          <w:color w:val="auto"/>
        </w:rPr>
      </w:pPr>
      <w:r>
        <w:rPr>
          <w:rFonts w:ascii="Arial" w:cs="Arial" w:eastAsia="Arial" w:hAnsi="Arial"/>
          <w:sz w:val="18"/>
          <w:szCs w:val="18"/>
          <w:b w:val="1"/>
          <w:bCs w:val="1"/>
          <w:i w:val="1"/>
          <w:iCs w:val="1"/>
          <w:color w:val="007549"/>
        </w:rPr>
        <w:t xml:space="preserve">Tax Deductibility of Compensation. </w:t>
      </w:r>
      <w:r>
        <w:rPr>
          <w:rFonts w:ascii="Arial" w:cs="Arial" w:eastAsia="Arial" w:hAnsi="Arial"/>
          <w:sz w:val="18"/>
          <w:szCs w:val="18"/>
          <w:color w:val="000000"/>
        </w:rPr>
        <w:t>Section 162(m) of the Internal Revenue Code places a limit of $1 million per year on the amount of</w:t>
      </w:r>
      <w:r>
        <w:rPr>
          <w:rFonts w:ascii="Arial" w:cs="Arial" w:eastAsia="Arial" w:hAnsi="Arial"/>
          <w:sz w:val="18"/>
          <w:szCs w:val="18"/>
          <w:b w:val="1"/>
          <w:bCs w:val="1"/>
          <w:i w:val="1"/>
          <w:iCs w:val="1"/>
          <w:color w:val="007549"/>
        </w:rPr>
        <w:t xml:space="preserve"> </w:t>
      </w:r>
      <w:r>
        <w:rPr>
          <w:rFonts w:ascii="Arial" w:cs="Arial" w:eastAsia="Arial" w:hAnsi="Arial"/>
          <w:sz w:val="18"/>
          <w:szCs w:val="18"/>
          <w:color w:val="000000"/>
        </w:rPr>
        <w:t>compensation paid to certain of our executive officers that the company may deduct from our federal income tax return for any single taxable year. There was an exception to the $1 million limitation for performance-based compensation meeting certain requirements. The material terms of our incentive plans that were previously approved by stockholders allowed us to grant certain cash incentive compensation and LTI awards that were designed to meet the definition of performance-based compensation which qualified for the exception to the $1 million deduction limit. However, on December 22, 2017 the Tax Cuts and Jobs Act of 2017 was enacted, which, among other things, repealed the performance-based compensation exception described in this paragraph. Following enactment of the Tax Cuts and Jobs Act of 2017, we generally expect that compensation paid to our CEO, CFO and other applicable named executives in excess of $ 1 million will not be deductible, subject to a transition rule for compensation provided pursuant to a binding written contract in effect as of November 2, 2017 that is not materially modified after such date. To the extent applicable to our existing plans and previously granted awards, the company may avail itself of this transition rule. However, because of uncertainties as to the application and interpretation of the transition rule, no assurances can be given at this time that our existing plans and previously granted awards, even if in place on November 2, 2017, will meet the requirements of the transition rule. To maintain flexibility in compensating executive officers in a manner designed to promote varying corporate goals in the best interest of the company, the Committee does not limit its actions with respect to executive compensation to preserve deductibility under Section 162(m) if the Committee determines that doing so is in the best interests of the company.</w:t>
      </w:r>
    </w:p>
    <w:p>
      <w:pPr>
        <w:spacing w:after="0" w:line="151" w:lineRule="exact"/>
        <w:rPr>
          <w:sz w:val="20"/>
          <w:szCs w:val="20"/>
          <w:color w:val="auto"/>
        </w:rPr>
      </w:pPr>
    </w:p>
    <w:p>
      <w:pPr>
        <w:jc w:val="both"/>
        <w:ind w:left="280"/>
        <w:spacing w:after="0" w:line="263" w:lineRule="auto"/>
        <w:rPr>
          <w:sz w:val="20"/>
          <w:szCs w:val="20"/>
          <w:color w:val="auto"/>
        </w:rPr>
      </w:pPr>
      <w:r>
        <w:rPr>
          <w:rFonts w:ascii="Arial" w:cs="Arial" w:eastAsia="Arial" w:hAnsi="Arial"/>
          <w:sz w:val="18"/>
          <w:szCs w:val="18"/>
          <w:b w:val="1"/>
          <w:bCs w:val="1"/>
          <w:i w:val="1"/>
          <w:iCs w:val="1"/>
          <w:color w:val="007549"/>
        </w:rPr>
        <w:t xml:space="preserve">Accounting Implications. </w:t>
      </w:r>
      <w:r>
        <w:rPr>
          <w:rFonts w:ascii="Arial" w:cs="Arial" w:eastAsia="Arial" w:hAnsi="Arial"/>
          <w:sz w:val="18"/>
          <w:szCs w:val="18"/>
          <w:color w:val="000000"/>
        </w:rPr>
        <w:t>In designing our compensation and benefit programs, the committee reviews and considers the accounting</w:t>
      </w:r>
      <w:r>
        <w:rPr>
          <w:rFonts w:ascii="Arial" w:cs="Arial" w:eastAsia="Arial" w:hAnsi="Arial"/>
          <w:sz w:val="18"/>
          <w:szCs w:val="18"/>
          <w:b w:val="1"/>
          <w:bCs w:val="1"/>
          <w:i w:val="1"/>
          <w:iCs w:val="1"/>
          <w:color w:val="007549"/>
        </w:rPr>
        <w:t xml:space="preserve"> </w:t>
      </w:r>
      <w:r>
        <w:rPr>
          <w:rFonts w:ascii="Arial" w:cs="Arial" w:eastAsia="Arial" w:hAnsi="Arial"/>
          <w:sz w:val="18"/>
          <w:szCs w:val="18"/>
          <w:color w:val="000000"/>
        </w:rPr>
        <w:t>implications of its decisions, including the accounting treatment of amounts awarded or paid to our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73025</wp:posOffset>
            </wp:positionV>
            <wp:extent cx="405765" cy="2451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188" w:lineRule="exact"/>
        <w:rPr>
          <w:sz w:val="20"/>
          <w:szCs w:val="20"/>
          <w:color w:val="auto"/>
        </w:rPr>
      </w:pPr>
    </w:p>
    <w:tbl>
      <w:tblPr>
        <w:tblLayout w:type="fixed"/>
        <w:tblInd w:w="9140" w:type="dxa"/>
        <w:tblCellMar>
          <w:top w:w="0" w:type="dxa"/>
          <w:left w:w="0" w:type="dxa"/>
          <w:bottom w:w="0" w:type="dxa"/>
          <w:right w:w="0" w:type="dxa"/>
        </w:tblCellMar>
      </w:tblPr>
      <w:tr>
        <w:trPr>
          <w:trHeight w:val="188"/>
        </w:trPr>
        <w:tc>
          <w:tcPr>
            <w:tcW w:w="1680" w:type="dxa"/>
            <w:vAlign w:val="bottom"/>
          </w:tcPr>
          <w:p>
            <w:pPr>
              <w:spacing w:after="0"/>
              <w:rPr>
                <w:sz w:val="20"/>
                <w:szCs w:val="20"/>
                <w:color w:val="auto"/>
              </w:rPr>
            </w:pPr>
            <w:r>
              <w:rPr>
                <w:rFonts w:ascii="Arial" w:cs="Arial" w:eastAsia="Arial" w:hAnsi="Arial"/>
                <w:sz w:val="12"/>
                <w:szCs w:val="12"/>
                <w:b w:val="1"/>
                <w:bCs w:val="1"/>
                <w:color w:val="666666"/>
              </w:rPr>
              <w:t>2018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007549"/>
              </w:rPr>
              <w:t>35</w:t>
            </w:r>
          </w:p>
        </w:tc>
      </w:tr>
    </w:tbl>
    <w:p>
      <w:pPr>
        <w:sectPr>
          <w:pgSz w:w="11900" w:h="16838" w:orient="portrait"/>
          <w:cols w:equalWidth="0" w:num="1">
            <w:col w:w="11140"/>
          </w:cols>
          <w:pgMar w:left="240" w:top="454" w:right="5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007549"/>
        </w:rPr>
        <w:t xml:space="preserve">Executive Compensation </w:t>
      </w:r>
      <w:r>
        <w:rPr>
          <w:rFonts w:ascii="Arial" w:cs="Arial" w:eastAsia="Arial" w:hAnsi="Arial"/>
          <w:sz w:val="16"/>
          <w:szCs w:val="16"/>
          <w:b w:val="1"/>
          <w:bCs w:val="1"/>
          <w:color w:val="000000"/>
        </w:rPr>
        <w:t>+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55245</wp:posOffset>
            </wp:positionV>
            <wp:extent cx="689356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234"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007549"/>
        </w:rPr>
        <w:t>Compensation Committee Report</w:t>
      </w:r>
    </w:p>
    <w:p>
      <w:pPr>
        <w:spacing w:after="0" w:line="136" w:lineRule="exact"/>
        <w:rPr>
          <w:sz w:val="20"/>
          <w:szCs w:val="20"/>
          <w:color w:val="auto"/>
        </w:rPr>
      </w:pPr>
    </w:p>
    <w:p>
      <w:pPr>
        <w:jc w:val="both"/>
        <w:ind w:left="280"/>
        <w:spacing w:after="0" w:line="235" w:lineRule="auto"/>
        <w:rPr>
          <w:sz w:val="20"/>
          <w:szCs w:val="20"/>
          <w:color w:val="auto"/>
        </w:rPr>
      </w:pPr>
      <w:r>
        <w:rPr>
          <w:rFonts w:ascii="Arial" w:cs="Arial" w:eastAsia="Arial" w:hAnsi="Arial"/>
          <w:sz w:val="18"/>
          <w:szCs w:val="18"/>
          <w:color w:val="auto"/>
        </w:rPr>
        <w:t>The compensation and management development committee of the board of directors of the company has reviewed and discussed the Compensation Discussion and Analysis section with management, and based on this review and discussion, the compensation and management development committee recommended to the board of directors that the Compensation Discussion and Analysis section be included in this proxy statement and incorporated by reference into the 2017 annual report on Form 10-K.</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Compensation Committee Members:</w:t>
      </w:r>
    </w:p>
    <w:p>
      <w:pPr>
        <w:spacing w:after="0" w:line="11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Risa Lavizzo-Mourey, Chair</w:t>
      </w:r>
    </w:p>
    <w:p>
      <w:pPr>
        <w:ind w:left="280"/>
        <w:spacing w:after="0" w:line="231" w:lineRule="auto"/>
        <w:rPr>
          <w:sz w:val="20"/>
          <w:szCs w:val="20"/>
          <w:color w:val="auto"/>
        </w:rPr>
      </w:pPr>
      <w:r>
        <w:rPr>
          <w:rFonts w:ascii="Arial" w:cs="Arial" w:eastAsia="Arial" w:hAnsi="Arial"/>
          <w:sz w:val="18"/>
          <w:szCs w:val="18"/>
          <w:color w:val="auto"/>
        </w:rPr>
        <w:t>Terrence Checki</w:t>
      </w:r>
    </w:p>
    <w:p>
      <w:pPr>
        <w:ind w:left="280"/>
        <w:spacing w:after="0" w:line="231" w:lineRule="auto"/>
        <w:rPr>
          <w:sz w:val="20"/>
          <w:szCs w:val="20"/>
          <w:color w:val="auto"/>
        </w:rPr>
      </w:pPr>
      <w:r>
        <w:rPr>
          <w:rFonts w:ascii="Arial" w:cs="Arial" w:eastAsia="Arial" w:hAnsi="Arial"/>
          <w:sz w:val="18"/>
          <w:szCs w:val="18"/>
          <w:color w:val="auto"/>
        </w:rPr>
        <w:t>Marc Lipschultz</w:t>
      </w:r>
    </w:p>
    <w:p>
      <w:pPr>
        <w:ind w:left="280"/>
        <w:spacing w:after="0" w:line="232" w:lineRule="auto"/>
        <w:rPr>
          <w:sz w:val="20"/>
          <w:szCs w:val="20"/>
          <w:color w:val="auto"/>
        </w:rPr>
      </w:pPr>
      <w:r>
        <w:rPr>
          <w:rFonts w:ascii="Arial" w:cs="Arial" w:eastAsia="Arial" w:hAnsi="Arial"/>
          <w:sz w:val="18"/>
          <w:szCs w:val="18"/>
          <w:color w:val="auto"/>
        </w:rPr>
        <w:t>David McManus</w:t>
      </w:r>
    </w:p>
    <w:p>
      <w:pPr>
        <w:ind w:left="280"/>
        <w:spacing w:after="0"/>
        <w:rPr>
          <w:sz w:val="20"/>
          <w:szCs w:val="20"/>
          <w:color w:val="auto"/>
        </w:rPr>
      </w:pPr>
      <w:r>
        <w:rPr>
          <w:rFonts w:ascii="Arial" w:cs="Arial" w:eastAsia="Arial" w:hAnsi="Arial"/>
          <w:sz w:val="18"/>
          <w:szCs w:val="18"/>
          <w:color w:val="auto"/>
        </w:rPr>
        <w:t>James H. Quigley</w:t>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007549"/>
        </w:rPr>
        <w:t>Compensation Committee Interlocks and Insider Participation</w:t>
      </w:r>
    </w:p>
    <w:p>
      <w:pPr>
        <w:spacing w:after="0" w:line="136" w:lineRule="exact"/>
        <w:rPr>
          <w:sz w:val="20"/>
          <w:szCs w:val="20"/>
          <w:color w:val="auto"/>
        </w:rPr>
      </w:pPr>
    </w:p>
    <w:p>
      <w:pPr>
        <w:jc w:val="both"/>
        <w:ind w:left="280"/>
        <w:spacing w:after="0" w:line="235" w:lineRule="auto"/>
        <w:rPr>
          <w:sz w:val="20"/>
          <w:szCs w:val="20"/>
          <w:color w:val="auto"/>
        </w:rPr>
      </w:pPr>
      <w:r>
        <w:rPr>
          <w:rFonts w:ascii="Arial" w:cs="Arial" w:eastAsia="Arial" w:hAnsi="Arial"/>
          <w:sz w:val="18"/>
          <w:szCs w:val="18"/>
          <w:color w:val="auto"/>
        </w:rPr>
        <w:t>None of the current members of the compensation and management committee (whose names appear under “Compensation Committee Report”) is, or has ever been, an officer or employee of the company or any of its subsidiaries. In addition, during the last fiscal year, no executive officer of the company served as a member of the board of directors or the compensation committee of any other entity that has one or more executive officers serving on our board of directors or our compensation and management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1820545</wp:posOffset>
            </wp:positionH>
            <wp:positionV relativeFrom="paragraph">
              <wp:posOffset>85725</wp:posOffset>
            </wp:positionV>
            <wp:extent cx="405765" cy="2451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215" w:lineRule="exact"/>
        <w:rPr>
          <w:sz w:val="20"/>
          <w:szCs w:val="20"/>
          <w:color w:val="auto"/>
        </w:rPr>
      </w:pPr>
    </w:p>
    <w:p>
      <w:pPr>
        <w:ind w:left="760" w:hanging="474"/>
        <w:spacing w:after="0"/>
        <w:tabs>
          <w:tab w:leader="none" w:pos="760" w:val="left"/>
        </w:tabs>
        <w:numPr>
          <w:ilvl w:val="0"/>
          <w:numId w:val="61"/>
        </w:numPr>
        <w:rPr>
          <w:rFonts w:ascii="Arial" w:cs="Arial" w:eastAsia="Arial" w:hAnsi="Arial"/>
          <w:sz w:val="14"/>
          <w:szCs w:val="14"/>
          <w:b w:val="1"/>
          <w:bCs w:val="1"/>
          <w:color w:val="007549"/>
        </w:rPr>
      </w:pPr>
      <w:r>
        <w:rPr>
          <w:rFonts w:ascii="Arial" w:cs="Arial" w:eastAsia="Arial" w:hAnsi="Arial"/>
          <w:sz w:val="12"/>
          <w:szCs w:val="12"/>
          <w:b w:val="1"/>
          <w:bCs w:val="1"/>
          <w:color w:val="666666"/>
        </w:rPr>
        <w:t>2018 PROXY STATEMENT</w:t>
      </w:r>
    </w:p>
    <w:p>
      <w:pPr>
        <w:sectPr>
          <w:pgSz w:w="11900" w:h="16838" w:orient="portrait"/>
          <w:cols w:equalWidth="0" w:num="1">
            <w:col w:w="11140"/>
          </w:cols>
          <w:pgMar w:left="240" w:top="454" w:right="5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6020"/>
        <w:spacing w:after="0"/>
        <w:rPr>
          <w:sz w:val="20"/>
          <w:szCs w:val="20"/>
          <w:color w:val="auto"/>
        </w:rPr>
      </w:pPr>
      <w:r>
        <w:rPr>
          <w:rFonts w:ascii="Arial" w:cs="Arial" w:eastAsia="Arial" w:hAnsi="Arial"/>
          <w:sz w:val="16"/>
          <w:szCs w:val="16"/>
          <w:b w:val="1"/>
          <w:bCs w:val="1"/>
          <w:color w:val="007549"/>
        </w:rPr>
        <w:t xml:space="preserve">Executive Compensation </w:t>
      </w:r>
      <w:r>
        <w:rPr>
          <w:rFonts w:ascii="Arial" w:cs="Arial" w:eastAsia="Arial" w:hAnsi="Arial"/>
          <w:sz w:val="16"/>
          <w:szCs w:val="16"/>
          <w:b w:val="1"/>
          <w:bCs w:val="1"/>
          <w:color w:val="000000"/>
        </w:rPr>
        <w:t>+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55245</wp:posOffset>
            </wp:positionV>
            <wp:extent cx="689356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24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007549"/>
        </w:rPr>
        <w:t>SUMMARY COMPENSATION TABLE</w:t>
      </w:r>
    </w:p>
    <w:p>
      <w:pPr>
        <w:spacing w:after="0" w:line="121" w:lineRule="exact"/>
        <w:rPr>
          <w:sz w:val="20"/>
          <w:szCs w:val="20"/>
          <w:color w:val="auto"/>
        </w:rPr>
      </w:pPr>
    </w:p>
    <w:p>
      <w:pPr>
        <w:jc w:val="both"/>
        <w:ind w:left="280" w:right="380"/>
        <w:spacing w:after="0" w:line="236" w:lineRule="auto"/>
        <w:rPr>
          <w:sz w:val="20"/>
          <w:szCs w:val="20"/>
          <w:color w:val="auto"/>
        </w:rPr>
      </w:pPr>
      <w:r>
        <w:rPr>
          <w:rFonts w:ascii="Arial" w:cs="Arial" w:eastAsia="Arial" w:hAnsi="Arial"/>
          <w:sz w:val="18"/>
          <w:szCs w:val="18"/>
          <w:color w:val="auto"/>
        </w:rPr>
        <w:t>The following table sets forth information regarding compensation paid to or accrued for the last three fiscal years to the CEO, the chief financial officer and the three other most highly compensated executive officers, for services in all capacities to the company and its subsidiaries.</w:t>
      </w:r>
    </w:p>
    <w:p>
      <w:pPr>
        <w:spacing w:after="0" w:line="177" w:lineRule="exact"/>
        <w:rPr>
          <w:sz w:val="20"/>
          <w:szCs w:val="20"/>
          <w:color w:val="auto"/>
        </w:rPr>
      </w:pPr>
    </w:p>
    <w:tbl>
      <w:tblPr>
        <w:tblLayout w:type="fixed"/>
        <w:tblInd w:w="280" w:type="dxa"/>
        <w:tblCellMar>
          <w:top w:w="0" w:type="dxa"/>
          <w:left w:w="0" w:type="dxa"/>
          <w:bottom w:w="0" w:type="dxa"/>
          <w:right w:w="0" w:type="dxa"/>
        </w:tblCellMar>
      </w:tblPr>
      <w:tr>
        <w:trPr>
          <w:trHeight w:val="138"/>
        </w:trPr>
        <w:tc>
          <w:tcPr>
            <w:tcW w:w="1400" w:type="dxa"/>
            <w:vAlign w:val="bottom"/>
            <w:shd w:val="clear" w:color="auto" w:fill="007549"/>
          </w:tcPr>
          <w:p>
            <w:pPr>
              <w:spacing w:after="0"/>
              <w:rPr>
                <w:sz w:val="12"/>
                <w:szCs w:val="12"/>
                <w:color w:val="auto"/>
              </w:rPr>
            </w:pPr>
          </w:p>
        </w:tc>
        <w:tc>
          <w:tcPr>
            <w:tcW w:w="80" w:type="dxa"/>
            <w:vAlign w:val="bottom"/>
            <w:shd w:val="clear" w:color="auto" w:fill="007549"/>
          </w:tcPr>
          <w:p>
            <w:pPr>
              <w:spacing w:after="0"/>
              <w:rPr>
                <w:sz w:val="12"/>
                <w:szCs w:val="12"/>
                <w:color w:val="auto"/>
              </w:rPr>
            </w:pPr>
          </w:p>
        </w:tc>
        <w:tc>
          <w:tcPr>
            <w:tcW w:w="420" w:type="dxa"/>
            <w:vAlign w:val="bottom"/>
            <w:shd w:val="clear" w:color="auto" w:fill="007549"/>
          </w:tcPr>
          <w:p>
            <w:pPr>
              <w:spacing w:after="0"/>
              <w:rPr>
                <w:sz w:val="12"/>
                <w:szCs w:val="12"/>
                <w:color w:val="auto"/>
              </w:rPr>
            </w:pPr>
          </w:p>
        </w:tc>
        <w:tc>
          <w:tcPr>
            <w:tcW w:w="760" w:type="dxa"/>
            <w:vAlign w:val="bottom"/>
            <w:shd w:val="clear" w:color="auto" w:fill="007549"/>
          </w:tcPr>
          <w:p>
            <w:pPr>
              <w:spacing w:after="0"/>
              <w:rPr>
                <w:sz w:val="12"/>
                <w:szCs w:val="12"/>
                <w:color w:val="auto"/>
              </w:rPr>
            </w:pPr>
          </w:p>
        </w:tc>
        <w:tc>
          <w:tcPr>
            <w:tcW w:w="740" w:type="dxa"/>
            <w:vAlign w:val="bottom"/>
            <w:shd w:val="clear" w:color="auto" w:fill="007549"/>
          </w:tcPr>
          <w:p>
            <w:pPr>
              <w:spacing w:after="0"/>
              <w:rPr>
                <w:sz w:val="12"/>
                <w:szCs w:val="12"/>
                <w:color w:val="auto"/>
              </w:rPr>
            </w:pPr>
          </w:p>
        </w:tc>
        <w:tc>
          <w:tcPr>
            <w:tcW w:w="780" w:type="dxa"/>
            <w:vAlign w:val="bottom"/>
            <w:shd w:val="clear" w:color="auto" w:fill="007549"/>
          </w:tcPr>
          <w:p>
            <w:pPr>
              <w:spacing w:after="0"/>
              <w:rPr>
                <w:sz w:val="12"/>
                <w:szCs w:val="12"/>
                <w:color w:val="auto"/>
              </w:rPr>
            </w:pPr>
          </w:p>
        </w:tc>
        <w:tc>
          <w:tcPr>
            <w:tcW w:w="860" w:type="dxa"/>
            <w:vAlign w:val="bottom"/>
            <w:shd w:val="clear" w:color="auto" w:fill="007549"/>
          </w:tcPr>
          <w:p>
            <w:pPr>
              <w:spacing w:after="0"/>
              <w:rPr>
                <w:sz w:val="12"/>
                <w:szCs w:val="12"/>
                <w:color w:val="auto"/>
              </w:rPr>
            </w:pPr>
          </w:p>
        </w:tc>
        <w:tc>
          <w:tcPr>
            <w:tcW w:w="1520" w:type="dxa"/>
            <w:vAlign w:val="bottom"/>
            <w:shd w:val="clear" w:color="auto" w:fill="007549"/>
          </w:tcPr>
          <w:p>
            <w:pPr>
              <w:spacing w:after="0"/>
              <w:rPr>
                <w:sz w:val="12"/>
                <w:szCs w:val="12"/>
                <w:color w:val="auto"/>
              </w:rPr>
            </w:pPr>
          </w:p>
        </w:tc>
        <w:tc>
          <w:tcPr>
            <w:tcW w:w="1500" w:type="dxa"/>
            <w:vAlign w:val="bottom"/>
            <w:shd w:val="clear" w:color="auto" w:fill="007549"/>
          </w:tcPr>
          <w:p>
            <w:pPr>
              <w:jc w:val="center"/>
              <w:spacing w:after="0"/>
              <w:rPr>
                <w:sz w:val="20"/>
                <w:szCs w:val="20"/>
                <w:color w:val="auto"/>
              </w:rPr>
            </w:pPr>
            <w:r>
              <w:rPr>
                <w:rFonts w:ascii="Arial" w:cs="Arial" w:eastAsia="Arial" w:hAnsi="Arial"/>
                <w:sz w:val="12"/>
                <w:szCs w:val="12"/>
                <w:b w:val="1"/>
                <w:bCs w:val="1"/>
                <w:color w:val="FFFFFF"/>
              </w:rPr>
              <w:t>Change</w:t>
            </w:r>
          </w:p>
        </w:tc>
        <w:tc>
          <w:tcPr>
            <w:tcW w:w="1440" w:type="dxa"/>
            <w:vAlign w:val="bottom"/>
            <w:shd w:val="clear" w:color="auto" w:fill="007549"/>
          </w:tcPr>
          <w:p>
            <w:pPr>
              <w:spacing w:after="0"/>
              <w:rPr>
                <w:sz w:val="12"/>
                <w:szCs w:val="12"/>
                <w:color w:val="auto"/>
              </w:rPr>
            </w:pPr>
          </w:p>
        </w:tc>
        <w:tc>
          <w:tcPr>
            <w:tcW w:w="860" w:type="dxa"/>
            <w:vAlign w:val="bottom"/>
            <w:shd w:val="clear" w:color="auto" w:fill="007549"/>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shd w:val="clear" w:color="auto" w:fill="007549"/>
          </w:tcPr>
          <w:p>
            <w:pPr>
              <w:jc w:val="right"/>
              <w:spacing w:after="0"/>
              <w:rPr>
                <w:sz w:val="20"/>
                <w:szCs w:val="20"/>
                <w:color w:val="auto"/>
              </w:rPr>
            </w:pPr>
            <w:r>
              <w:rPr>
                <w:rFonts w:ascii="Arial" w:cs="Arial" w:eastAsia="Arial" w:hAnsi="Arial"/>
                <w:sz w:val="12"/>
                <w:szCs w:val="12"/>
                <w:b w:val="1"/>
                <w:bCs w:val="1"/>
                <w:color w:val="FFFFFF"/>
              </w:rPr>
              <w:t>Total withou</w:t>
            </w:r>
          </w:p>
        </w:tc>
        <w:tc>
          <w:tcPr>
            <w:tcW w:w="0" w:type="dxa"/>
            <w:vAlign w:val="bottom"/>
          </w:tcPr>
          <w:p>
            <w:pPr>
              <w:spacing w:after="0"/>
              <w:rPr>
                <w:sz w:val="1"/>
                <w:szCs w:val="1"/>
                <w:color w:val="auto"/>
              </w:rPr>
            </w:pPr>
          </w:p>
        </w:tc>
      </w:tr>
      <w:tr>
        <w:trPr>
          <w:trHeight w:val="133"/>
        </w:trPr>
        <w:tc>
          <w:tcPr>
            <w:tcW w:w="1400" w:type="dxa"/>
            <w:vAlign w:val="bottom"/>
            <w:shd w:val="clear" w:color="auto" w:fill="007549"/>
          </w:tcPr>
          <w:p>
            <w:pPr>
              <w:spacing w:after="0"/>
              <w:rPr>
                <w:sz w:val="11"/>
                <w:szCs w:val="11"/>
                <w:color w:val="auto"/>
              </w:rPr>
            </w:pPr>
          </w:p>
        </w:tc>
        <w:tc>
          <w:tcPr>
            <w:tcW w:w="80" w:type="dxa"/>
            <w:vAlign w:val="bottom"/>
            <w:shd w:val="clear" w:color="auto" w:fill="007549"/>
          </w:tcPr>
          <w:p>
            <w:pPr>
              <w:spacing w:after="0"/>
              <w:rPr>
                <w:sz w:val="11"/>
                <w:szCs w:val="11"/>
                <w:color w:val="auto"/>
              </w:rPr>
            </w:pPr>
          </w:p>
        </w:tc>
        <w:tc>
          <w:tcPr>
            <w:tcW w:w="420" w:type="dxa"/>
            <w:vAlign w:val="bottom"/>
            <w:shd w:val="clear" w:color="auto" w:fill="007549"/>
          </w:tcPr>
          <w:p>
            <w:pPr>
              <w:spacing w:after="0"/>
              <w:rPr>
                <w:sz w:val="11"/>
                <w:szCs w:val="11"/>
                <w:color w:val="auto"/>
              </w:rPr>
            </w:pPr>
          </w:p>
        </w:tc>
        <w:tc>
          <w:tcPr>
            <w:tcW w:w="760" w:type="dxa"/>
            <w:vAlign w:val="bottom"/>
            <w:shd w:val="clear" w:color="auto" w:fill="007549"/>
          </w:tcPr>
          <w:p>
            <w:pPr>
              <w:spacing w:after="0"/>
              <w:rPr>
                <w:sz w:val="11"/>
                <w:szCs w:val="11"/>
                <w:color w:val="auto"/>
              </w:rPr>
            </w:pPr>
          </w:p>
        </w:tc>
        <w:tc>
          <w:tcPr>
            <w:tcW w:w="740" w:type="dxa"/>
            <w:vAlign w:val="bottom"/>
            <w:shd w:val="clear" w:color="auto" w:fill="007549"/>
          </w:tcPr>
          <w:p>
            <w:pPr>
              <w:spacing w:after="0"/>
              <w:rPr>
                <w:sz w:val="11"/>
                <w:szCs w:val="11"/>
                <w:color w:val="auto"/>
              </w:rPr>
            </w:pPr>
          </w:p>
        </w:tc>
        <w:tc>
          <w:tcPr>
            <w:tcW w:w="780" w:type="dxa"/>
            <w:vAlign w:val="bottom"/>
            <w:shd w:val="clear" w:color="auto" w:fill="007549"/>
          </w:tcPr>
          <w:p>
            <w:pPr>
              <w:spacing w:after="0"/>
              <w:rPr>
                <w:sz w:val="11"/>
                <w:szCs w:val="11"/>
                <w:color w:val="auto"/>
              </w:rPr>
            </w:pPr>
          </w:p>
        </w:tc>
        <w:tc>
          <w:tcPr>
            <w:tcW w:w="860" w:type="dxa"/>
            <w:vAlign w:val="bottom"/>
            <w:shd w:val="clear" w:color="auto" w:fill="007549"/>
          </w:tcPr>
          <w:p>
            <w:pPr>
              <w:spacing w:after="0"/>
              <w:rPr>
                <w:sz w:val="11"/>
                <w:szCs w:val="11"/>
                <w:color w:val="auto"/>
              </w:rPr>
            </w:pPr>
          </w:p>
        </w:tc>
        <w:tc>
          <w:tcPr>
            <w:tcW w:w="1520" w:type="dxa"/>
            <w:vAlign w:val="bottom"/>
            <w:shd w:val="clear" w:color="auto" w:fill="007549"/>
          </w:tcPr>
          <w:p>
            <w:pPr>
              <w:spacing w:after="0"/>
              <w:rPr>
                <w:sz w:val="11"/>
                <w:szCs w:val="11"/>
                <w:color w:val="auto"/>
              </w:rPr>
            </w:pPr>
          </w:p>
        </w:tc>
        <w:tc>
          <w:tcPr>
            <w:tcW w:w="150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rPr>
              <w:t>in Pension</w:t>
            </w:r>
          </w:p>
        </w:tc>
        <w:tc>
          <w:tcPr>
            <w:tcW w:w="1440" w:type="dxa"/>
            <w:vAlign w:val="bottom"/>
            <w:shd w:val="clear" w:color="auto" w:fill="007549"/>
          </w:tcPr>
          <w:p>
            <w:pPr>
              <w:spacing w:after="0"/>
              <w:rPr>
                <w:sz w:val="11"/>
                <w:szCs w:val="11"/>
                <w:color w:val="auto"/>
              </w:rPr>
            </w:pPr>
          </w:p>
        </w:tc>
        <w:tc>
          <w:tcPr>
            <w:tcW w:w="860" w:type="dxa"/>
            <w:vAlign w:val="bottom"/>
            <w:shd w:val="clear" w:color="auto" w:fill="007549"/>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shd w:val="clear" w:color="auto" w:fill="007549"/>
          </w:tcPr>
          <w:p>
            <w:pPr>
              <w:jc w:val="center"/>
              <w:ind w:left="56"/>
              <w:spacing w:after="0" w:line="133" w:lineRule="exact"/>
              <w:rPr>
                <w:sz w:val="20"/>
                <w:szCs w:val="20"/>
                <w:color w:val="auto"/>
              </w:rPr>
            </w:pPr>
            <w:r>
              <w:rPr>
                <w:rFonts w:ascii="Arial" w:cs="Arial" w:eastAsia="Arial" w:hAnsi="Arial"/>
                <w:sz w:val="12"/>
                <w:szCs w:val="12"/>
                <w:b w:val="1"/>
                <w:bCs w:val="1"/>
                <w:color w:val="FFFFFF"/>
              </w:rPr>
              <w:t>Change in</w:t>
            </w:r>
          </w:p>
        </w:tc>
        <w:tc>
          <w:tcPr>
            <w:tcW w:w="0" w:type="dxa"/>
            <w:vAlign w:val="bottom"/>
          </w:tcPr>
          <w:p>
            <w:pPr>
              <w:spacing w:after="0"/>
              <w:rPr>
                <w:sz w:val="1"/>
                <w:szCs w:val="1"/>
                <w:color w:val="auto"/>
              </w:rPr>
            </w:pPr>
          </w:p>
        </w:tc>
      </w:tr>
      <w:tr>
        <w:trPr>
          <w:trHeight w:val="133"/>
        </w:trPr>
        <w:tc>
          <w:tcPr>
            <w:tcW w:w="1400" w:type="dxa"/>
            <w:vAlign w:val="bottom"/>
            <w:shd w:val="clear" w:color="auto" w:fill="007549"/>
          </w:tcPr>
          <w:p>
            <w:pPr>
              <w:spacing w:after="0"/>
              <w:rPr>
                <w:sz w:val="11"/>
                <w:szCs w:val="11"/>
                <w:color w:val="auto"/>
              </w:rPr>
            </w:pPr>
          </w:p>
        </w:tc>
        <w:tc>
          <w:tcPr>
            <w:tcW w:w="80" w:type="dxa"/>
            <w:vAlign w:val="bottom"/>
            <w:shd w:val="clear" w:color="auto" w:fill="007549"/>
          </w:tcPr>
          <w:p>
            <w:pPr>
              <w:spacing w:after="0"/>
              <w:rPr>
                <w:sz w:val="11"/>
                <w:szCs w:val="11"/>
                <w:color w:val="auto"/>
              </w:rPr>
            </w:pPr>
          </w:p>
        </w:tc>
        <w:tc>
          <w:tcPr>
            <w:tcW w:w="420" w:type="dxa"/>
            <w:vAlign w:val="bottom"/>
            <w:shd w:val="clear" w:color="auto" w:fill="007549"/>
          </w:tcPr>
          <w:p>
            <w:pPr>
              <w:spacing w:after="0"/>
              <w:rPr>
                <w:sz w:val="11"/>
                <w:szCs w:val="11"/>
                <w:color w:val="auto"/>
              </w:rPr>
            </w:pPr>
          </w:p>
        </w:tc>
        <w:tc>
          <w:tcPr>
            <w:tcW w:w="760" w:type="dxa"/>
            <w:vAlign w:val="bottom"/>
            <w:shd w:val="clear" w:color="auto" w:fill="007549"/>
          </w:tcPr>
          <w:p>
            <w:pPr>
              <w:spacing w:after="0"/>
              <w:rPr>
                <w:sz w:val="11"/>
                <w:szCs w:val="11"/>
                <w:color w:val="auto"/>
              </w:rPr>
            </w:pPr>
          </w:p>
        </w:tc>
        <w:tc>
          <w:tcPr>
            <w:tcW w:w="740" w:type="dxa"/>
            <w:vAlign w:val="bottom"/>
            <w:shd w:val="clear" w:color="auto" w:fill="007549"/>
          </w:tcPr>
          <w:p>
            <w:pPr>
              <w:spacing w:after="0"/>
              <w:rPr>
                <w:sz w:val="11"/>
                <w:szCs w:val="11"/>
                <w:color w:val="auto"/>
              </w:rPr>
            </w:pPr>
          </w:p>
        </w:tc>
        <w:tc>
          <w:tcPr>
            <w:tcW w:w="780" w:type="dxa"/>
            <w:vAlign w:val="bottom"/>
            <w:shd w:val="clear" w:color="auto" w:fill="007549"/>
          </w:tcPr>
          <w:p>
            <w:pPr>
              <w:spacing w:after="0"/>
              <w:rPr>
                <w:sz w:val="11"/>
                <w:szCs w:val="11"/>
                <w:color w:val="auto"/>
              </w:rPr>
            </w:pPr>
          </w:p>
        </w:tc>
        <w:tc>
          <w:tcPr>
            <w:tcW w:w="860" w:type="dxa"/>
            <w:vAlign w:val="bottom"/>
            <w:shd w:val="clear" w:color="auto" w:fill="007549"/>
          </w:tcPr>
          <w:p>
            <w:pPr>
              <w:spacing w:after="0"/>
              <w:rPr>
                <w:sz w:val="11"/>
                <w:szCs w:val="11"/>
                <w:color w:val="auto"/>
              </w:rPr>
            </w:pPr>
          </w:p>
        </w:tc>
        <w:tc>
          <w:tcPr>
            <w:tcW w:w="1520" w:type="dxa"/>
            <w:vAlign w:val="bottom"/>
            <w:shd w:val="clear" w:color="auto" w:fill="007549"/>
          </w:tcPr>
          <w:p>
            <w:pPr>
              <w:spacing w:after="0"/>
              <w:rPr>
                <w:sz w:val="11"/>
                <w:szCs w:val="11"/>
                <w:color w:val="auto"/>
              </w:rPr>
            </w:pPr>
          </w:p>
        </w:tc>
        <w:tc>
          <w:tcPr>
            <w:tcW w:w="150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w w:val="99"/>
              </w:rPr>
              <w:t>Value &amp;</w:t>
            </w:r>
          </w:p>
        </w:tc>
        <w:tc>
          <w:tcPr>
            <w:tcW w:w="1440" w:type="dxa"/>
            <w:vAlign w:val="bottom"/>
            <w:shd w:val="clear" w:color="auto" w:fill="007549"/>
          </w:tcPr>
          <w:p>
            <w:pPr>
              <w:spacing w:after="0"/>
              <w:rPr>
                <w:sz w:val="11"/>
                <w:szCs w:val="11"/>
                <w:color w:val="auto"/>
              </w:rPr>
            </w:pPr>
          </w:p>
        </w:tc>
        <w:tc>
          <w:tcPr>
            <w:tcW w:w="860" w:type="dxa"/>
            <w:vAlign w:val="bottom"/>
            <w:shd w:val="clear" w:color="auto" w:fill="007549"/>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shd w:val="clear" w:color="auto" w:fill="007549"/>
          </w:tcPr>
          <w:p>
            <w:pPr>
              <w:jc w:val="right"/>
              <w:spacing w:after="0" w:line="133" w:lineRule="exact"/>
              <w:rPr>
                <w:sz w:val="20"/>
                <w:szCs w:val="20"/>
                <w:color w:val="auto"/>
              </w:rPr>
            </w:pPr>
            <w:r>
              <w:rPr>
                <w:rFonts w:ascii="Arial" w:cs="Arial" w:eastAsia="Arial" w:hAnsi="Arial"/>
                <w:sz w:val="12"/>
                <w:szCs w:val="12"/>
                <w:b w:val="1"/>
                <w:bCs w:val="1"/>
                <w:color w:val="FFFFFF"/>
              </w:rPr>
              <w:t>Pension Valu</w:t>
            </w:r>
          </w:p>
        </w:tc>
        <w:tc>
          <w:tcPr>
            <w:tcW w:w="0" w:type="dxa"/>
            <w:vAlign w:val="bottom"/>
          </w:tcPr>
          <w:p>
            <w:pPr>
              <w:spacing w:after="0"/>
              <w:rPr>
                <w:sz w:val="1"/>
                <w:szCs w:val="1"/>
                <w:color w:val="auto"/>
              </w:rPr>
            </w:pPr>
          </w:p>
        </w:tc>
      </w:tr>
      <w:tr>
        <w:trPr>
          <w:trHeight w:val="133"/>
        </w:trPr>
        <w:tc>
          <w:tcPr>
            <w:tcW w:w="1400" w:type="dxa"/>
            <w:vAlign w:val="bottom"/>
            <w:shd w:val="clear" w:color="auto" w:fill="007549"/>
          </w:tcPr>
          <w:p>
            <w:pPr>
              <w:spacing w:after="0"/>
              <w:rPr>
                <w:sz w:val="11"/>
                <w:szCs w:val="11"/>
                <w:color w:val="auto"/>
              </w:rPr>
            </w:pPr>
          </w:p>
        </w:tc>
        <w:tc>
          <w:tcPr>
            <w:tcW w:w="80" w:type="dxa"/>
            <w:vAlign w:val="bottom"/>
            <w:shd w:val="clear" w:color="auto" w:fill="007549"/>
          </w:tcPr>
          <w:p>
            <w:pPr>
              <w:spacing w:after="0"/>
              <w:rPr>
                <w:sz w:val="11"/>
                <w:szCs w:val="11"/>
                <w:color w:val="auto"/>
              </w:rPr>
            </w:pPr>
          </w:p>
        </w:tc>
        <w:tc>
          <w:tcPr>
            <w:tcW w:w="420" w:type="dxa"/>
            <w:vAlign w:val="bottom"/>
            <w:shd w:val="clear" w:color="auto" w:fill="007549"/>
          </w:tcPr>
          <w:p>
            <w:pPr>
              <w:spacing w:after="0"/>
              <w:rPr>
                <w:sz w:val="11"/>
                <w:szCs w:val="11"/>
                <w:color w:val="auto"/>
              </w:rPr>
            </w:pPr>
          </w:p>
        </w:tc>
        <w:tc>
          <w:tcPr>
            <w:tcW w:w="760" w:type="dxa"/>
            <w:vAlign w:val="bottom"/>
            <w:shd w:val="clear" w:color="auto" w:fill="007549"/>
          </w:tcPr>
          <w:p>
            <w:pPr>
              <w:spacing w:after="0"/>
              <w:rPr>
                <w:sz w:val="11"/>
                <w:szCs w:val="11"/>
                <w:color w:val="auto"/>
              </w:rPr>
            </w:pPr>
          </w:p>
        </w:tc>
        <w:tc>
          <w:tcPr>
            <w:tcW w:w="740" w:type="dxa"/>
            <w:vAlign w:val="bottom"/>
            <w:shd w:val="clear" w:color="auto" w:fill="007549"/>
          </w:tcPr>
          <w:p>
            <w:pPr>
              <w:spacing w:after="0"/>
              <w:rPr>
                <w:sz w:val="11"/>
                <w:szCs w:val="11"/>
                <w:color w:val="auto"/>
              </w:rPr>
            </w:pPr>
          </w:p>
        </w:tc>
        <w:tc>
          <w:tcPr>
            <w:tcW w:w="780" w:type="dxa"/>
            <w:vAlign w:val="bottom"/>
            <w:shd w:val="clear" w:color="auto" w:fill="007549"/>
          </w:tcPr>
          <w:p>
            <w:pPr>
              <w:spacing w:after="0"/>
              <w:rPr>
                <w:sz w:val="11"/>
                <w:szCs w:val="11"/>
                <w:color w:val="auto"/>
              </w:rPr>
            </w:pPr>
          </w:p>
        </w:tc>
        <w:tc>
          <w:tcPr>
            <w:tcW w:w="860" w:type="dxa"/>
            <w:vAlign w:val="bottom"/>
            <w:shd w:val="clear" w:color="auto" w:fill="007549"/>
          </w:tcPr>
          <w:p>
            <w:pPr>
              <w:spacing w:after="0"/>
              <w:rPr>
                <w:sz w:val="11"/>
                <w:szCs w:val="11"/>
                <w:color w:val="auto"/>
              </w:rPr>
            </w:pPr>
          </w:p>
        </w:tc>
        <w:tc>
          <w:tcPr>
            <w:tcW w:w="1520" w:type="dxa"/>
            <w:vAlign w:val="bottom"/>
            <w:shd w:val="clear" w:color="auto" w:fill="007549"/>
          </w:tcPr>
          <w:p>
            <w:pPr>
              <w:jc w:val="center"/>
              <w:ind w:right="75"/>
              <w:spacing w:after="0" w:line="133" w:lineRule="exact"/>
              <w:rPr>
                <w:sz w:val="20"/>
                <w:szCs w:val="20"/>
                <w:color w:val="auto"/>
              </w:rPr>
            </w:pPr>
            <w:r>
              <w:rPr>
                <w:rFonts w:ascii="Arial" w:cs="Arial" w:eastAsia="Arial" w:hAnsi="Arial"/>
                <w:sz w:val="12"/>
                <w:szCs w:val="12"/>
                <w:b w:val="1"/>
                <w:bCs w:val="1"/>
                <w:color w:val="FFFFFF"/>
              </w:rPr>
              <w:t>Non-Equity</w:t>
            </w:r>
          </w:p>
        </w:tc>
        <w:tc>
          <w:tcPr>
            <w:tcW w:w="150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rPr>
              <w:t>Nonqualified</w:t>
            </w:r>
          </w:p>
        </w:tc>
        <w:tc>
          <w:tcPr>
            <w:tcW w:w="1440" w:type="dxa"/>
            <w:vAlign w:val="bottom"/>
            <w:shd w:val="clear" w:color="auto" w:fill="007549"/>
          </w:tcPr>
          <w:p>
            <w:pPr>
              <w:spacing w:after="0"/>
              <w:rPr>
                <w:sz w:val="11"/>
                <w:szCs w:val="11"/>
                <w:color w:val="auto"/>
              </w:rPr>
            </w:pPr>
          </w:p>
        </w:tc>
        <w:tc>
          <w:tcPr>
            <w:tcW w:w="860" w:type="dxa"/>
            <w:vAlign w:val="bottom"/>
            <w:shd w:val="clear" w:color="auto" w:fill="007549"/>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shd w:val="clear" w:color="auto" w:fill="007549"/>
          </w:tcPr>
          <w:p>
            <w:pPr>
              <w:spacing w:after="0"/>
              <w:rPr>
                <w:sz w:val="11"/>
                <w:szCs w:val="11"/>
                <w:color w:val="auto"/>
              </w:rPr>
            </w:pPr>
          </w:p>
        </w:tc>
        <w:tc>
          <w:tcPr>
            <w:tcW w:w="64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rPr>
              <w:t>and</w:t>
            </w:r>
          </w:p>
        </w:tc>
        <w:tc>
          <w:tcPr>
            <w:tcW w:w="0" w:type="dxa"/>
            <w:vAlign w:val="bottom"/>
          </w:tcPr>
          <w:p>
            <w:pPr>
              <w:spacing w:after="0"/>
              <w:rPr>
                <w:sz w:val="1"/>
                <w:szCs w:val="1"/>
                <w:color w:val="auto"/>
              </w:rPr>
            </w:pPr>
          </w:p>
        </w:tc>
      </w:tr>
      <w:tr>
        <w:trPr>
          <w:trHeight w:val="133"/>
        </w:trPr>
        <w:tc>
          <w:tcPr>
            <w:tcW w:w="1400" w:type="dxa"/>
            <w:vAlign w:val="bottom"/>
            <w:shd w:val="clear" w:color="auto" w:fill="007549"/>
          </w:tcPr>
          <w:p>
            <w:pPr>
              <w:spacing w:after="0"/>
              <w:rPr>
                <w:sz w:val="11"/>
                <w:szCs w:val="11"/>
                <w:color w:val="auto"/>
              </w:rPr>
            </w:pPr>
          </w:p>
        </w:tc>
        <w:tc>
          <w:tcPr>
            <w:tcW w:w="80" w:type="dxa"/>
            <w:vAlign w:val="bottom"/>
            <w:shd w:val="clear" w:color="auto" w:fill="007549"/>
          </w:tcPr>
          <w:p>
            <w:pPr>
              <w:spacing w:after="0"/>
              <w:rPr>
                <w:sz w:val="11"/>
                <w:szCs w:val="11"/>
                <w:color w:val="auto"/>
              </w:rPr>
            </w:pPr>
          </w:p>
        </w:tc>
        <w:tc>
          <w:tcPr>
            <w:tcW w:w="420" w:type="dxa"/>
            <w:vAlign w:val="bottom"/>
            <w:shd w:val="clear" w:color="auto" w:fill="007549"/>
          </w:tcPr>
          <w:p>
            <w:pPr>
              <w:spacing w:after="0"/>
              <w:rPr>
                <w:sz w:val="11"/>
                <w:szCs w:val="11"/>
                <w:color w:val="auto"/>
              </w:rPr>
            </w:pPr>
          </w:p>
        </w:tc>
        <w:tc>
          <w:tcPr>
            <w:tcW w:w="760" w:type="dxa"/>
            <w:vAlign w:val="bottom"/>
            <w:shd w:val="clear" w:color="auto" w:fill="007549"/>
          </w:tcPr>
          <w:p>
            <w:pPr>
              <w:spacing w:after="0"/>
              <w:rPr>
                <w:sz w:val="11"/>
                <w:szCs w:val="11"/>
                <w:color w:val="auto"/>
              </w:rPr>
            </w:pPr>
          </w:p>
        </w:tc>
        <w:tc>
          <w:tcPr>
            <w:tcW w:w="740" w:type="dxa"/>
            <w:vAlign w:val="bottom"/>
            <w:shd w:val="clear" w:color="auto" w:fill="007549"/>
          </w:tcPr>
          <w:p>
            <w:pPr>
              <w:spacing w:after="0"/>
              <w:rPr>
                <w:sz w:val="11"/>
                <w:szCs w:val="11"/>
                <w:color w:val="auto"/>
              </w:rPr>
            </w:pPr>
          </w:p>
        </w:tc>
        <w:tc>
          <w:tcPr>
            <w:tcW w:w="780" w:type="dxa"/>
            <w:vAlign w:val="bottom"/>
            <w:shd w:val="clear" w:color="auto" w:fill="007549"/>
          </w:tcPr>
          <w:p>
            <w:pPr>
              <w:spacing w:after="0"/>
              <w:rPr>
                <w:sz w:val="11"/>
                <w:szCs w:val="11"/>
                <w:color w:val="auto"/>
              </w:rPr>
            </w:pPr>
          </w:p>
        </w:tc>
        <w:tc>
          <w:tcPr>
            <w:tcW w:w="860" w:type="dxa"/>
            <w:vAlign w:val="bottom"/>
            <w:shd w:val="clear" w:color="auto" w:fill="007549"/>
          </w:tcPr>
          <w:p>
            <w:pPr>
              <w:spacing w:after="0"/>
              <w:rPr>
                <w:sz w:val="11"/>
                <w:szCs w:val="11"/>
                <w:color w:val="auto"/>
              </w:rPr>
            </w:pPr>
          </w:p>
        </w:tc>
        <w:tc>
          <w:tcPr>
            <w:tcW w:w="1520" w:type="dxa"/>
            <w:vAlign w:val="bottom"/>
            <w:shd w:val="clear" w:color="auto" w:fill="007549"/>
          </w:tcPr>
          <w:p>
            <w:pPr>
              <w:jc w:val="center"/>
              <w:ind w:right="75"/>
              <w:spacing w:after="0" w:line="133" w:lineRule="exact"/>
              <w:rPr>
                <w:sz w:val="20"/>
                <w:szCs w:val="20"/>
                <w:color w:val="auto"/>
              </w:rPr>
            </w:pPr>
            <w:r>
              <w:rPr>
                <w:rFonts w:ascii="Arial" w:cs="Arial" w:eastAsia="Arial" w:hAnsi="Arial"/>
                <w:sz w:val="12"/>
                <w:szCs w:val="12"/>
                <w:b w:val="1"/>
                <w:bCs w:val="1"/>
                <w:color w:val="FFFFFF"/>
              </w:rPr>
              <w:t>Incentive</w:t>
            </w:r>
          </w:p>
        </w:tc>
        <w:tc>
          <w:tcPr>
            <w:tcW w:w="150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rPr>
              <w:t>Deferred</w:t>
            </w:r>
          </w:p>
        </w:tc>
        <w:tc>
          <w:tcPr>
            <w:tcW w:w="1440" w:type="dxa"/>
            <w:vAlign w:val="bottom"/>
            <w:shd w:val="clear" w:color="auto" w:fill="007549"/>
          </w:tcPr>
          <w:p>
            <w:pPr>
              <w:spacing w:after="0"/>
              <w:rPr>
                <w:sz w:val="11"/>
                <w:szCs w:val="11"/>
                <w:color w:val="auto"/>
              </w:rPr>
            </w:pPr>
          </w:p>
        </w:tc>
        <w:tc>
          <w:tcPr>
            <w:tcW w:w="860" w:type="dxa"/>
            <w:vAlign w:val="bottom"/>
            <w:shd w:val="clear" w:color="auto" w:fill="007549"/>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shd w:val="clear" w:color="auto" w:fill="007549"/>
          </w:tcPr>
          <w:p>
            <w:pPr>
              <w:jc w:val="right"/>
              <w:spacing w:after="0" w:line="133" w:lineRule="exact"/>
              <w:rPr>
                <w:sz w:val="20"/>
                <w:szCs w:val="20"/>
                <w:color w:val="auto"/>
              </w:rPr>
            </w:pPr>
            <w:r>
              <w:rPr>
                <w:rFonts w:ascii="Arial" w:cs="Arial" w:eastAsia="Arial" w:hAnsi="Arial"/>
                <w:sz w:val="12"/>
                <w:szCs w:val="12"/>
                <w:b w:val="1"/>
                <w:bCs w:val="1"/>
                <w:color w:val="FFFFFF"/>
              </w:rPr>
              <w:t>Nonqualifie</w:t>
            </w:r>
          </w:p>
        </w:tc>
        <w:tc>
          <w:tcPr>
            <w:tcW w:w="0" w:type="dxa"/>
            <w:vAlign w:val="bottom"/>
          </w:tcPr>
          <w:p>
            <w:pPr>
              <w:spacing w:after="0"/>
              <w:rPr>
                <w:sz w:val="1"/>
                <w:szCs w:val="1"/>
                <w:color w:val="auto"/>
              </w:rPr>
            </w:pPr>
          </w:p>
        </w:tc>
      </w:tr>
      <w:tr>
        <w:trPr>
          <w:trHeight w:val="133"/>
        </w:trPr>
        <w:tc>
          <w:tcPr>
            <w:tcW w:w="1400" w:type="dxa"/>
            <w:vAlign w:val="bottom"/>
            <w:shd w:val="clear" w:color="auto" w:fill="007549"/>
          </w:tcPr>
          <w:p>
            <w:pPr>
              <w:spacing w:after="0"/>
              <w:rPr>
                <w:sz w:val="11"/>
                <w:szCs w:val="11"/>
                <w:color w:val="auto"/>
              </w:rPr>
            </w:pPr>
          </w:p>
        </w:tc>
        <w:tc>
          <w:tcPr>
            <w:tcW w:w="80" w:type="dxa"/>
            <w:vAlign w:val="bottom"/>
            <w:shd w:val="clear" w:color="auto" w:fill="007549"/>
          </w:tcPr>
          <w:p>
            <w:pPr>
              <w:spacing w:after="0"/>
              <w:rPr>
                <w:sz w:val="11"/>
                <w:szCs w:val="11"/>
                <w:color w:val="auto"/>
              </w:rPr>
            </w:pPr>
          </w:p>
        </w:tc>
        <w:tc>
          <w:tcPr>
            <w:tcW w:w="420" w:type="dxa"/>
            <w:vAlign w:val="bottom"/>
            <w:shd w:val="clear" w:color="auto" w:fill="007549"/>
          </w:tcPr>
          <w:p>
            <w:pPr>
              <w:spacing w:after="0"/>
              <w:rPr>
                <w:sz w:val="11"/>
                <w:szCs w:val="11"/>
                <w:color w:val="auto"/>
              </w:rPr>
            </w:pPr>
          </w:p>
        </w:tc>
        <w:tc>
          <w:tcPr>
            <w:tcW w:w="760" w:type="dxa"/>
            <w:vAlign w:val="bottom"/>
            <w:shd w:val="clear" w:color="auto" w:fill="007549"/>
          </w:tcPr>
          <w:p>
            <w:pPr>
              <w:spacing w:after="0"/>
              <w:rPr>
                <w:sz w:val="11"/>
                <w:szCs w:val="11"/>
                <w:color w:val="auto"/>
              </w:rPr>
            </w:pPr>
          </w:p>
        </w:tc>
        <w:tc>
          <w:tcPr>
            <w:tcW w:w="740" w:type="dxa"/>
            <w:vAlign w:val="bottom"/>
            <w:shd w:val="clear" w:color="auto" w:fill="007549"/>
          </w:tcPr>
          <w:p>
            <w:pPr>
              <w:spacing w:after="0"/>
              <w:rPr>
                <w:sz w:val="11"/>
                <w:szCs w:val="11"/>
                <w:color w:val="auto"/>
              </w:rPr>
            </w:pPr>
          </w:p>
        </w:tc>
        <w:tc>
          <w:tcPr>
            <w:tcW w:w="780" w:type="dxa"/>
            <w:vAlign w:val="bottom"/>
            <w:shd w:val="clear" w:color="auto" w:fill="007549"/>
          </w:tcPr>
          <w:p>
            <w:pPr>
              <w:jc w:val="right"/>
              <w:ind w:right="154"/>
              <w:spacing w:after="0" w:line="133" w:lineRule="exact"/>
              <w:rPr>
                <w:sz w:val="20"/>
                <w:szCs w:val="20"/>
                <w:color w:val="auto"/>
              </w:rPr>
            </w:pPr>
            <w:r>
              <w:rPr>
                <w:rFonts w:ascii="Arial" w:cs="Arial" w:eastAsia="Arial" w:hAnsi="Arial"/>
                <w:sz w:val="12"/>
                <w:szCs w:val="12"/>
                <w:b w:val="1"/>
                <w:bCs w:val="1"/>
                <w:color w:val="FFFFFF"/>
              </w:rPr>
              <w:t>Stock</w:t>
            </w:r>
          </w:p>
        </w:tc>
        <w:tc>
          <w:tcPr>
            <w:tcW w:w="860" w:type="dxa"/>
            <w:vAlign w:val="bottom"/>
            <w:shd w:val="clear" w:color="auto" w:fill="007549"/>
          </w:tcPr>
          <w:p>
            <w:pPr>
              <w:jc w:val="right"/>
              <w:ind w:right="254"/>
              <w:spacing w:after="0" w:line="133" w:lineRule="exact"/>
              <w:rPr>
                <w:sz w:val="20"/>
                <w:szCs w:val="20"/>
                <w:color w:val="auto"/>
              </w:rPr>
            </w:pPr>
            <w:r>
              <w:rPr>
                <w:rFonts w:ascii="Arial" w:cs="Arial" w:eastAsia="Arial" w:hAnsi="Arial"/>
                <w:sz w:val="12"/>
                <w:szCs w:val="12"/>
                <w:b w:val="1"/>
                <w:bCs w:val="1"/>
                <w:color w:val="FFFFFF"/>
              </w:rPr>
              <w:t>Option</w:t>
            </w:r>
          </w:p>
        </w:tc>
        <w:tc>
          <w:tcPr>
            <w:tcW w:w="1520" w:type="dxa"/>
            <w:vAlign w:val="bottom"/>
            <w:shd w:val="clear" w:color="auto" w:fill="007549"/>
          </w:tcPr>
          <w:p>
            <w:pPr>
              <w:jc w:val="center"/>
              <w:ind w:right="75"/>
              <w:spacing w:after="0" w:line="133" w:lineRule="exact"/>
              <w:rPr>
                <w:sz w:val="20"/>
                <w:szCs w:val="20"/>
                <w:color w:val="auto"/>
              </w:rPr>
            </w:pPr>
            <w:r>
              <w:rPr>
                <w:rFonts w:ascii="Arial" w:cs="Arial" w:eastAsia="Arial" w:hAnsi="Arial"/>
                <w:sz w:val="12"/>
                <w:szCs w:val="12"/>
                <w:b w:val="1"/>
                <w:bCs w:val="1"/>
                <w:color w:val="FFFFFF"/>
              </w:rPr>
              <w:t>Plan</w:t>
            </w:r>
          </w:p>
        </w:tc>
        <w:tc>
          <w:tcPr>
            <w:tcW w:w="150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rPr>
              <w:t>Compensation</w:t>
            </w:r>
          </w:p>
        </w:tc>
        <w:tc>
          <w:tcPr>
            <w:tcW w:w="1440" w:type="dxa"/>
            <w:vAlign w:val="bottom"/>
            <w:shd w:val="clear" w:color="auto" w:fill="007549"/>
          </w:tcPr>
          <w:p>
            <w:pPr>
              <w:jc w:val="right"/>
              <w:ind w:right="354"/>
              <w:spacing w:after="0" w:line="133" w:lineRule="exact"/>
              <w:rPr>
                <w:sz w:val="20"/>
                <w:szCs w:val="20"/>
                <w:color w:val="auto"/>
              </w:rPr>
            </w:pPr>
            <w:r>
              <w:rPr>
                <w:rFonts w:ascii="Arial" w:cs="Arial" w:eastAsia="Arial" w:hAnsi="Arial"/>
                <w:sz w:val="12"/>
                <w:szCs w:val="12"/>
                <w:b w:val="1"/>
                <w:bCs w:val="1"/>
                <w:color w:val="FFFFFF"/>
              </w:rPr>
              <w:t>All Other</w:t>
            </w:r>
          </w:p>
        </w:tc>
        <w:tc>
          <w:tcPr>
            <w:tcW w:w="860" w:type="dxa"/>
            <w:vAlign w:val="bottom"/>
            <w:shd w:val="clear" w:color="auto" w:fill="007549"/>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shd w:val="clear" w:color="auto" w:fill="007549"/>
          </w:tcPr>
          <w:p>
            <w:pPr>
              <w:spacing w:after="0"/>
              <w:rPr>
                <w:sz w:val="11"/>
                <w:szCs w:val="11"/>
                <w:color w:val="auto"/>
              </w:rPr>
            </w:pPr>
          </w:p>
        </w:tc>
        <w:tc>
          <w:tcPr>
            <w:tcW w:w="64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rPr>
              <w:t>Deferred</w:t>
            </w:r>
          </w:p>
        </w:tc>
        <w:tc>
          <w:tcPr>
            <w:tcW w:w="0" w:type="dxa"/>
            <w:vAlign w:val="bottom"/>
          </w:tcPr>
          <w:p>
            <w:pPr>
              <w:spacing w:after="0"/>
              <w:rPr>
                <w:sz w:val="1"/>
                <w:szCs w:val="1"/>
                <w:color w:val="auto"/>
              </w:rPr>
            </w:pPr>
          </w:p>
        </w:tc>
      </w:tr>
      <w:tr>
        <w:trPr>
          <w:trHeight w:val="133"/>
        </w:trPr>
        <w:tc>
          <w:tcPr>
            <w:tcW w:w="140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rPr>
              <w:t>Name &amp;</w:t>
            </w:r>
          </w:p>
        </w:tc>
        <w:tc>
          <w:tcPr>
            <w:tcW w:w="80" w:type="dxa"/>
            <w:vAlign w:val="bottom"/>
            <w:shd w:val="clear" w:color="auto" w:fill="007549"/>
          </w:tcPr>
          <w:p>
            <w:pPr>
              <w:spacing w:after="0"/>
              <w:rPr>
                <w:sz w:val="11"/>
                <w:szCs w:val="11"/>
                <w:color w:val="auto"/>
              </w:rPr>
            </w:pPr>
          </w:p>
        </w:tc>
        <w:tc>
          <w:tcPr>
            <w:tcW w:w="420" w:type="dxa"/>
            <w:vAlign w:val="bottom"/>
            <w:shd w:val="clear" w:color="auto" w:fill="007549"/>
          </w:tcPr>
          <w:p>
            <w:pPr>
              <w:spacing w:after="0"/>
              <w:rPr>
                <w:sz w:val="11"/>
                <w:szCs w:val="11"/>
                <w:color w:val="auto"/>
              </w:rPr>
            </w:pPr>
          </w:p>
        </w:tc>
        <w:tc>
          <w:tcPr>
            <w:tcW w:w="760" w:type="dxa"/>
            <w:vAlign w:val="bottom"/>
            <w:shd w:val="clear" w:color="auto" w:fill="007549"/>
          </w:tcPr>
          <w:p>
            <w:pPr>
              <w:jc w:val="right"/>
              <w:ind w:right="174"/>
              <w:spacing w:after="0" w:line="133" w:lineRule="exact"/>
              <w:rPr>
                <w:sz w:val="20"/>
                <w:szCs w:val="20"/>
                <w:color w:val="auto"/>
              </w:rPr>
            </w:pPr>
            <w:r>
              <w:rPr>
                <w:rFonts w:ascii="Arial" w:cs="Arial" w:eastAsia="Arial" w:hAnsi="Arial"/>
                <w:sz w:val="12"/>
                <w:szCs w:val="12"/>
                <w:b w:val="1"/>
                <w:bCs w:val="1"/>
                <w:color w:val="FFFFFF"/>
              </w:rPr>
              <w:t>Salary</w:t>
            </w:r>
          </w:p>
        </w:tc>
        <w:tc>
          <w:tcPr>
            <w:tcW w:w="740" w:type="dxa"/>
            <w:vAlign w:val="bottom"/>
            <w:shd w:val="clear" w:color="auto" w:fill="007549"/>
          </w:tcPr>
          <w:p>
            <w:pPr>
              <w:ind w:left="100"/>
              <w:spacing w:after="0" w:line="133" w:lineRule="exact"/>
              <w:rPr>
                <w:sz w:val="20"/>
                <w:szCs w:val="20"/>
                <w:color w:val="auto"/>
              </w:rPr>
            </w:pPr>
            <w:r>
              <w:rPr>
                <w:rFonts w:ascii="Arial" w:cs="Arial" w:eastAsia="Arial" w:hAnsi="Arial"/>
                <w:sz w:val="12"/>
                <w:szCs w:val="12"/>
                <w:b w:val="1"/>
                <w:bCs w:val="1"/>
                <w:color w:val="FFFFFF"/>
              </w:rPr>
              <w:t>Bonus(1)</w:t>
            </w:r>
          </w:p>
        </w:tc>
        <w:tc>
          <w:tcPr>
            <w:tcW w:w="78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rPr>
              <w:t>Awards(2)</w:t>
            </w:r>
          </w:p>
        </w:tc>
        <w:tc>
          <w:tcPr>
            <w:tcW w:w="860" w:type="dxa"/>
            <w:vAlign w:val="bottom"/>
            <w:shd w:val="clear" w:color="auto" w:fill="007549"/>
          </w:tcPr>
          <w:p>
            <w:pPr>
              <w:jc w:val="center"/>
              <w:ind w:right="94"/>
              <w:spacing w:after="0" w:line="133" w:lineRule="exact"/>
              <w:rPr>
                <w:sz w:val="20"/>
                <w:szCs w:val="20"/>
                <w:color w:val="auto"/>
              </w:rPr>
            </w:pPr>
            <w:r>
              <w:rPr>
                <w:rFonts w:ascii="Arial" w:cs="Arial" w:eastAsia="Arial" w:hAnsi="Arial"/>
                <w:sz w:val="12"/>
                <w:szCs w:val="12"/>
                <w:b w:val="1"/>
                <w:bCs w:val="1"/>
                <w:color w:val="FFFFFF"/>
                <w:w w:val="99"/>
              </w:rPr>
              <w:t>Awards(3)</w:t>
            </w:r>
          </w:p>
        </w:tc>
        <w:tc>
          <w:tcPr>
            <w:tcW w:w="1520" w:type="dxa"/>
            <w:vAlign w:val="bottom"/>
            <w:shd w:val="clear" w:color="auto" w:fill="007549"/>
          </w:tcPr>
          <w:p>
            <w:pPr>
              <w:jc w:val="center"/>
              <w:ind w:right="75"/>
              <w:spacing w:after="0" w:line="133" w:lineRule="exact"/>
              <w:rPr>
                <w:sz w:val="20"/>
                <w:szCs w:val="20"/>
                <w:color w:val="auto"/>
              </w:rPr>
            </w:pPr>
            <w:r>
              <w:rPr>
                <w:rFonts w:ascii="Arial" w:cs="Arial" w:eastAsia="Arial" w:hAnsi="Arial"/>
                <w:sz w:val="12"/>
                <w:szCs w:val="12"/>
                <w:b w:val="1"/>
                <w:bCs w:val="1"/>
                <w:color w:val="FFFFFF"/>
              </w:rPr>
              <w:t>Compensation(1)</w:t>
            </w:r>
          </w:p>
        </w:tc>
        <w:tc>
          <w:tcPr>
            <w:tcW w:w="150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rPr>
              <w:t>Earnings(4)</w:t>
            </w:r>
          </w:p>
        </w:tc>
        <w:tc>
          <w:tcPr>
            <w:tcW w:w="1440" w:type="dxa"/>
            <w:vAlign w:val="bottom"/>
            <w:shd w:val="clear" w:color="auto" w:fill="007549"/>
          </w:tcPr>
          <w:p>
            <w:pPr>
              <w:jc w:val="center"/>
              <w:ind w:left="34"/>
              <w:spacing w:after="0" w:line="133" w:lineRule="exact"/>
              <w:rPr>
                <w:sz w:val="20"/>
                <w:szCs w:val="20"/>
                <w:color w:val="auto"/>
              </w:rPr>
            </w:pPr>
            <w:r>
              <w:rPr>
                <w:rFonts w:ascii="Arial" w:cs="Arial" w:eastAsia="Arial" w:hAnsi="Arial"/>
                <w:sz w:val="12"/>
                <w:szCs w:val="12"/>
                <w:b w:val="1"/>
                <w:bCs w:val="1"/>
                <w:color w:val="FFFFFF"/>
              </w:rPr>
              <w:t>Compensation(6)</w:t>
            </w:r>
          </w:p>
        </w:tc>
        <w:tc>
          <w:tcPr>
            <w:tcW w:w="860" w:type="dxa"/>
            <w:vAlign w:val="bottom"/>
            <w:shd w:val="clear" w:color="auto" w:fill="007549"/>
          </w:tcPr>
          <w:p>
            <w:pPr>
              <w:jc w:val="center"/>
              <w:ind w:left="14"/>
              <w:spacing w:after="0" w:line="133" w:lineRule="exact"/>
              <w:rPr>
                <w:sz w:val="20"/>
                <w:szCs w:val="20"/>
                <w:color w:val="auto"/>
              </w:rPr>
            </w:pPr>
            <w:r>
              <w:rPr>
                <w:rFonts w:ascii="Arial" w:cs="Arial" w:eastAsia="Arial" w:hAnsi="Arial"/>
                <w:sz w:val="12"/>
                <w:szCs w:val="12"/>
                <w:b w:val="1"/>
                <w:bCs w:val="1"/>
                <w:color w:val="FFFFFF"/>
              </w:rPr>
              <w:t>Total</w:t>
            </w:r>
          </w:p>
        </w:tc>
        <w:tc>
          <w:tcPr>
            <w:tcW w:w="80" w:type="dxa"/>
            <w:vAlign w:val="bottom"/>
          </w:tcPr>
          <w:p>
            <w:pPr>
              <w:spacing w:after="0"/>
              <w:rPr>
                <w:sz w:val="11"/>
                <w:szCs w:val="11"/>
                <w:color w:val="auto"/>
              </w:rPr>
            </w:pPr>
          </w:p>
        </w:tc>
        <w:tc>
          <w:tcPr>
            <w:tcW w:w="800" w:type="dxa"/>
            <w:vAlign w:val="bottom"/>
            <w:gridSpan w:val="2"/>
            <w:shd w:val="clear" w:color="auto" w:fill="007549"/>
          </w:tcPr>
          <w:p>
            <w:pPr>
              <w:jc w:val="right"/>
              <w:spacing w:after="0" w:line="133" w:lineRule="exact"/>
              <w:rPr>
                <w:sz w:val="20"/>
                <w:szCs w:val="20"/>
                <w:color w:val="auto"/>
              </w:rPr>
            </w:pPr>
            <w:r>
              <w:rPr>
                <w:rFonts w:ascii="Arial" w:cs="Arial" w:eastAsia="Arial" w:hAnsi="Arial"/>
                <w:sz w:val="12"/>
                <w:szCs w:val="12"/>
                <w:b w:val="1"/>
                <w:bCs w:val="1"/>
                <w:color w:val="FFFFFF"/>
              </w:rPr>
              <w:t>Compensatio</w:t>
            </w:r>
          </w:p>
        </w:tc>
        <w:tc>
          <w:tcPr>
            <w:tcW w:w="0" w:type="dxa"/>
            <w:vAlign w:val="bottom"/>
          </w:tcPr>
          <w:p>
            <w:pPr>
              <w:spacing w:after="0"/>
              <w:rPr>
                <w:sz w:val="1"/>
                <w:szCs w:val="1"/>
                <w:color w:val="auto"/>
              </w:rPr>
            </w:pPr>
          </w:p>
        </w:tc>
      </w:tr>
      <w:tr>
        <w:trPr>
          <w:trHeight w:val="140"/>
        </w:trPr>
        <w:tc>
          <w:tcPr>
            <w:tcW w:w="1400" w:type="dxa"/>
            <w:vAlign w:val="bottom"/>
            <w:shd w:val="clear" w:color="auto" w:fill="007549"/>
          </w:tcPr>
          <w:p>
            <w:pPr>
              <w:jc w:val="center"/>
              <w:spacing w:after="0"/>
              <w:rPr>
                <w:sz w:val="20"/>
                <w:szCs w:val="20"/>
                <w:color w:val="auto"/>
              </w:rPr>
            </w:pPr>
            <w:r>
              <w:rPr>
                <w:rFonts w:ascii="Arial" w:cs="Arial" w:eastAsia="Arial" w:hAnsi="Arial"/>
                <w:sz w:val="12"/>
                <w:szCs w:val="12"/>
                <w:b w:val="1"/>
                <w:bCs w:val="1"/>
                <w:color w:val="FFFFFF"/>
              </w:rPr>
              <w:t>Principal Position</w:t>
            </w:r>
          </w:p>
        </w:tc>
        <w:tc>
          <w:tcPr>
            <w:tcW w:w="80" w:type="dxa"/>
            <w:vAlign w:val="bottom"/>
            <w:shd w:val="clear" w:color="auto" w:fill="007549"/>
          </w:tcPr>
          <w:p>
            <w:pPr>
              <w:spacing w:after="0"/>
              <w:rPr>
                <w:sz w:val="12"/>
                <w:szCs w:val="12"/>
                <w:color w:val="auto"/>
              </w:rPr>
            </w:pPr>
          </w:p>
        </w:tc>
        <w:tc>
          <w:tcPr>
            <w:tcW w:w="420" w:type="dxa"/>
            <w:vAlign w:val="bottom"/>
            <w:shd w:val="clear" w:color="auto" w:fill="007549"/>
          </w:tcPr>
          <w:p>
            <w:pPr>
              <w:ind w:left="40"/>
              <w:spacing w:after="0"/>
              <w:rPr>
                <w:sz w:val="20"/>
                <w:szCs w:val="20"/>
                <w:color w:val="auto"/>
              </w:rPr>
            </w:pPr>
            <w:r>
              <w:rPr>
                <w:rFonts w:ascii="Arial" w:cs="Arial" w:eastAsia="Arial" w:hAnsi="Arial"/>
                <w:sz w:val="12"/>
                <w:szCs w:val="12"/>
                <w:b w:val="1"/>
                <w:bCs w:val="1"/>
                <w:color w:val="FFFFFF"/>
              </w:rPr>
              <w:t>Year</w:t>
            </w:r>
          </w:p>
        </w:tc>
        <w:tc>
          <w:tcPr>
            <w:tcW w:w="760" w:type="dxa"/>
            <w:vAlign w:val="bottom"/>
            <w:shd w:val="clear" w:color="auto" w:fill="007549"/>
          </w:tcPr>
          <w:p>
            <w:pPr>
              <w:jc w:val="right"/>
              <w:ind w:right="274"/>
              <w:spacing w:after="0"/>
              <w:rPr>
                <w:sz w:val="20"/>
                <w:szCs w:val="20"/>
                <w:color w:val="auto"/>
              </w:rPr>
            </w:pPr>
            <w:r>
              <w:rPr>
                <w:rFonts w:ascii="Arial" w:cs="Arial" w:eastAsia="Arial" w:hAnsi="Arial"/>
                <w:sz w:val="12"/>
                <w:szCs w:val="12"/>
                <w:b w:val="1"/>
                <w:bCs w:val="1"/>
                <w:color w:val="FFFFFF"/>
              </w:rPr>
              <w:t>($)</w:t>
            </w:r>
          </w:p>
        </w:tc>
        <w:tc>
          <w:tcPr>
            <w:tcW w:w="740" w:type="dxa"/>
            <w:vAlign w:val="bottom"/>
            <w:shd w:val="clear" w:color="auto" w:fill="007549"/>
          </w:tcPr>
          <w:p>
            <w:pPr>
              <w:ind w:left="280"/>
              <w:spacing w:after="0"/>
              <w:rPr>
                <w:sz w:val="20"/>
                <w:szCs w:val="20"/>
                <w:color w:val="auto"/>
              </w:rPr>
            </w:pPr>
            <w:r>
              <w:rPr>
                <w:rFonts w:ascii="Arial" w:cs="Arial" w:eastAsia="Arial" w:hAnsi="Arial"/>
                <w:sz w:val="12"/>
                <w:szCs w:val="12"/>
                <w:b w:val="1"/>
                <w:bCs w:val="1"/>
                <w:color w:val="FFFFFF"/>
              </w:rPr>
              <w:t>($)</w:t>
            </w:r>
          </w:p>
        </w:tc>
        <w:tc>
          <w:tcPr>
            <w:tcW w:w="780" w:type="dxa"/>
            <w:vAlign w:val="bottom"/>
            <w:shd w:val="clear" w:color="auto" w:fill="007549"/>
          </w:tcPr>
          <w:p>
            <w:pPr>
              <w:jc w:val="right"/>
              <w:ind w:right="234"/>
              <w:spacing w:after="0"/>
              <w:rPr>
                <w:sz w:val="20"/>
                <w:szCs w:val="20"/>
                <w:color w:val="auto"/>
              </w:rPr>
            </w:pPr>
            <w:r>
              <w:rPr>
                <w:rFonts w:ascii="Arial" w:cs="Arial" w:eastAsia="Arial" w:hAnsi="Arial"/>
                <w:sz w:val="12"/>
                <w:szCs w:val="12"/>
                <w:b w:val="1"/>
                <w:bCs w:val="1"/>
                <w:color w:val="FFFFFF"/>
              </w:rPr>
              <w:t>($)</w:t>
            </w:r>
          </w:p>
        </w:tc>
        <w:tc>
          <w:tcPr>
            <w:tcW w:w="860" w:type="dxa"/>
            <w:vAlign w:val="bottom"/>
            <w:shd w:val="clear" w:color="auto" w:fill="007549"/>
          </w:tcPr>
          <w:p>
            <w:pPr>
              <w:jc w:val="right"/>
              <w:ind w:right="374"/>
              <w:spacing w:after="0"/>
              <w:rPr>
                <w:sz w:val="20"/>
                <w:szCs w:val="20"/>
                <w:color w:val="auto"/>
              </w:rPr>
            </w:pPr>
            <w:r>
              <w:rPr>
                <w:rFonts w:ascii="Arial" w:cs="Arial" w:eastAsia="Arial" w:hAnsi="Arial"/>
                <w:sz w:val="12"/>
                <w:szCs w:val="12"/>
                <w:b w:val="1"/>
                <w:bCs w:val="1"/>
                <w:color w:val="FFFFFF"/>
              </w:rPr>
              <w:t>($)</w:t>
            </w:r>
          </w:p>
        </w:tc>
        <w:tc>
          <w:tcPr>
            <w:tcW w:w="1520" w:type="dxa"/>
            <w:vAlign w:val="bottom"/>
            <w:shd w:val="clear" w:color="auto" w:fill="007549"/>
          </w:tcPr>
          <w:p>
            <w:pPr>
              <w:jc w:val="right"/>
              <w:ind w:right="695"/>
              <w:spacing w:after="0"/>
              <w:rPr>
                <w:sz w:val="20"/>
                <w:szCs w:val="20"/>
                <w:color w:val="auto"/>
              </w:rPr>
            </w:pPr>
            <w:r>
              <w:rPr>
                <w:rFonts w:ascii="Arial" w:cs="Arial" w:eastAsia="Arial" w:hAnsi="Arial"/>
                <w:sz w:val="12"/>
                <w:szCs w:val="12"/>
                <w:b w:val="1"/>
                <w:bCs w:val="1"/>
                <w:color w:val="FFFFFF"/>
              </w:rPr>
              <w:t>($)</w:t>
            </w:r>
          </w:p>
        </w:tc>
        <w:tc>
          <w:tcPr>
            <w:tcW w:w="1500" w:type="dxa"/>
            <w:vAlign w:val="bottom"/>
            <w:shd w:val="clear" w:color="auto" w:fill="007549"/>
          </w:tcPr>
          <w:p>
            <w:pPr>
              <w:jc w:val="right"/>
              <w:ind w:right="595"/>
              <w:spacing w:after="0"/>
              <w:rPr>
                <w:sz w:val="20"/>
                <w:szCs w:val="20"/>
                <w:color w:val="auto"/>
              </w:rPr>
            </w:pPr>
            <w:r>
              <w:rPr>
                <w:rFonts w:ascii="Arial" w:cs="Arial" w:eastAsia="Arial" w:hAnsi="Arial"/>
                <w:sz w:val="12"/>
                <w:szCs w:val="12"/>
                <w:b w:val="1"/>
                <w:bCs w:val="1"/>
                <w:color w:val="FFFFFF"/>
              </w:rPr>
              <w:t>($)</w:t>
            </w:r>
          </w:p>
        </w:tc>
        <w:tc>
          <w:tcPr>
            <w:tcW w:w="1440" w:type="dxa"/>
            <w:vAlign w:val="bottom"/>
            <w:shd w:val="clear" w:color="auto" w:fill="007549"/>
          </w:tcPr>
          <w:p>
            <w:pPr>
              <w:jc w:val="right"/>
              <w:ind w:right="534"/>
              <w:spacing w:after="0"/>
              <w:rPr>
                <w:sz w:val="20"/>
                <w:szCs w:val="20"/>
                <w:color w:val="auto"/>
              </w:rPr>
            </w:pPr>
            <w:r>
              <w:rPr>
                <w:rFonts w:ascii="Arial" w:cs="Arial" w:eastAsia="Arial" w:hAnsi="Arial"/>
                <w:sz w:val="12"/>
                <w:szCs w:val="12"/>
                <w:b w:val="1"/>
                <w:bCs w:val="1"/>
                <w:color w:val="FFFFFF"/>
              </w:rPr>
              <w:t>($)</w:t>
            </w:r>
          </w:p>
        </w:tc>
        <w:tc>
          <w:tcPr>
            <w:tcW w:w="860" w:type="dxa"/>
            <w:vAlign w:val="bottom"/>
            <w:shd w:val="clear" w:color="auto" w:fill="007549"/>
          </w:tcPr>
          <w:p>
            <w:pPr>
              <w:jc w:val="center"/>
              <w:ind w:left="14"/>
              <w:spacing w:after="0"/>
              <w:rPr>
                <w:sz w:val="20"/>
                <w:szCs w:val="20"/>
                <w:color w:val="auto"/>
              </w:rPr>
            </w:pPr>
            <w:r>
              <w:rPr>
                <w:rFonts w:ascii="Arial" w:cs="Arial" w:eastAsia="Arial" w:hAnsi="Arial"/>
                <w:sz w:val="12"/>
                <w:szCs w:val="12"/>
                <w:b w:val="1"/>
                <w:bCs w:val="1"/>
                <w:color w:val="FFFFFF"/>
                <w:w w:val="95"/>
              </w:rPr>
              <w:t>($)</w:t>
            </w:r>
          </w:p>
        </w:tc>
        <w:tc>
          <w:tcPr>
            <w:tcW w:w="80" w:type="dxa"/>
            <w:vAlign w:val="bottom"/>
          </w:tcPr>
          <w:p>
            <w:pPr>
              <w:spacing w:after="0"/>
              <w:rPr>
                <w:sz w:val="12"/>
                <w:szCs w:val="12"/>
                <w:color w:val="auto"/>
              </w:rPr>
            </w:pPr>
          </w:p>
        </w:tc>
        <w:tc>
          <w:tcPr>
            <w:tcW w:w="160" w:type="dxa"/>
            <w:vAlign w:val="bottom"/>
            <w:shd w:val="clear" w:color="auto" w:fill="007549"/>
          </w:tcPr>
          <w:p>
            <w:pPr>
              <w:spacing w:after="0"/>
              <w:rPr>
                <w:sz w:val="12"/>
                <w:szCs w:val="12"/>
                <w:color w:val="auto"/>
              </w:rPr>
            </w:pPr>
          </w:p>
        </w:tc>
        <w:tc>
          <w:tcPr>
            <w:tcW w:w="640" w:type="dxa"/>
            <w:vAlign w:val="bottom"/>
            <w:shd w:val="clear" w:color="auto" w:fill="007549"/>
          </w:tcPr>
          <w:p>
            <w:pPr>
              <w:jc w:val="center"/>
              <w:spacing w:after="0"/>
              <w:rPr>
                <w:sz w:val="20"/>
                <w:szCs w:val="20"/>
                <w:color w:val="auto"/>
              </w:rPr>
            </w:pPr>
            <w:r>
              <w:rPr>
                <w:rFonts w:ascii="Arial" w:cs="Arial" w:eastAsia="Arial" w:hAnsi="Arial"/>
                <w:sz w:val="12"/>
                <w:szCs w:val="12"/>
                <w:b w:val="1"/>
                <w:bCs w:val="1"/>
                <w:color w:val="FFFFFF"/>
              </w:rPr>
              <w:t>Earnings*</w:t>
            </w:r>
          </w:p>
        </w:tc>
        <w:tc>
          <w:tcPr>
            <w:tcW w:w="0" w:type="dxa"/>
            <w:vAlign w:val="bottom"/>
          </w:tcPr>
          <w:p>
            <w:pPr>
              <w:spacing w:after="0"/>
              <w:rPr>
                <w:sz w:val="1"/>
                <w:szCs w:val="1"/>
                <w:color w:val="auto"/>
              </w:rPr>
            </w:pPr>
          </w:p>
        </w:tc>
      </w:tr>
      <w:tr>
        <w:trPr>
          <w:trHeight w:val="160"/>
        </w:trPr>
        <w:tc>
          <w:tcPr>
            <w:tcW w:w="1400" w:type="dxa"/>
            <w:vAlign w:val="bottom"/>
            <w:shd w:val="clear" w:color="auto" w:fill="007549"/>
          </w:tcPr>
          <w:p>
            <w:pPr>
              <w:jc w:val="center"/>
              <w:spacing w:after="0"/>
              <w:rPr>
                <w:sz w:val="20"/>
                <w:szCs w:val="20"/>
                <w:color w:val="auto"/>
              </w:rPr>
            </w:pPr>
            <w:r>
              <w:rPr>
                <w:rFonts w:ascii="Arial" w:cs="Arial" w:eastAsia="Arial" w:hAnsi="Arial"/>
                <w:sz w:val="12"/>
                <w:szCs w:val="12"/>
                <w:b w:val="1"/>
                <w:bCs w:val="1"/>
                <w:color w:val="FFFFFF"/>
              </w:rPr>
              <w:t>(a)</w:t>
            </w:r>
          </w:p>
        </w:tc>
        <w:tc>
          <w:tcPr>
            <w:tcW w:w="80" w:type="dxa"/>
            <w:vAlign w:val="bottom"/>
            <w:shd w:val="clear" w:color="auto" w:fill="007549"/>
          </w:tcPr>
          <w:p>
            <w:pPr>
              <w:spacing w:after="0"/>
              <w:rPr>
                <w:sz w:val="13"/>
                <w:szCs w:val="13"/>
                <w:color w:val="auto"/>
              </w:rPr>
            </w:pPr>
          </w:p>
        </w:tc>
        <w:tc>
          <w:tcPr>
            <w:tcW w:w="420" w:type="dxa"/>
            <w:vAlign w:val="bottom"/>
            <w:shd w:val="clear" w:color="auto" w:fill="007549"/>
          </w:tcPr>
          <w:p>
            <w:pPr>
              <w:ind w:left="80"/>
              <w:spacing w:after="0"/>
              <w:rPr>
                <w:sz w:val="20"/>
                <w:szCs w:val="20"/>
                <w:color w:val="auto"/>
              </w:rPr>
            </w:pPr>
            <w:r>
              <w:rPr>
                <w:rFonts w:ascii="Arial" w:cs="Arial" w:eastAsia="Arial" w:hAnsi="Arial"/>
                <w:sz w:val="12"/>
                <w:szCs w:val="12"/>
                <w:b w:val="1"/>
                <w:bCs w:val="1"/>
                <w:color w:val="FFFFFF"/>
              </w:rPr>
              <w:t>(b)</w:t>
            </w:r>
          </w:p>
        </w:tc>
        <w:tc>
          <w:tcPr>
            <w:tcW w:w="760" w:type="dxa"/>
            <w:vAlign w:val="bottom"/>
            <w:shd w:val="clear" w:color="auto" w:fill="007549"/>
          </w:tcPr>
          <w:p>
            <w:pPr>
              <w:jc w:val="right"/>
              <w:ind w:right="274"/>
              <w:spacing w:after="0"/>
              <w:rPr>
                <w:sz w:val="20"/>
                <w:szCs w:val="20"/>
                <w:color w:val="auto"/>
              </w:rPr>
            </w:pPr>
            <w:r>
              <w:rPr>
                <w:rFonts w:ascii="Arial" w:cs="Arial" w:eastAsia="Arial" w:hAnsi="Arial"/>
                <w:sz w:val="12"/>
                <w:szCs w:val="12"/>
                <w:b w:val="1"/>
                <w:bCs w:val="1"/>
                <w:color w:val="FFFFFF"/>
              </w:rPr>
              <w:t>(c)</w:t>
            </w:r>
          </w:p>
        </w:tc>
        <w:tc>
          <w:tcPr>
            <w:tcW w:w="740" w:type="dxa"/>
            <w:vAlign w:val="bottom"/>
            <w:shd w:val="clear" w:color="auto" w:fill="007549"/>
          </w:tcPr>
          <w:p>
            <w:pPr>
              <w:ind w:left="280"/>
              <w:spacing w:after="0"/>
              <w:rPr>
                <w:sz w:val="20"/>
                <w:szCs w:val="20"/>
                <w:color w:val="auto"/>
              </w:rPr>
            </w:pPr>
            <w:r>
              <w:rPr>
                <w:rFonts w:ascii="Arial" w:cs="Arial" w:eastAsia="Arial" w:hAnsi="Arial"/>
                <w:sz w:val="12"/>
                <w:szCs w:val="12"/>
                <w:b w:val="1"/>
                <w:bCs w:val="1"/>
                <w:color w:val="FFFFFF"/>
              </w:rPr>
              <w:t>(d)</w:t>
            </w:r>
          </w:p>
        </w:tc>
        <w:tc>
          <w:tcPr>
            <w:tcW w:w="780" w:type="dxa"/>
            <w:vAlign w:val="bottom"/>
            <w:shd w:val="clear" w:color="auto" w:fill="007549"/>
          </w:tcPr>
          <w:p>
            <w:pPr>
              <w:jc w:val="right"/>
              <w:ind w:right="234"/>
              <w:spacing w:after="0"/>
              <w:rPr>
                <w:sz w:val="20"/>
                <w:szCs w:val="20"/>
                <w:color w:val="auto"/>
              </w:rPr>
            </w:pPr>
            <w:r>
              <w:rPr>
                <w:rFonts w:ascii="Arial" w:cs="Arial" w:eastAsia="Arial" w:hAnsi="Arial"/>
                <w:sz w:val="12"/>
                <w:szCs w:val="12"/>
                <w:b w:val="1"/>
                <w:bCs w:val="1"/>
                <w:color w:val="FFFFFF"/>
              </w:rPr>
              <w:t>(e)</w:t>
            </w:r>
          </w:p>
        </w:tc>
        <w:tc>
          <w:tcPr>
            <w:tcW w:w="860" w:type="dxa"/>
            <w:vAlign w:val="bottom"/>
            <w:shd w:val="clear" w:color="auto" w:fill="007549"/>
          </w:tcPr>
          <w:p>
            <w:pPr>
              <w:jc w:val="right"/>
              <w:ind w:right="374"/>
              <w:spacing w:after="0"/>
              <w:rPr>
                <w:sz w:val="20"/>
                <w:szCs w:val="20"/>
                <w:color w:val="auto"/>
              </w:rPr>
            </w:pPr>
            <w:r>
              <w:rPr>
                <w:rFonts w:ascii="Arial" w:cs="Arial" w:eastAsia="Arial" w:hAnsi="Arial"/>
                <w:sz w:val="12"/>
                <w:szCs w:val="12"/>
                <w:b w:val="1"/>
                <w:bCs w:val="1"/>
                <w:color w:val="FFFFFF"/>
              </w:rPr>
              <w:t>(f)</w:t>
            </w:r>
          </w:p>
        </w:tc>
        <w:tc>
          <w:tcPr>
            <w:tcW w:w="1520" w:type="dxa"/>
            <w:vAlign w:val="bottom"/>
            <w:shd w:val="clear" w:color="auto" w:fill="007549"/>
          </w:tcPr>
          <w:p>
            <w:pPr>
              <w:jc w:val="center"/>
              <w:ind w:right="95"/>
              <w:spacing w:after="0"/>
              <w:rPr>
                <w:sz w:val="20"/>
                <w:szCs w:val="20"/>
                <w:color w:val="auto"/>
              </w:rPr>
            </w:pPr>
            <w:r>
              <w:rPr>
                <w:rFonts w:ascii="Arial" w:cs="Arial" w:eastAsia="Arial" w:hAnsi="Arial"/>
                <w:sz w:val="12"/>
                <w:szCs w:val="12"/>
                <w:b w:val="1"/>
                <w:bCs w:val="1"/>
                <w:color w:val="FFFFFF"/>
              </w:rPr>
              <w:t>(g)</w:t>
            </w:r>
          </w:p>
        </w:tc>
        <w:tc>
          <w:tcPr>
            <w:tcW w:w="1500" w:type="dxa"/>
            <w:vAlign w:val="bottom"/>
            <w:shd w:val="clear" w:color="auto" w:fill="007549"/>
          </w:tcPr>
          <w:p>
            <w:pPr>
              <w:jc w:val="center"/>
              <w:spacing w:after="0"/>
              <w:rPr>
                <w:sz w:val="20"/>
                <w:szCs w:val="20"/>
                <w:color w:val="auto"/>
              </w:rPr>
            </w:pPr>
            <w:r>
              <w:rPr>
                <w:rFonts w:ascii="Arial" w:cs="Arial" w:eastAsia="Arial" w:hAnsi="Arial"/>
                <w:sz w:val="12"/>
                <w:szCs w:val="12"/>
                <w:b w:val="1"/>
                <w:bCs w:val="1"/>
                <w:color w:val="FFFFFF"/>
              </w:rPr>
              <w:t>(h)</w:t>
            </w:r>
          </w:p>
        </w:tc>
        <w:tc>
          <w:tcPr>
            <w:tcW w:w="1440" w:type="dxa"/>
            <w:vAlign w:val="bottom"/>
            <w:shd w:val="clear" w:color="auto" w:fill="007549"/>
          </w:tcPr>
          <w:p>
            <w:pPr>
              <w:jc w:val="right"/>
              <w:ind w:right="554"/>
              <w:spacing w:after="0"/>
              <w:rPr>
                <w:sz w:val="20"/>
                <w:szCs w:val="20"/>
                <w:color w:val="auto"/>
              </w:rPr>
            </w:pPr>
            <w:r>
              <w:rPr>
                <w:rFonts w:ascii="Arial" w:cs="Arial" w:eastAsia="Arial" w:hAnsi="Arial"/>
                <w:sz w:val="12"/>
                <w:szCs w:val="12"/>
                <w:b w:val="1"/>
                <w:bCs w:val="1"/>
                <w:color w:val="FFFFFF"/>
              </w:rPr>
              <w:t>(i)</w:t>
            </w:r>
          </w:p>
        </w:tc>
        <w:tc>
          <w:tcPr>
            <w:tcW w:w="860" w:type="dxa"/>
            <w:vAlign w:val="bottom"/>
            <w:shd w:val="clear" w:color="auto" w:fill="007549"/>
          </w:tcPr>
          <w:p>
            <w:pPr>
              <w:jc w:val="center"/>
              <w:ind w:left="14"/>
              <w:spacing w:after="0"/>
              <w:rPr>
                <w:sz w:val="20"/>
                <w:szCs w:val="20"/>
                <w:color w:val="auto"/>
              </w:rPr>
            </w:pPr>
            <w:r>
              <w:rPr>
                <w:rFonts w:ascii="Arial" w:cs="Arial" w:eastAsia="Arial" w:hAnsi="Arial"/>
                <w:sz w:val="12"/>
                <w:szCs w:val="12"/>
                <w:b w:val="1"/>
                <w:bCs w:val="1"/>
                <w:color w:val="FFFFFF"/>
                <w:w w:val="87"/>
              </w:rPr>
              <w:t>(j)</w:t>
            </w:r>
          </w:p>
        </w:tc>
        <w:tc>
          <w:tcPr>
            <w:tcW w:w="80" w:type="dxa"/>
            <w:vAlign w:val="bottom"/>
          </w:tcPr>
          <w:p>
            <w:pPr>
              <w:spacing w:after="0"/>
              <w:rPr>
                <w:sz w:val="13"/>
                <w:szCs w:val="13"/>
                <w:color w:val="auto"/>
              </w:rPr>
            </w:pPr>
          </w:p>
        </w:tc>
        <w:tc>
          <w:tcPr>
            <w:tcW w:w="800" w:type="dxa"/>
            <w:vAlign w:val="bottom"/>
            <w:gridSpan w:val="2"/>
            <w:shd w:val="clear" w:color="auto" w:fill="007549"/>
          </w:tcPr>
          <w:p>
            <w:pPr>
              <w:jc w:val="center"/>
              <w:ind w:left="76"/>
              <w:spacing w:after="0"/>
              <w:rPr>
                <w:sz w:val="20"/>
                <w:szCs w:val="20"/>
                <w:color w:val="auto"/>
              </w:rPr>
            </w:pPr>
            <w:r>
              <w:rPr>
                <w:rFonts w:ascii="Arial" w:cs="Arial" w:eastAsia="Arial" w:hAnsi="Arial"/>
                <w:sz w:val="12"/>
                <w:szCs w:val="12"/>
                <w:b w:val="1"/>
                <w:bCs w:val="1"/>
                <w:color w:val="FFFFFF"/>
                <w:w w:val="95"/>
              </w:rPr>
              <w:t>($)</w:t>
            </w:r>
          </w:p>
        </w:tc>
        <w:tc>
          <w:tcPr>
            <w:tcW w:w="0" w:type="dxa"/>
            <w:vAlign w:val="bottom"/>
          </w:tcPr>
          <w:p>
            <w:pPr>
              <w:spacing w:after="0"/>
              <w:rPr>
                <w:sz w:val="1"/>
                <w:szCs w:val="1"/>
                <w:color w:val="auto"/>
              </w:rPr>
            </w:pPr>
          </w:p>
        </w:tc>
      </w:tr>
      <w:tr>
        <w:trPr>
          <w:trHeight w:val="186"/>
        </w:trPr>
        <w:tc>
          <w:tcPr>
            <w:tcW w:w="1400" w:type="dxa"/>
            <w:vAlign w:val="bottom"/>
            <w:shd w:val="clear" w:color="auto" w:fill="E5E5E5"/>
          </w:tcPr>
          <w:p>
            <w:pPr>
              <w:ind w:left="80"/>
              <w:spacing w:after="0"/>
              <w:rPr>
                <w:sz w:val="20"/>
                <w:szCs w:val="20"/>
                <w:color w:val="auto"/>
              </w:rPr>
            </w:pPr>
            <w:r>
              <w:rPr>
                <w:rFonts w:ascii="Arial" w:cs="Arial" w:eastAsia="Arial" w:hAnsi="Arial"/>
                <w:sz w:val="13"/>
                <w:szCs w:val="13"/>
                <w:b w:val="1"/>
                <w:bCs w:val="1"/>
                <w:color w:val="007549"/>
              </w:rPr>
              <w:t>Hess, John B</w:t>
            </w:r>
          </w:p>
        </w:tc>
        <w:tc>
          <w:tcPr>
            <w:tcW w:w="500" w:type="dxa"/>
            <w:vAlign w:val="bottom"/>
            <w:gridSpan w:val="2"/>
            <w:shd w:val="clear" w:color="auto" w:fill="E5E5E5"/>
          </w:tcPr>
          <w:p>
            <w:pPr>
              <w:ind w:left="140"/>
              <w:spacing w:after="0"/>
              <w:rPr>
                <w:sz w:val="20"/>
                <w:szCs w:val="20"/>
                <w:color w:val="auto"/>
              </w:rPr>
            </w:pPr>
            <w:r>
              <w:rPr>
                <w:rFonts w:ascii="Arial" w:cs="Arial" w:eastAsia="Arial" w:hAnsi="Arial"/>
                <w:sz w:val="13"/>
                <w:szCs w:val="13"/>
                <w:color w:val="auto"/>
              </w:rPr>
              <w:t>2017</w:t>
            </w:r>
          </w:p>
        </w:tc>
        <w:tc>
          <w:tcPr>
            <w:tcW w:w="760" w:type="dxa"/>
            <w:vAlign w:val="bottom"/>
            <w:shd w:val="clear" w:color="auto" w:fill="E5E5E5"/>
          </w:tcPr>
          <w:p>
            <w:pPr>
              <w:jc w:val="right"/>
              <w:ind w:right="14"/>
              <w:spacing w:after="0"/>
              <w:rPr>
                <w:sz w:val="20"/>
                <w:szCs w:val="20"/>
                <w:color w:val="auto"/>
              </w:rPr>
            </w:pPr>
            <w:r>
              <w:rPr>
                <w:rFonts w:ascii="Arial" w:cs="Arial" w:eastAsia="Arial" w:hAnsi="Arial"/>
                <w:sz w:val="13"/>
                <w:szCs w:val="13"/>
                <w:color w:val="auto"/>
              </w:rPr>
              <w:t>1,500,000</w:t>
            </w:r>
          </w:p>
        </w:tc>
        <w:tc>
          <w:tcPr>
            <w:tcW w:w="740" w:type="dxa"/>
            <w:vAlign w:val="bottom"/>
            <w:shd w:val="clear" w:color="auto" w:fill="E5E5E5"/>
          </w:tcPr>
          <w:p>
            <w:pPr>
              <w:ind w:left="280"/>
              <w:spacing w:after="0"/>
              <w:rPr>
                <w:sz w:val="20"/>
                <w:szCs w:val="20"/>
                <w:color w:val="auto"/>
              </w:rPr>
            </w:pPr>
            <w:r>
              <w:rPr>
                <w:rFonts w:ascii="Arial" w:cs="Arial" w:eastAsia="Arial" w:hAnsi="Arial"/>
                <w:sz w:val="13"/>
                <w:szCs w:val="13"/>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5,985,021</w:t>
            </w:r>
          </w:p>
        </w:tc>
        <w:tc>
          <w:tcPr>
            <w:tcW w:w="860" w:type="dxa"/>
            <w:vAlign w:val="bottom"/>
            <w:shd w:val="clear" w:color="auto" w:fill="E5E5E5"/>
          </w:tcPr>
          <w:p>
            <w:pPr>
              <w:jc w:val="right"/>
              <w:ind w:right="114"/>
              <w:spacing w:after="0"/>
              <w:rPr>
                <w:sz w:val="20"/>
                <w:szCs w:val="20"/>
                <w:color w:val="auto"/>
              </w:rPr>
            </w:pPr>
            <w:r>
              <w:rPr>
                <w:rFonts w:ascii="Arial" w:cs="Arial" w:eastAsia="Arial" w:hAnsi="Arial"/>
                <w:sz w:val="13"/>
                <w:szCs w:val="13"/>
                <w:color w:val="auto"/>
              </w:rPr>
              <w:t>2,565,005</w:t>
            </w:r>
          </w:p>
        </w:tc>
        <w:tc>
          <w:tcPr>
            <w:tcW w:w="1520" w:type="dxa"/>
            <w:vAlign w:val="bottom"/>
            <w:shd w:val="clear" w:color="auto" w:fill="E5E5E5"/>
          </w:tcPr>
          <w:p>
            <w:pPr>
              <w:jc w:val="right"/>
              <w:ind w:right="455"/>
              <w:spacing w:after="0"/>
              <w:rPr>
                <w:sz w:val="20"/>
                <w:szCs w:val="20"/>
                <w:color w:val="auto"/>
              </w:rPr>
            </w:pPr>
            <w:r>
              <w:rPr>
                <w:rFonts w:ascii="Arial" w:cs="Arial" w:eastAsia="Arial" w:hAnsi="Arial"/>
                <w:sz w:val="13"/>
                <w:szCs w:val="13"/>
                <w:color w:val="auto"/>
              </w:rPr>
              <w:t>2,693,300</w:t>
            </w:r>
          </w:p>
        </w:tc>
        <w:tc>
          <w:tcPr>
            <w:tcW w:w="1500" w:type="dxa"/>
            <w:vAlign w:val="bottom"/>
            <w:shd w:val="clear" w:color="auto" w:fill="E5E5E5"/>
          </w:tcPr>
          <w:p>
            <w:pPr>
              <w:jc w:val="right"/>
              <w:ind w:right="355"/>
              <w:spacing w:after="0"/>
              <w:rPr>
                <w:sz w:val="20"/>
                <w:szCs w:val="20"/>
                <w:color w:val="auto"/>
              </w:rPr>
            </w:pPr>
            <w:r>
              <w:rPr>
                <w:rFonts w:ascii="Arial" w:cs="Arial" w:eastAsia="Arial" w:hAnsi="Arial"/>
                <w:sz w:val="13"/>
                <w:szCs w:val="13"/>
                <w:color w:val="auto"/>
              </w:rPr>
              <w:t>1,807,034</w:t>
            </w:r>
          </w:p>
        </w:tc>
        <w:tc>
          <w:tcPr>
            <w:tcW w:w="1440" w:type="dxa"/>
            <w:vAlign w:val="bottom"/>
            <w:shd w:val="clear" w:color="auto" w:fill="E5E5E5"/>
          </w:tcPr>
          <w:p>
            <w:pPr>
              <w:jc w:val="right"/>
              <w:ind w:right="374"/>
              <w:spacing w:after="0"/>
              <w:rPr>
                <w:sz w:val="20"/>
                <w:szCs w:val="20"/>
                <w:color w:val="auto"/>
              </w:rPr>
            </w:pPr>
            <w:r>
              <w:rPr>
                <w:rFonts w:ascii="Arial" w:cs="Arial" w:eastAsia="Arial" w:hAnsi="Arial"/>
                <w:sz w:val="13"/>
                <w:szCs w:val="13"/>
                <w:color w:val="auto"/>
              </w:rPr>
              <w:t>21,546</w:t>
            </w:r>
          </w:p>
        </w:tc>
        <w:tc>
          <w:tcPr>
            <w:tcW w:w="8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14,571,906</w:t>
            </w:r>
          </w:p>
        </w:tc>
        <w:tc>
          <w:tcPr>
            <w:tcW w:w="80" w:type="dxa"/>
            <w:vAlign w:val="bottom"/>
          </w:tcPr>
          <w:p>
            <w:pPr>
              <w:spacing w:after="0"/>
              <w:rPr>
                <w:sz w:val="16"/>
                <w:szCs w:val="16"/>
                <w:color w:val="auto"/>
              </w:rPr>
            </w:pPr>
          </w:p>
        </w:tc>
        <w:tc>
          <w:tcPr>
            <w:tcW w:w="800" w:type="dxa"/>
            <w:vAlign w:val="bottom"/>
            <w:gridSpan w:val="2"/>
            <w:shd w:val="clear" w:color="auto" w:fill="E5E5E5"/>
          </w:tcPr>
          <w:p>
            <w:pPr>
              <w:jc w:val="right"/>
              <w:spacing w:after="0"/>
              <w:rPr>
                <w:sz w:val="20"/>
                <w:szCs w:val="20"/>
                <w:color w:val="auto"/>
              </w:rPr>
            </w:pPr>
            <w:r>
              <w:rPr>
                <w:rFonts w:ascii="Arial" w:cs="Arial" w:eastAsia="Arial" w:hAnsi="Arial"/>
                <w:sz w:val="13"/>
                <w:szCs w:val="13"/>
                <w:color w:val="auto"/>
                <w:shd w:val="clear" w:color="auto" w:fill="E5E5E5"/>
              </w:rPr>
              <w:t>12,764,87</w:t>
            </w:r>
          </w:p>
        </w:tc>
        <w:tc>
          <w:tcPr>
            <w:tcW w:w="0" w:type="dxa"/>
            <w:vAlign w:val="bottom"/>
          </w:tcPr>
          <w:p>
            <w:pPr>
              <w:spacing w:after="0"/>
              <w:rPr>
                <w:sz w:val="1"/>
                <w:szCs w:val="1"/>
                <w:color w:val="auto"/>
              </w:rPr>
            </w:pPr>
          </w:p>
        </w:tc>
      </w:tr>
      <w:tr>
        <w:trPr>
          <w:trHeight w:val="160"/>
        </w:trPr>
        <w:tc>
          <w:tcPr>
            <w:tcW w:w="1400" w:type="dxa"/>
            <w:vAlign w:val="bottom"/>
            <w:shd w:val="clear" w:color="auto" w:fill="E5E5E5"/>
          </w:tcPr>
          <w:p>
            <w:pPr>
              <w:ind w:left="80"/>
              <w:spacing w:after="0"/>
              <w:rPr>
                <w:sz w:val="20"/>
                <w:szCs w:val="20"/>
                <w:color w:val="auto"/>
              </w:rPr>
            </w:pPr>
            <w:r>
              <w:rPr>
                <w:rFonts w:ascii="Arial" w:cs="Arial" w:eastAsia="Arial" w:hAnsi="Arial"/>
                <w:sz w:val="13"/>
                <w:szCs w:val="13"/>
                <w:color w:val="auto"/>
              </w:rPr>
              <w:t>Chief Executive</w:t>
            </w:r>
          </w:p>
        </w:tc>
        <w:tc>
          <w:tcPr>
            <w:tcW w:w="80" w:type="dxa"/>
            <w:vAlign w:val="bottom"/>
            <w:shd w:val="clear" w:color="auto" w:fill="E5E5E5"/>
          </w:tcPr>
          <w:p>
            <w:pPr>
              <w:spacing w:after="0"/>
              <w:rPr>
                <w:sz w:val="13"/>
                <w:szCs w:val="13"/>
                <w:color w:val="auto"/>
              </w:rPr>
            </w:pPr>
          </w:p>
        </w:tc>
        <w:tc>
          <w:tcPr>
            <w:tcW w:w="420" w:type="dxa"/>
            <w:vAlign w:val="bottom"/>
            <w:shd w:val="clear" w:color="auto" w:fill="E5E5E5"/>
          </w:tcPr>
          <w:p>
            <w:pPr>
              <w:ind w:left="60"/>
              <w:spacing w:after="0"/>
              <w:rPr>
                <w:sz w:val="20"/>
                <w:szCs w:val="20"/>
                <w:color w:val="auto"/>
              </w:rPr>
            </w:pPr>
            <w:r>
              <w:rPr>
                <w:rFonts w:ascii="Arial" w:cs="Arial" w:eastAsia="Arial" w:hAnsi="Arial"/>
                <w:sz w:val="13"/>
                <w:szCs w:val="13"/>
                <w:color w:val="auto"/>
              </w:rPr>
              <w:t>2016</w:t>
            </w:r>
          </w:p>
        </w:tc>
        <w:tc>
          <w:tcPr>
            <w:tcW w:w="760" w:type="dxa"/>
            <w:vAlign w:val="bottom"/>
            <w:shd w:val="clear" w:color="auto" w:fill="E5E5E5"/>
          </w:tcPr>
          <w:p>
            <w:pPr>
              <w:jc w:val="right"/>
              <w:ind w:right="14"/>
              <w:spacing w:after="0"/>
              <w:rPr>
                <w:sz w:val="20"/>
                <w:szCs w:val="20"/>
                <w:color w:val="auto"/>
              </w:rPr>
            </w:pPr>
            <w:r>
              <w:rPr>
                <w:rFonts w:ascii="Arial" w:cs="Arial" w:eastAsia="Arial" w:hAnsi="Arial"/>
                <w:sz w:val="13"/>
                <w:szCs w:val="13"/>
                <w:color w:val="auto"/>
              </w:rPr>
              <w:t>1,500,000</w:t>
            </w:r>
          </w:p>
        </w:tc>
        <w:tc>
          <w:tcPr>
            <w:tcW w:w="740" w:type="dxa"/>
            <w:vAlign w:val="bottom"/>
            <w:shd w:val="clear" w:color="auto" w:fill="E5E5E5"/>
          </w:tcPr>
          <w:p>
            <w:pPr>
              <w:ind w:left="280"/>
              <w:spacing w:after="0"/>
              <w:rPr>
                <w:sz w:val="20"/>
                <w:szCs w:val="20"/>
                <w:color w:val="auto"/>
              </w:rPr>
            </w:pPr>
            <w:r>
              <w:rPr>
                <w:rFonts w:ascii="Arial" w:cs="Arial" w:eastAsia="Arial" w:hAnsi="Arial"/>
                <w:sz w:val="13"/>
                <w:szCs w:val="13"/>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5,655,989</w:t>
            </w:r>
          </w:p>
        </w:tc>
        <w:tc>
          <w:tcPr>
            <w:tcW w:w="860" w:type="dxa"/>
            <w:vAlign w:val="bottom"/>
            <w:shd w:val="clear" w:color="auto" w:fill="E5E5E5"/>
          </w:tcPr>
          <w:p>
            <w:pPr>
              <w:jc w:val="right"/>
              <w:ind w:right="114"/>
              <w:spacing w:after="0"/>
              <w:rPr>
                <w:sz w:val="20"/>
                <w:szCs w:val="20"/>
                <w:color w:val="auto"/>
              </w:rPr>
            </w:pPr>
            <w:r>
              <w:rPr>
                <w:rFonts w:ascii="Arial" w:cs="Arial" w:eastAsia="Arial" w:hAnsi="Arial"/>
                <w:sz w:val="13"/>
                <w:szCs w:val="13"/>
                <w:color w:val="auto"/>
              </w:rPr>
              <w:t>2,423,997</w:t>
            </w:r>
          </w:p>
        </w:tc>
        <w:tc>
          <w:tcPr>
            <w:tcW w:w="1520" w:type="dxa"/>
            <w:vAlign w:val="bottom"/>
            <w:shd w:val="clear" w:color="auto" w:fill="E5E5E5"/>
          </w:tcPr>
          <w:p>
            <w:pPr>
              <w:jc w:val="right"/>
              <w:ind w:right="455"/>
              <w:spacing w:after="0"/>
              <w:rPr>
                <w:sz w:val="20"/>
                <w:szCs w:val="20"/>
                <w:color w:val="auto"/>
              </w:rPr>
            </w:pPr>
            <w:r>
              <w:rPr>
                <w:rFonts w:ascii="Arial" w:cs="Arial" w:eastAsia="Arial" w:hAnsi="Arial"/>
                <w:sz w:val="13"/>
                <w:szCs w:val="13"/>
                <w:color w:val="auto"/>
              </w:rPr>
              <w:t>2,103,800</w:t>
            </w:r>
          </w:p>
        </w:tc>
        <w:tc>
          <w:tcPr>
            <w:tcW w:w="1500" w:type="dxa"/>
            <w:vAlign w:val="bottom"/>
            <w:shd w:val="clear" w:color="auto" w:fill="E5E5E5"/>
          </w:tcPr>
          <w:p>
            <w:pPr>
              <w:jc w:val="right"/>
              <w:ind w:right="195"/>
              <w:spacing w:after="0"/>
              <w:rPr>
                <w:sz w:val="20"/>
                <w:szCs w:val="20"/>
                <w:color w:val="auto"/>
              </w:rPr>
            </w:pPr>
            <w:r>
              <w:rPr>
                <w:rFonts w:ascii="Arial" w:cs="Arial" w:eastAsia="Arial" w:hAnsi="Arial"/>
                <w:sz w:val="13"/>
                <w:szCs w:val="13"/>
                <w:color w:val="auto"/>
              </w:rPr>
              <w:t>— (5)</w:t>
            </w:r>
          </w:p>
        </w:tc>
        <w:tc>
          <w:tcPr>
            <w:tcW w:w="1440" w:type="dxa"/>
            <w:vAlign w:val="bottom"/>
            <w:shd w:val="clear" w:color="auto" w:fill="E5E5E5"/>
          </w:tcPr>
          <w:p>
            <w:pPr>
              <w:jc w:val="right"/>
              <w:ind w:right="374"/>
              <w:spacing w:after="0"/>
              <w:rPr>
                <w:sz w:val="20"/>
                <w:szCs w:val="20"/>
                <w:color w:val="auto"/>
              </w:rPr>
            </w:pPr>
            <w:r>
              <w:rPr>
                <w:rFonts w:ascii="Arial" w:cs="Arial" w:eastAsia="Arial" w:hAnsi="Arial"/>
                <w:sz w:val="13"/>
                <w:szCs w:val="13"/>
                <w:color w:val="auto"/>
              </w:rPr>
              <w:t>21,546</w:t>
            </w:r>
          </w:p>
        </w:tc>
        <w:tc>
          <w:tcPr>
            <w:tcW w:w="8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11,705,332</w:t>
            </w:r>
          </w:p>
        </w:tc>
        <w:tc>
          <w:tcPr>
            <w:tcW w:w="80" w:type="dxa"/>
            <w:vAlign w:val="bottom"/>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3"/>
                <w:szCs w:val="13"/>
                <w:color w:val="auto"/>
                <w:shd w:val="clear" w:color="auto" w:fill="E5E5E5"/>
              </w:rPr>
              <w:t>11,705,33</w:t>
            </w:r>
          </w:p>
        </w:tc>
        <w:tc>
          <w:tcPr>
            <w:tcW w:w="0" w:type="dxa"/>
            <w:vAlign w:val="bottom"/>
          </w:tcPr>
          <w:p>
            <w:pPr>
              <w:spacing w:after="0"/>
              <w:rPr>
                <w:sz w:val="1"/>
                <w:szCs w:val="1"/>
                <w:color w:val="auto"/>
              </w:rPr>
            </w:pPr>
          </w:p>
        </w:tc>
      </w:tr>
      <w:tr>
        <w:trPr>
          <w:trHeight w:val="160"/>
        </w:trPr>
        <w:tc>
          <w:tcPr>
            <w:tcW w:w="1400" w:type="dxa"/>
            <w:vAlign w:val="bottom"/>
            <w:shd w:val="clear" w:color="auto" w:fill="E5E5E5"/>
          </w:tcPr>
          <w:p>
            <w:pPr>
              <w:ind w:left="80"/>
              <w:spacing w:after="0"/>
              <w:rPr>
                <w:sz w:val="20"/>
                <w:szCs w:val="20"/>
                <w:color w:val="auto"/>
              </w:rPr>
            </w:pPr>
            <w:r>
              <w:rPr>
                <w:rFonts w:ascii="Arial" w:cs="Arial" w:eastAsia="Arial" w:hAnsi="Arial"/>
                <w:sz w:val="13"/>
                <w:szCs w:val="13"/>
                <w:color w:val="auto"/>
              </w:rPr>
              <w:t>Officer</w:t>
            </w:r>
          </w:p>
        </w:tc>
        <w:tc>
          <w:tcPr>
            <w:tcW w:w="80" w:type="dxa"/>
            <w:vAlign w:val="bottom"/>
            <w:shd w:val="clear" w:color="auto" w:fill="E5E5E5"/>
          </w:tcPr>
          <w:p>
            <w:pPr>
              <w:spacing w:after="0"/>
              <w:rPr>
                <w:sz w:val="13"/>
                <w:szCs w:val="13"/>
                <w:color w:val="auto"/>
              </w:rPr>
            </w:pPr>
          </w:p>
        </w:tc>
        <w:tc>
          <w:tcPr>
            <w:tcW w:w="420" w:type="dxa"/>
            <w:vAlign w:val="bottom"/>
            <w:vMerge w:val="restart"/>
            <w:shd w:val="clear" w:color="auto" w:fill="E5E5E5"/>
          </w:tcPr>
          <w:p>
            <w:pPr>
              <w:ind w:left="60"/>
              <w:spacing w:after="0"/>
              <w:rPr>
                <w:sz w:val="20"/>
                <w:szCs w:val="20"/>
                <w:color w:val="auto"/>
              </w:rPr>
            </w:pPr>
            <w:r>
              <w:rPr>
                <w:rFonts w:ascii="Arial" w:cs="Arial" w:eastAsia="Arial" w:hAnsi="Arial"/>
                <w:sz w:val="13"/>
                <w:szCs w:val="13"/>
                <w:color w:val="auto"/>
              </w:rPr>
              <w:t>2015</w:t>
            </w:r>
          </w:p>
        </w:tc>
        <w:tc>
          <w:tcPr>
            <w:tcW w:w="760" w:type="dxa"/>
            <w:vAlign w:val="bottom"/>
            <w:vMerge w:val="restart"/>
            <w:shd w:val="clear" w:color="auto" w:fill="E5E5E5"/>
          </w:tcPr>
          <w:p>
            <w:pPr>
              <w:jc w:val="right"/>
              <w:ind w:right="14"/>
              <w:spacing w:after="0"/>
              <w:rPr>
                <w:sz w:val="20"/>
                <w:szCs w:val="20"/>
                <w:color w:val="auto"/>
              </w:rPr>
            </w:pPr>
            <w:r>
              <w:rPr>
                <w:rFonts w:ascii="Arial" w:cs="Arial" w:eastAsia="Arial" w:hAnsi="Arial"/>
                <w:sz w:val="13"/>
                <w:szCs w:val="13"/>
                <w:color w:val="auto"/>
              </w:rPr>
              <w:t>1,500,000</w:t>
            </w:r>
          </w:p>
        </w:tc>
        <w:tc>
          <w:tcPr>
            <w:tcW w:w="740" w:type="dxa"/>
            <w:vAlign w:val="bottom"/>
            <w:vMerge w:val="restart"/>
            <w:shd w:val="clear" w:color="auto" w:fill="E5E5E5"/>
          </w:tcPr>
          <w:p>
            <w:pPr>
              <w:ind w:left="280"/>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7,600,040</w:t>
            </w:r>
          </w:p>
        </w:tc>
        <w:tc>
          <w:tcPr>
            <w:tcW w:w="860" w:type="dxa"/>
            <w:vAlign w:val="bottom"/>
            <w:vMerge w:val="restart"/>
            <w:shd w:val="clear" w:color="auto" w:fill="E5E5E5"/>
          </w:tcPr>
          <w:p>
            <w:pPr>
              <w:jc w:val="right"/>
              <w:ind w:right="114"/>
              <w:spacing w:after="0"/>
              <w:rPr>
                <w:sz w:val="20"/>
                <w:szCs w:val="20"/>
                <w:color w:val="auto"/>
              </w:rPr>
            </w:pPr>
            <w:r>
              <w:rPr>
                <w:rFonts w:ascii="Arial" w:cs="Arial" w:eastAsia="Arial" w:hAnsi="Arial"/>
                <w:sz w:val="13"/>
                <w:szCs w:val="13"/>
                <w:color w:val="auto"/>
              </w:rPr>
              <w:t>1,899,996</w:t>
            </w:r>
          </w:p>
        </w:tc>
        <w:tc>
          <w:tcPr>
            <w:tcW w:w="1520" w:type="dxa"/>
            <w:vAlign w:val="bottom"/>
            <w:vMerge w:val="restart"/>
            <w:shd w:val="clear" w:color="auto" w:fill="E5E5E5"/>
          </w:tcPr>
          <w:p>
            <w:pPr>
              <w:jc w:val="right"/>
              <w:ind w:right="455"/>
              <w:spacing w:after="0"/>
              <w:rPr>
                <w:sz w:val="20"/>
                <w:szCs w:val="20"/>
                <w:color w:val="auto"/>
              </w:rPr>
            </w:pPr>
            <w:r>
              <w:rPr>
                <w:rFonts w:ascii="Arial" w:cs="Arial" w:eastAsia="Arial" w:hAnsi="Arial"/>
                <w:sz w:val="13"/>
                <w:szCs w:val="13"/>
                <w:color w:val="auto"/>
              </w:rPr>
              <w:t>1,912,500</w:t>
            </w:r>
          </w:p>
        </w:tc>
        <w:tc>
          <w:tcPr>
            <w:tcW w:w="1500" w:type="dxa"/>
            <w:vAlign w:val="bottom"/>
            <w:vMerge w:val="restart"/>
            <w:shd w:val="clear" w:color="auto" w:fill="E5E5E5"/>
          </w:tcPr>
          <w:p>
            <w:pPr>
              <w:jc w:val="right"/>
              <w:ind w:right="195"/>
              <w:spacing w:after="0"/>
              <w:rPr>
                <w:sz w:val="20"/>
                <w:szCs w:val="20"/>
                <w:color w:val="auto"/>
              </w:rPr>
            </w:pPr>
            <w:r>
              <w:rPr>
                <w:rFonts w:ascii="Arial" w:cs="Arial" w:eastAsia="Arial" w:hAnsi="Arial"/>
                <w:sz w:val="13"/>
                <w:szCs w:val="13"/>
                <w:color w:val="auto"/>
              </w:rPr>
              <w:t>— (5)</w:t>
            </w:r>
          </w:p>
        </w:tc>
        <w:tc>
          <w:tcPr>
            <w:tcW w:w="1440" w:type="dxa"/>
            <w:vAlign w:val="bottom"/>
            <w:vMerge w:val="restart"/>
            <w:shd w:val="clear" w:color="auto" w:fill="E5E5E5"/>
          </w:tcPr>
          <w:p>
            <w:pPr>
              <w:jc w:val="right"/>
              <w:ind w:right="374"/>
              <w:spacing w:after="0"/>
              <w:rPr>
                <w:sz w:val="20"/>
                <w:szCs w:val="20"/>
                <w:color w:val="auto"/>
              </w:rPr>
            </w:pPr>
            <w:r>
              <w:rPr>
                <w:rFonts w:ascii="Arial" w:cs="Arial" w:eastAsia="Arial" w:hAnsi="Arial"/>
                <w:sz w:val="13"/>
                <w:szCs w:val="13"/>
                <w:color w:val="auto"/>
              </w:rPr>
              <w:t>21,147</w:t>
            </w:r>
          </w:p>
        </w:tc>
        <w:tc>
          <w:tcPr>
            <w:tcW w:w="86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12,933,683</w:t>
            </w:r>
          </w:p>
        </w:tc>
        <w:tc>
          <w:tcPr>
            <w:tcW w:w="80" w:type="dxa"/>
            <w:vAlign w:val="bottom"/>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64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shd w:val="clear" w:color="auto" w:fill="E5E5E5"/>
              </w:rPr>
              <w:t>12,933,68</w:t>
            </w:r>
          </w:p>
        </w:tc>
        <w:tc>
          <w:tcPr>
            <w:tcW w:w="0" w:type="dxa"/>
            <w:vAlign w:val="bottom"/>
          </w:tcPr>
          <w:p>
            <w:pPr>
              <w:spacing w:after="0"/>
              <w:rPr>
                <w:sz w:val="1"/>
                <w:szCs w:val="1"/>
                <w:color w:val="auto"/>
              </w:rPr>
            </w:pPr>
          </w:p>
        </w:tc>
      </w:tr>
      <w:tr>
        <w:trPr>
          <w:trHeight w:val="66"/>
        </w:trPr>
        <w:tc>
          <w:tcPr>
            <w:tcW w:w="1400" w:type="dxa"/>
            <w:vAlign w:val="bottom"/>
            <w:shd w:val="clear" w:color="auto" w:fill="E5E5E5"/>
          </w:tcPr>
          <w:p>
            <w:pPr>
              <w:spacing w:after="0"/>
              <w:rPr>
                <w:sz w:val="5"/>
                <w:szCs w:val="5"/>
                <w:color w:val="auto"/>
              </w:rPr>
            </w:pPr>
          </w:p>
        </w:tc>
        <w:tc>
          <w:tcPr>
            <w:tcW w:w="80" w:type="dxa"/>
            <w:vAlign w:val="bottom"/>
            <w:shd w:val="clear" w:color="auto" w:fill="E5E5E5"/>
          </w:tcPr>
          <w:p>
            <w:pPr>
              <w:spacing w:after="0"/>
              <w:rPr>
                <w:sz w:val="5"/>
                <w:szCs w:val="5"/>
                <w:color w:val="auto"/>
              </w:rPr>
            </w:pPr>
          </w:p>
        </w:tc>
        <w:tc>
          <w:tcPr>
            <w:tcW w:w="420" w:type="dxa"/>
            <w:vAlign w:val="bottom"/>
            <w:vMerge w:val="continue"/>
            <w:shd w:val="clear" w:color="auto" w:fill="E5E5E5"/>
          </w:tcPr>
          <w:p>
            <w:pPr>
              <w:spacing w:after="0"/>
              <w:rPr>
                <w:sz w:val="5"/>
                <w:szCs w:val="5"/>
                <w:color w:val="auto"/>
              </w:rPr>
            </w:pPr>
          </w:p>
        </w:tc>
        <w:tc>
          <w:tcPr>
            <w:tcW w:w="760" w:type="dxa"/>
            <w:vAlign w:val="bottom"/>
            <w:vMerge w:val="continue"/>
            <w:shd w:val="clear" w:color="auto" w:fill="E5E5E5"/>
          </w:tcPr>
          <w:p>
            <w:pPr>
              <w:spacing w:after="0"/>
              <w:rPr>
                <w:sz w:val="5"/>
                <w:szCs w:val="5"/>
                <w:color w:val="auto"/>
              </w:rPr>
            </w:pPr>
          </w:p>
        </w:tc>
        <w:tc>
          <w:tcPr>
            <w:tcW w:w="740" w:type="dxa"/>
            <w:vAlign w:val="bottom"/>
            <w:vMerge w:val="continue"/>
            <w:shd w:val="clear" w:color="auto" w:fill="E5E5E5"/>
          </w:tcPr>
          <w:p>
            <w:pPr>
              <w:spacing w:after="0"/>
              <w:rPr>
                <w:sz w:val="5"/>
                <w:szCs w:val="5"/>
                <w:color w:val="auto"/>
              </w:rPr>
            </w:pPr>
          </w:p>
        </w:tc>
        <w:tc>
          <w:tcPr>
            <w:tcW w:w="780" w:type="dxa"/>
            <w:vAlign w:val="bottom"/>
            <w:vMerge w:val="continue"/>
            <w:shd w:val="clear" w:color="auto" w:fill="E5E5E5"/>
          </w:tcPr>
          <w:p>
            <w:pPr>
              <w:spacing w:after="0"/>
              <w:rPr>
                <w:sz w:val="5"/>
                <w:szCs w:val="5"/>
                <w:color w:val="auto"/>
              </w:rPr>
            </w:pPr>
          </w:p>
        </w:tc>
        <w:tc>
          <w:tcPr>
            <w:tcW w:w="860" w:type="dxa"/>
            <w:vAlign w:val="bottom"/>
            <w:vMerge w:val="continue"/>
            <w:shd w:val="clear" w:color="auto" w:fill="E5E5E5"/>
          </w:tcPr>
          <w:p>
            <w:pPr>
              <w:spacing w:after="0"/>
              <w:rPr>
                <w:sz w:val="5"/>
                <w:szCs w:val="5"/>
                <w:color w:val="auto"/>
              </w:rPr>
            </w:pPr>
          </w:p>
        </w:tc>
        <w:tc>
          <w:tcPr>
            <w:tcW w:w="1520" w:type="dxa"/>
            <w:vAlign w:val="bottom"/>
            <w:vMerge w:val="continue"/>
            <w:shd w:val="clear" w:color="auto" w:fill="E5E5E5"/>
          </w:tcPr>
          <w:p>
            <w:pPr>
              <w:spacing w:after="0"/>
              <w:rPr>
                <w:sz w:val="5"/>
                <w:szCs w:val="5"/>
                <w:color w:val="auto"/>
              </w:rPr>
            </w:pPr>
          </w:p>
        </w:tc>
        <w:tc>
          <w:tcPr>
            <w:tcW w:w="1500" w:type="dxa"/>
            <w:vAlign w:val="bottom"/>
            <w:vMerge w:val="continue"/>
            <w:shd w:val="clear" w:color="auto" w:fill="E5E5E5"/>
          </w:tcPr>
          <w:p>
            <w:pPr>
              <w:spacing w:after="0"/>
              <w:rPr>
                <w:sz w:val="5"/>
                <w:szCs w:val="5"/>
                <w:color w:val="auto"/>
              </w:rPr>
            </w:pPr>
          </w:p>
        </w:tc>
        <w:tc>
          <w:tcPr>
            <w:tcW w:w="1440" w:type="dxa"/>
            <w:vAlign w:val="bottom"/>
            <w:vMerge w:val="continue"/>
            <w:shd w:val="clear" w:color="auto" w:fill="E5E5E5"/>
          </w:tcPr>
          <w:p>
            <w:pPr>
              <w:spacing w:after="0"/>
              <w:rPr>
                <w:sz w:val="5"/>
                <w:szCs w:val="5"/>
                <w:color w:val="auto"/>
              </w:rPr>
            </w:pPr>
          </w:p>
        </w:tc>
        <w:tc>
          <w:tcPr>
            <w:tcW w:w="860" w:type="dxa"/>
            <w:vAlign w:val="bottom"/>
            <w:vMerge w:val="continue"/>
            <w:shd w:val="clear" w:color="auto" w:fill="E5E5E5"/>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shd w:val="clear" w:color="auto" w:fill="E5E5E5"/>
          </w:tcPr>
          <w:p>
            <w:pPr>
              <w:spacing w:after="0"/>
              <w:rPr>
                <w:sz w:val="5"/>
                <w:szCs w:val="5"/>
                <w:color w:val="auto"/>
              </w:rPr>
            </w:pPr>
          </w:p>
        </w:tc>
        <w:tc>
          <w:tcPr>
            <w:tcW w:w="640" w:type="dxa"/>
            <w:vAlign w:val="bottom"/>
            <w:vMerge w:val="continue"/>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1400" w:type="dxa"/>
            <w:vAlign w:val="bottom"/>
          </w:tcPr>
          <w:p>
            <w:pPr>
              <w:ind w:left="80"/>
              <w:spacing w:after="0"/>
              <w:rPr>
                <w:sz w:val="20"/>
                <w:szCs w:val="20"/>
                <w:color w:val="auto"/>
              </w:rPr>
            </w:pPr>
            <w:r>
              <w:rPr>
                <w:rFonts w:ascii="Arial" w:cs="Arial" w:eastAsia="Arial" w:hAnsi="Arial"/>
                <w:sz w:val="13"/>
                <w:szCs w:val="13"/>
                <w:b w:val="1"/>
                <w:bCs w:val="1"/>
                <w:color w:val="007549"/>
              </w:rPr>
              <w:t>Hill, Gregory P</w:t>
            </w:r>
          </w:p>
        </w:tc>
        <w:tc>
          <w:tcPr>
            <w:tcW w:w="500" w:type="dxa"/>
            <w:vAlign w:val="bottom"/>
            <w:gridSpan w:val="2"/>
          </w:tcPr>
          <w:p>
            <w:pPr>
              <w:ind w:left="140"/>
              <w:spacing w:after="0"/>
              <w:rPr>
                <w:sz w:val="20"/>
                <w:szCs w:val="20"/>
                <w:color w:val="auto"/>
              </w:rPr>
            </w:pPr>
            <w:r>
              <w:rPr>
                <w:rFonts w:ascii="Arial" w:cs="Arial" w:eastAsia="Arial" w:hAnsi="Arial"/>
                <w:sz w:val="13"/>
                <w:szCs w:val="13"/>
                <w:color w:val="auto"/>
              </w:rPr>
              <w:t>2017</w:t>
            </w:r>
          </w:p>
        </w:tc>
        <w:tc>
          <w:tcPr>
            <w:tcW w:w="760" w:type="dxa"/>
            <w:vAlign w:val="bottom"/>
          </w:tcPr>
          <w:p>
            <w:pPr>
              <w:jc w:val="right"/>
              <w:ind w:right="14"/>
              <w:spacing w:after="0"/>
              <w:rPr>
                <w:sz w:val="20"/>
                <w:szCs w:val="20"/>
                <w:color w:val="auto"/>
              </w:rPr>
            </w:pPr>
            <w:r>
              <w:rPr>
                <w:rFonts w:ascii="Arial" w:cs="Arial" w:eastAsia="Arial" w:hAnsi="Arial"/>
                <w:sz w:val="13"/>
                <w:szCs w:val="13"/>
                <w:color w:val="auto"/>
              </w:rPr>
              <w:t>1,100,000</w:t>
            </w:r>
          </w:p>
        </w:tc>
        <w:tc>
          <w:tcPr>
            <w:tcW w:w="740" w:type="dxa"/>
            <w:vAlign w:val="bottom"/>
          </w:tcPr>
          <w:p>
            <w:pPr>
              <w:ind w:left="28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3,780,012</w:t>
            </w:r>
          </w:p>
        </w:tc>
        <w:tc>
          <w:tcPr>
            <w:tcW w:w="860" w:type="dxa"/>
            <w:vAlign w:val="bottom"/>
          </w:tcPr>
          <w:p>
            <w:pPr>
              <w:jc w:val="right"/>
              <w:ind w:right="114"/>
              <w:spacing w:after="0"/>
              <w:rPr>
                <w:sz w:val="20"/>
                <w:szCs w:val="20"/>
                <w:color w:val="auto"/>
              </w:rPr>
            </w:pPr>
            <w:r>
              <w:rPr>
                <w:rFonts w:ascii="Arial" w:cs="Arial" w:eastAsia="Arial" w:hAnsi="Arial"/>
                <w:sz w:val="13"/>
                <w:szCs w:val="13"/>
                <w:color w:val="auto"/>
              </w:rPr>
              <w:t>944,993</w:t>
            </w:r>
          </w:p>
        </w:tc>
        <w:tc>
          <w:tcPr>
            <w:tcW w:w="1520" w:type="dxa"/>
            <w:vAlign w:val="bottom"/>
          </w:tcPr>
          <w:p>
            <w:pPr>
              <w:jc w:val="right"/>
              <w:ind w:right="455"/>
              <w:spacing w:after="0"/>
              <w:rPr>
                <w:sz w:val="20"/>
                <w:szCs w:val="20"/>
                <w:color w:val="auto"/>
              </w:rPr>
            </w:pPr>
            <w:r>
              <w:rPr>
                <w:rFonts w:ascii="Arial" w:cs="Arial" w:eastAsia="Arial" w:hAnsi="Arial"/>
                <w:sz w:val="13"/>
                <w:szCs w:val="13"/>
                <w:color w:val="auto"/>
              </w:rPr>
              <w:t>1,711,700</w:t>
            </w:r>
          </w:p>
        </w:tc>
        <w:tc>
          <w:tcPr>
            <w:tcW w:w="1500" w:type="dxa"/>
            <w:vAlign w:val="bottom"/>
          </w:tcPr>
          <w:p>
            <w:pPr>
              <w:jc w:val="right"/>
              <w:ind w:right="355"/>
              <w:spacing w:after="0"/>
              <w:rPr>
                <w:sz w:val="20"/>
                <w:szCs w:val="20"/>
                <w:color w:val="auto"/>
              </w:rPr>
            </w:pPr>
            <w:r>
              <w:rPr>
                <w:rFonts w:ascii="Arial" w:cs="Arial" w:eastAsia="Arial" w:hAnsi="Arial"/>
                <w:sz w:val="13"/>
                <w:szCs w:val="13"/>
                <w:color w:val="auto"/>
              </w:rPr>
              <w:t>2,029,095</w:t>
            </w:r>
          </w:p>
        </w:tc>
        <w:tc>
          <w:tcPr>
            <w:tcW w:w="1440" w:type="dxa"/>
            <w:vAlign w:val="bottom"/>
          </w:tcPr>
          <w:p>
            <w:pPr>
              <w:jc w:val="right"/>
              <w:ind w:right="374"/>
              <w:spacing w:after="0"/>
              <w:rPr>
                <w:sz w:val="20"/>
                <w:szCs w:val="20"/>
                <w:color w:val="auto"/>
              </w:rPr>
            </w:pPr>
            <w:r>
              <w:rPr>
                <w:rFonts w:ascii="Arial" w:cs="Arial" w:eastAsia="Arial" w:hAnsi="Arial"/>
                <w:sz w:val="13"/>
                <w:szCs w:val="13"/>
                <w:color w:val="auto"/>
              </w:rPr>
              <w:t>21,546</w:t>
            </w:r>
          </w:p>
        </w:tc>
        <w:tc>
          <w:tcPr>
            <w:tcW w:w="860" w:type="dxa"/>
            <w:vAlign w:val="bottom"/>
          </w:tcPr>
          <w:p>
            <w:pPr>
              <w:jc w:val="right"/>
              <w:spacing w:after="0"/>
              <w:rPr>
                <w:sz w:val="20"/>
                <w:szCs w:val="20"/>
                <w:color w:val="auto"/>
              </w:rPr>
            </w:pPr>
            <w:r>
              <w:rPr>
                <w:rFonts w:ascii="Arial" w:cs="Arial" w:eastAsia="Arial" w:hAnsi="Arial"/>
                <w:sz w:val="13"/>
                <w:szCs w:val="13"/>
                <w:color w:val="auto"/>
              </w:rPr>
              <w:t>9,587,346</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7,558,25</w:t>
            </w:r>
          </w:p>
        </w:tc>
        <w:tc>
          <w:tcPr>
            <w:tcW w:w="0" w:type="dxa"/>
            <w:vAlign w:val="bottom"/>
          </w:tcPr>
          <w:p>
            <w:pPr>
              <w:spacing w:after="0"/>
              <w:rPr>
                <w:sz w:val="1"/>
                <w:szCs w:val="1"/>
                <w:color w:val="auto"/>
              </w:rPr>
            </w:pPr>
          </w:p>
        </w:tc>
      </w:tr>
      <w:tr>
        <w:trPr>
          <w:trHeight w:val="146"/>
        </w:trPr>
        <w:tc>
          <w:tcPr>
            <w:tcW w:w="1400" w:type="dxa"/>
            <w:vAlign w:val="bottom"/>
          </w:tcPr>
          <w:p>
            <w:pPr>
              <w:ind w:left="80"/>
              <w:spacing w:after="0" w:line="146" w:lineRule="exact"/>
              <w:rPr>
                <w:sz w:val="20"/>
                <w:szCs w:val="20"/>
                <w:color w:val="auto"/>
              </w:rPr>
            </w:pPr>
            <w:r>
              <w:rPr>
                <w:rFonts w:ascii="Arial" w:cs="Arial" w:eastAsia="Arial" w:hAnsi="Arial"/>
                <w:sz w:val="13"/>
                <w:szCs w:val="13"/>
                <w:color w:val="auto"/>
              </w:rPr>
              <w:t>Chief Operating</w:t>
            </w:r>
          </w:p>
        </w:tc>
        <w:tc>
          <w:tcPr>
            <w:tcW w:w="500" w:type="dxa"/>
            <w:vAlign w:val="bottom"/>
            <w:gridSpan w:val="2"/>
            <w:vMerge w:val="restart"/>
          </w:tcPr>
          <w:p>
            <w:pPr>
              <w:ind w:left="140"/>
              <w:spacing w:after="0"/>
              <w:rPr>
                <w:sz w:val="20"/>
                <w:szCs w:val="20"/>
                <w:color w:val="auto"/>
              </w:rPr>
            </w:pPr>
            <w:r>
              <w:rPr>
                <w:rFonts w:ascii="Arial" w:cs="Arial" w:eastAsia="Arial" w:hAnsi="Arial"/>
                <w:sz w:val="13"/>
                <w:szCs w:val="13"/>
                <w:color w:val="auto"/>
              </w:rPr>
              <w:t>2016</w:t>
            </w:r>
          </w:p>
        </w:tc>
        <w:tc>
          <w:tcPr>
            <w:tcW w:w="760" w:type="dxa"/>
            <w:vAlign w:val="bottom"/>
            <w:vMerge w:val="restart"/>
          </w:tcPr>
          <w:p>
            <w:pPr>
              <w:jc w:val="right"/>
              <w:ind w:right="14"/>
              <w:spacing w:after="0"/>
              <w:rPr>
                <w:sz w:val="20"/>
                <w:szCs w:val="20"/>
                <w:color w:val="auto"/>
              </w:rPr>
            </w:pPr>
            <w:r>
              <w:rPr>
                <w:rFonts w:ascii="Arial" w:cs="Arial" w:eastAsia="Arial" w:hAnsi="Arial"/>
                <w:sz w:val="13"/>
                <w:szCs w:val="13"/>
                <w:color w:val="auto"/>
              </w:rPr>
              <w:t>1,100,000</w:t>
            </w:r>
          </w:p>
        </w:tc>
        <w:tc>
          <w:tcPr>
            <w:tcW w:w="740" w:type="dxa"/>
            <w:vAlign w:val="bottom"/>
            <w:vMerge w:val="restart"/>
          </w:tcPr>
          <w:p>
            <w:pPr>
              <w:ind w:left="280"/>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3,213,021</w:t>
            </w:r>
          </w:p>
        </w:tc>
        <w:tc>
          <w:tcPr>
            <w:tcW w:w="860" w:type="dxa"/>
            <w:vAlign w:val="bottom"/>
            <w:vMerge w:val="restart"/>
          </w:tcPr>
          <w:p>
            <w:pPr>
              <w:jc w:val="right"/>
              <w:ind w:right="114"/>
              <w:spacing w:after="0"/>
              <w:rPr>
                <w:sz w:val="20"/>
                <w:szCs w:val="20"/>
                <w:color w:val="auto"/>
              </w:rPr>
            </w:pPr>
            <w:r>
              <w:rPr>
                <w:rFonts w:ascii="Arial" w:cs="Arial" w:eastAsia="Arial" w:hAnsi="Arial"/>
                <w:sz w:val="13"/>
                <w:szCs w:val="13"/>
                <w:color w:val="auto"/>
              </w:rPr>
              <w:t>803,252</w:t>
            </w:r>
          </w:p>
        </w:tc>
        <w:tc>
          <w:tcPr>
            <w:tcW w:w="1520" w:type="dxa"/>
            <w:vAlign w:val="bottom"/>
            <w:vMerge w:val="restart"/>
          </w:tcPr>
          <w:p>
            <w:pPr>
              <w:jc w:val="right"/>
              <w:ind w:right="455"/>
              <w:spacing w:after="0"/>
              <w:rPr>
                <w:sz w:val="20"/>
                <w:szCs w:val="20"/>
                <w:color w:val="auto"/>
              </w:rPr>
            </w:pPr>
            <w:r>
              <w:rPr>
                <w:rFonts w:ascii="Arial" w:cs="Arial" w:eastAsia="Arial" w:hAnsi="Arial"/>
                <w:sz w:val="13"/>
                <w:szCs w:val="13"/>
                <w:color w:val="auto"/>
              </w:rPr>
              <w:t>1,337,100</w:t>
            </w:r>
          </w:p>
        </w:tc>
        <w:tc>
          <w:tcPr>
            <w:tcW w:w="1500" w:type="dxa"/>
            <w:vAlign w:val="bottom"/>
            <w:vMerge w:val="restart"/>
          </w:tcPr>
          <w:p>
            <w:pPr>
              <w:jc w:val="right"/>
              <w:ind w:right="355"/>
              <w:spacing w:after="0"/>
              <w:rPr>
                <w:sz w:val="20"/>
                <w:szCs w:val="20"/>
                <w:color w:val="auto"/>
              </w:rPr>
            </w:pPr>
            <w:r>
              <w:rPr>
                <w:rFonts w:ascii="Arial" w:cs="Arial" w:eastAsia="Arial" w:hAnsi="Arial"/>
                <w:sz w:val="13"/>
                <w:szCs w:val="13"/>
                <w:color w:val="auto"/>
              </w:rPr>
              <w:t>1,312,091</w:t>
            </w:r>
          </w:p>
        </w:tc>
        <w:tc>
          <w:tcPr>
            <w:tcW w:w="1440" w:type="dxa"/>
            <w:vAlign w:val="bottom"/>
            <w:vMerge w:val="restart"/>
          </w:tcPr>
          <w:p>
            <w:pPr>
              <w:jc w:val="right"/>
              <w:ind w:right="374"/>
              <w:spacing w:after="0"/>
              <w:rPr>
                <w:sz w:val="20"/>
                <w:szCs w:val="20"/>
                <w:color w:val="auto"/>
              </w:rPr>
            </w:pPr>
            <w:r>
              <w:rPr>
                <w:rFonts w:ascii="Arial" w:cs="Arial" w:eastAsia="Arial" w:hAnsi="Arial"/>
                <w:sz w:val="13"/>
                <w:szCs w:val="13"/>
                <w:color w:val="auto"/>
              </w:rPr>
              <w:t>21,546</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7,787,009</w:t>
            </w:r>
          </w:p>
        </w:tc>
        <w:tc>
          <w:tcPr>
            <w:tcW w:w="880" w:type="dxa"/>
            <w:vAlign w:val="bottom"/>
            <w:gridSpan w:val="3"/>
            <w:vMerge w:val="restart"/>
          </w:tcPr>
          <w:p>
            <w:pPr>
              <w:jc w:val="right"/>
              <w:spacing w:after="0"/>
              <w:rPr>
                <w:sz w:val="20"/>
                <w:szCs w:val="20"/>
                <w:color w:val="auto"/>
              </w:rPr>
            </w:pPr>
            <w:r>
              <w:rPr>
                <w:rFonts w:ascii="Arial" w:cs="Arial" w:eastAsia="Arial" w:hAnsi="Arial"/>
                <w:sz w:val="13"/>
                <w:szCs w:val="13"/>
                <w:color w:val="auto"/>
              </w:rPr>
              <w:t>6,474,91</w:t>
            </w:r>
          </w:p>
        </w:tc>
        <w:tc>
          <w:tcPr>
            <w:tcW w:w="0" w:type="dxa"/>
            <w:vAlign w:val="bottom"/>
          </w:tcPr>
          <w:p>
            <w:pPr>
              <w:spacing w:after="0"/>
              <w:rPr>
                <w:sz w:val="1"/>
                <w:szCs w:val="1"/>
                <w:color w:val="auto"/>
              </w:rPr>
            </w:pPr>
          </w:p>
        </w:tc>
      </w:tr>
      <w:tr>
        <w:trPr>
          <w:trHeight w:val="94"/>
        </w:trPr>
        <w:tc>
          <w:tcPr>
            <w:tcW w:w="1400" w:type="dxa"/>
            <w:vAlign w:val="bottom"/>
            <w:vMerge w:val="restart"/>
          </w:tcPr>
          <w:p>
            <w:pPr>
              <w:ind w:left="80"/>
              <w:spacing w:after="0" w:line="146" w:lineRule="exact"/>
              <w:rPr>
                <w:sz w:val="20"/>
                <w:szCs w:val="20"/>
                <w:color w:val="auto"/>
              </w:rPr>
            </w:pPr>
            <w:r>
              <w:rPr>
                <w:rFonts w:ascii="Arial" w:cs="Arial" w:eastAsia="Arial" w:hAnsi="Arial"/>
                <w:sz w:val="13"/>
                <w:szCs w:val="13"/>
                <w:color w:val="auto"/>
              </w:rPr>
              <w:t>Officer</w:t>
            </w:r>
          </w:p>
        </w:tc>
        <w:tc>
          <w:tcPr>
            <w:tcW w:w="50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1400" w:type="dxa"/>
            <w:vAlign w:val="bottom"/>
            <w:vMerge w:val="continue"/>
          </w:tcPr>
          <w:p>
            <w:pPr>
              <w:spacing w:after="0"/>
              <w:rPr>
                <w:sz w:val="4"/>
                <w:szCs w:val="4"/>
                <w:color w:val="auto"/>
              </w:rPr>
            </w:pPr>
          </w:p>
        </w:tc>
        <w:tc>
          <w:tcPr>
            <w:tcW w:w="500" w:type="dxa"/>
            <w:vAlign w:val="bottom"/>
            <w:gridSpan w:val="2"/>
            <w:vMerge w:val="restart"/>
          </w:tcPr>
          <w:p>
            <w:pPr>
              <w:ind w:left="140"/>
              <w:spacing w:after="0"/>
              <w:rPr>
                <w:sz w:val="20"/>
                <w:szCs w:val="20"/>
                <w:color w:val="auto"/>
              </w:rPr>
            </w:pPr>
            <w:r>
              <w:rPr>
                <w:rFonts w:ascii="Arial" w:cs="Arial" w:eastAsia="Arial" w:hAnsi="Arial"/>
                <w:sz w:val="13"/>
                <w:szCs w:val="13"/>
                <w:color w:val="auto"/>
              </w:rPr>
              <w:t>2015</w:t>
            </w:r>
          </w:p>
        </w:tc>
        <w:tc>
          <w:tcPr>
            <w:tcW w:w="760" w:type="dxa"/>
            <w:vAlign w:val="bottom"/>
            <w:vMerge w:val="restart"/>
          </w:tcPr>
          <w:p>
            <w:pPr>
              <w:jc w:val="right"/>
              <w:ind w:right="14"/>
              <w:spacing w:after="0"/>
              <w:rPr>
                <w:sz w:val="20"/>
                <w:szCs w:val="20"/>
                <w:color w:val="auto"/>
              </w:rPr>
            </w:pPr>
            <w:r>
              <w:rPr>
                <w:rFonts w:ascii="Arial" w:cs="Arial" w:eastAsia="Arial" w:hAnsi="Arial"/>
                <w:sz w:val="13"/>
                <w:szCs w:val="13"/>
                <w:color w:val="auto"/>
              </w:rPr>
              <w:t>1,100,000</w:t>
            </w:r>
          </w:p>
        </w:tc>
        <w:tc>
          <w:tcPr>
            <w:tcW w:w="740" w:type="dxa"/>
            <w:vAlign w:val="bottom"/>
            <w:vMerge w:val="restart"/>
          </w:tcPr>
          <w:p>
            <w:pPr>
              <w:ind w:left="280"/>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3,779,970</w:t>
            </w:r>
          </w:p>
        </w:tc>
        <w:tc>
          <w:tcPr>
            <w:tcW w:w="860" w:type="dxa"/>
            <w:vAlign w:val="bottom"/>
            <w:vMerge w:val="restart"/>
          </w:tcPr>
          <w:p>
            <w:pPr>
              <w:jc w:val="right"/>
              <w:ind w:right="114"/>
              <w:spacing w:after="0"/>
              <w:rPr>
                <w:sz w:val="20"/>
                <w:szCs w:val="20"/>
                <w:color w:val="auto"/>
              </w:rPr>
            </w:pPr>
            <w:r>
              <w:rPr>
                <w:rFonts w:ascii="Arial" w:cs="Arial" w:eastAsia="Arial" w:hAnsi="Arial"/>
                <w:sz w:val="13"/>
                <w:szCs w:val="13"/>
                <w:color w:val="auto"/>
              </w:rPr>
              <w:t>945,000</w:t>
            </w:r>
          </w:p>
        </w:tc>
        <w:tc>
          <w:tcPr>
            <w:tcW w:w="1520" w:type="dxa"/>
            <w:vAlign w:val="bottom"/>
            <w:vMerge w:val="restart"/>
          </w:tcPr>
          <w:p>
            <w:pPr>
              <w:jc w:val="right"/>
              <w:ind w:right="455"/>
              <w:spacing w:after="0"/>
              <w:rPr>
                <w:sz w:val="20"/>
                <w:szCs w:val="20"/>
                <w:color w:val="auto"/>
              </w:rPr>
            </w:pPr>
            <w:r>
              <w:rPr>
                <w:rFonts w:ascii="Arial" w:cs="Arial" w:eastAsia="Arial" w:hAnsi="Arial"/>
                <w:sz w:val="13"/>
                <w:szCs w:val="13"/>
                <w:color w:val="auto"/>
              </w:rPr>
              <w:t>1,215,500</w:t>
            </w:r>
          </w:p>
        </w:tc>
        <w:tc>
          <w:tcPr>
            <w:tcW w:w="1500" w:type="dxa"/>
            <w:vAlign w:val="bottom"/>
            <w:vMerge w:val="restart"/>
          </w:tcPr>
          <w:p>
            <w:pPr>
              <w:jc w:val="right"/>
              <w:ind w:right="355"/>
              <w:spacing w:after="0"/>
              <w:rPr>
                <w:sz w:val="20"/>
                <w:szCs w:val="20"/>
                <w:color w:val="auto"/>
              </w:rPr>
            </w:pPr>
            <w:r>
              <w:rPr>
                <w:rFonts w:ascii="Arial" w:cs="Arial" w:eastAsia="Arial" w:hAnsi="Arial"/>
                <w:sz w:val="13"/>
                <w:szCs w:val="13"/>
                <w:color w:val="auto"/>
              </w:rPr>
              <w:t>1,928,690</w:t>
            </w:r>
          </w:p>
        </w:tc>
        <w:tc>
          <w:tcPr>
            <w:tcW w:w="1440" w:type="dxa"/>
            <w:vAlign w:val="bottom"/>
            <w:vMerge w:val="restart"/>
          </w:tcPr>
          <w:p>
            <w:pPr>
              <w:jc w:val="right"/>
              <w:ind w:right="374"/>
              <w:spacing w:after="0"/>
              <w:rPr>
                <w:sz w:val="20"/>
                <w:szCs w:val="20"/>
                <w:color w:val="auto"/>
              </w:rPr>
            </w:pPr>
            <w:r>
              <w:rPr>
                <w:rFonts w:ascii="Arial" w:cs="Arial" w:eastAsia="Arial" w:hAnsi="Arial"/>
                <w:sz w:val="13"/>
                <w:szCs w:val="13"/>
                <w:color w:val="auto"/>
              </w:rPr>
              <w:t>21,147</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8,990,307</w:t>
            </w:r>
          </w:p>
        </w:tc>
        <w:tc>
          <w:tcPr>
            <w:tcW w:w="880" w:type="dxa"/>
            <w:vAlign w:val="bottom"/>
            <w:gridSpan w:val="3"/>
            <w:vMerge w:val="restart"/>
          </w:tcPr>
          <w:p>
            <w:pPr>
              <w:jc w:val="right"/>
              <w:spacing w:after="0"/>
              <w:rPr>
                <w:sz w:val="20"/>
                <w:szCs w:val="20"/>
                <w:color w:val="auto"/>
              </w:rPr>
            </w:pPr>
            <w:r>
              <w:rPr>
                <w:rFonts w:ascii="Arial" w:cs="Arial" w:eastAsia="Arial" w:hAnsi="Arial"/>
                <w:sz w:val="13"/>
                <w:szCs w:val="13"/>
                <w:color w:val="auto"/>
              </w:rPr>
              <w:t>7,061,61</w:t>
            </w:r>
          </w:p>
        </w:tc>
        <w:tc>
          <w:tcPr>
            <w:tcW w:w="0" w:type="dxa"/>
            <w:vAlign w:val="bottom"/>
          </w:tcPr>
          <w:p>
            <w:pPr>
              <w:spacing w:after="0"/>
              <w:rPr>
                <w:sz w:val="1"/>
                <w:szCs w:val="1"/>
                <w:color w:val="auto"/>
              </w:rPr>
            </w:pPr>
          </w:p>
        </w:tc>
      </w:tr>
      <w:tr>
        <w:trPr>
          <w:trHeight w:val="160"/>
        </w:trPr>
        <w:tc>
          <w:tcPr>
            <w:tcW w:w="1400" w:type="dxa"/>
            <w:vAlign w:val="bottom"/>
          </w:tcPr>
          <w:p>
            <w:pPr>
              <w:ind w:left="80"/>
              <w:spacing w:after="0"/>
              <w:rPr>
                <w:sz w:val="20"/>
                <w:szCs w:val="20"/>
                <w:color w:val="auto"/>
              </w:rPr>
            </w:pPr>
            <w:r>
              <w:rPr>
                <w:rFonts w:ascii="Arial" w:cs="Arial" w:eastAsia="Arial" w:hAnsi="Arial"/>
                <w:sz w:val="13"/>
                <w:szCs w:val="13"/>
                <w:color w:val="auto"/>
              </w:rPr>
              <w:t>and President of E&amp;P</w:t>
            </w:r>
          </w:p>
        </w:tc>
        <w:tc>
          <w:tcPr>
            <w:tcW w:w="500" w:type="dxa"/>
            <w:vAlign w:val="bottom"/>
            <w:gridSpan w:val="2"/>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400" w:type="dxa"/>
            <w:vAlign w:val="bottom"/>
            <w:shd w:val="clear" w:color="auto" w:fill="E5E5E5"/>
          </w:tcPr>
          <w:p>
            <w:pPr>
              <w:ind w:left="80"/>
              <w:spacing w:after="0"/>
              <w:rPr>
                <w:sz w:val="20"/>
                <w:szCs w:val="20"/>
                <w:color w:val="auto"/>
              </w:rPr>
            </w:pPr>
            <w:r>
              <w:rPr>
                <w:rFonts w:ascii="Arial" w:cs="Arial" w:eastAsia="Arial" w:hAnsi="Arial"/>
                <w:sz w:val="13"/>
                <w:szCs w:val="13"/>
                <w:b w:val="1"/>
                <w:bCs w:val="1"/>
                <w:color w:val="007549"/>
              </w:rPr>
              <w:t>Goodell, Timothy B</w:t>
            </w:r>
          </w:p>
        </w:tc>
        <w:tc>
          <w:tcPr>
            <w:tcW w:w="500" w:type="dxa"/>
            <w:vAlign w:val="bottom"/>
            <w:gridSpan w:val="2"/>
            <w:shd w:val="clear" w:color="auto" w:fill="E5E5E5"/>
          </w:tcPr>
          <w:p>
            <w:pPr>
              <w:ind w:left="140"/>
              <w:spacing w:after="0"/>
              <w:rPr>
                <w:sz w:val="20"/>
                <w:szCs w:val="20"/>
                <w:color w:val="auto"/>
              </w:rPr>
            </w:pPr>
            <w:r>
              <w:rPr>
                <w:rFonts w:ascii="Arial" w:cs="Arial" w:eastAsia="Arial" w:hAnsi="Arial"/>
                <w:sz w:val="13"/>
                <w:szCs w:val="13"/>
                <w:color w:val="auto"/>
              </w:rPr>
              <w:t>2017</w:t>
            </w:r>
          </w:p>
        </w:tc>
        <w:tc>
          <w:tcPr>
            <w:tcW w:w="760" w:type="dxa"/>
            <w:vAlign w:val="bottom"/>
            <w:shd w:val="clear" w:color="auto" w:fill="E5E5E5"/>
          </w:tcPr>
          <w:p>
            <w:pPr>
              <w:jc w:val="right"/>
              <w:ind w:right="14"/>
              <w:spacing w:after="0"/>
              <w:rPr>
                <w:sz w:val="20"/>
                <w:szCs w:val="20"/>
                <w:color w:val="auto"/>
              </w:rPr>
            </w:pPr>
            <w:r>
              <w:rPr>
                <w:rFonts w:ascii="Arial" w:cs="Arial" w:eastAsia="Arial" w:hAnsi="Arial"/>
                <w:sz w:val="13"/>
                <w:szCs w:val="13"/>
                <w:color w:val="auto"/>
              </w:rPr>
              <w:t>750,000</w:t>
            </w:r>
          </w:p>
        </w:tc>
        <w:tc>
          <w:tcPr>
            <w:tcW w:w="740" w:type="dxa"/>
            <w:vAlign w:val="bottom"/>
            <w:shd w:val="clear" w:color="auto" w:fill="E5E5E5"/>
          </w:tcPr>
          <w:p>
            <w:pPr>
              <w:ind w:left="280"/>
              <w:spacing w:after="0"/>
              <w:rPr>
                <w:sz w:val="20"/>
                <w:szCs w:val="20"/>
                <w:color w:val="auto"/>
              </w:rPr>
            </w:pPr>
            <w:r>
              <w:rPr>
                <w:rFonts w:ascii="Arial" w:cs="Arial" w:eastAsia="Arial" w:hAnsi="Arial"/>
                <w:sz w:val="13"/>
                <w:szCs w:val="13"/>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1,599,999</w:t>
            </w:r>
          </w:p>
        </w:tc>
        <w:tc>
          <w:tcPr>
            <w:tcW w:w="860" w:type="dxa"/>
            <w:vAlign w:val="bottom"/>
            <w:shd w:val="clear" w:color="auto" w:fill="E5E5E5"/>
          </w:tcPr>
          <w:p>
            <w:pPr>
              <w:jc w:val="right"/>
              <w:ind w:right="114"/>
              <w:spacing w:after="0"/>
              <w:rPr>
                <w:sz w:val="20"/>
                <w:szCs w:val="20"/>
                <w:color w:val="auto"/>
              </w:rPr>
            </w:pPr>
            <w:r>
              <w:rPr>
                <w:rFonts w:ascii="Arial" w:cs="Arial" w:eastAsia="Arial" w:hAnsi="Arial"/>
                <w:sz w:val="13"/>
                <w:szCs w:val="13"/>
                <w:color w:val="auto"/>
              </w:rPr>
              <w:t>399,997</w:t>
            </w:r>
          </w:p>
        </w:tc>
        <w:tc>
          <w:tcPr>
            <w:tcW w:w="1520" w:type="dxa"/>
            <w:vAlign w:val="bottom"/>
            <w:shd w:val="clear" w:color="auto" w:fill="E5E5E5"/>
          </w:tcPr>
          <w:p>
            <w:pPr>
              <w:jc w:val="right"/>
              <w:ind w:right="455"/>
              <w:spacing w:after="0"/>
              <w:rPr>
                <w:sz w:val="20"/>
                <w:szCs w:val="20"/>
                <w:color w:val="auto"/>
              </w:rPr>
            </w:pPr>
            <w:r>
              <w:rPr>
                <w:rFonts w:ascii="Arial" w:cs="Arial" w:eastAsia="Arial" w:hAnsi="Arial"/>
                <w:sz w:val="13"/>
                <w:szCs w:val="13"/>
                <w:color w:val="auto"/>
              </w:rPr>
              <w:t>837,900</w:t>
            </w:r>
          </w:p>
        </w:tc>
        <w:tc>
          <w:tcPr>
            <w:tcW w:w="1500" w:type="dxa"/>
            <w:vAlign w:val="bottom"/>
            <w:shd w:val="clear" w:color="auto" w:fill="E5E5E5"/>
          </w:tcPr>
          <w:p>
            <w:pPr>
              <w:jc w:val="right"/>
              <w:ind w:right="355"/>
              <w:spacing w:after="0"/>
              <w:rPr>
                <w:sz w:val="20"/>
                <w:szCs w:val="20"/>
                <w:color w:val="auto"/>
              </w:rPr>
            </w:pPr>
            <w:r>
              <w:rPr>
                <w:rFonts w:ascii="Arial" w:cs="Arial" w:eastAsia="Arial" w:hAnsi="Arial"/>
                <w:sz w:val="13"/>
                <w:szCs w:val="13"/>
                <w:color w:val="auto"/>
              </w:rPr>
              <w:t>660,228</w:t>
            </w:r>
          </w:p>
        </w:tc>
        <w:tc>
          <w:tcPr>
            <w:tcW w:w="1440" w:type="dxa"/>
            <w:vAlign w:val="bottom"/>
            <w:shd w:val="clear" w:color="auto" w:fill="E5E5E5"/>
          </w:tcPr>
          <w:p>
            <w:pPr>
              <w:jc w:val="right"/>
              <w:ind w:right="374"/>
              <w:spacing w:after="0"/>
              <w:rPr>
                <w:sz w:val="20"/>
                <w:szCs w:val="20"/>
                <w:color w:val="auto"/>
              </w:rPr>
            </w:pPr>
            <w:r>
              <w:rPr>
                <w:rFonts w:ascii="Arial" w:cs="Arial" w:eastAsia="Arial" w:hAnsi="Arial"/>
                <w:sz w:val="13"/>
                <w:szCs w:val="13"/>
                <w:color w:val="auto"/>
              </w:rPr>
              <w:t>21,546</w:t>
            </w:r>
          </w:p>
        </w:tc>
        <w:tc>
          <w:tcPr>
            <w:tcW w:w="8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4,269,670</w:t>
            </w:r>
          </w:p>
        </w:tc>
        <w:tc>
          <w:tcPr>
            <w:tcW w:w="80" w:type="dxa"/>
            <w:vAlign w:val="bottom"/>
          </w:tcPr>
          <w:p>
            <w:pPr>
              <w:spacing w:after="0"/>
              <w:rPr>
                <w:sz w:val="16"/>
                <w:szCs w:val="16"/>
                <w:color w:val="auto"/>
              </w:rPr>
            </w:pPr>
          </w:p>
        </w:tc>
        <w:tc>
          <w:tcPr>
            <w:tcW w:w="800" w:type="dxa"/>
            <w:vAlign w:val="bottom"/>
            <w:gridSpan w:val="2"/>
            <w:shd w:val="clear" w:color="auto" w:fill="E5E5E5"/>
          </w:tcPr>
          <w:p>
            <w:pPr>
              <w:jc w:val="right"/>
              <w:spacing w:after="0"/>
              <w:rPr>
                <w:sz w:val="20"/>
                <w:szCs w:val="20"/>
                <w:color w:val="auto"/>
              </w:rPr>
            </w:pPr>
            <w:r>
              <w:rPr>
                <w:rFonts w:ascii="Arial" w:cs="Arial" w:eastAsia="Arial" w:hAnsi="Arial"/>
                <w:sz w:val="13"/>
                <w:szCs w:val="13"/>
                <w:color w:val="auto"/>
                <w:shd w:val="clear" w:color="auto" w:fill="E5E5E5"/>
              </w:rPr>
              <w:t>3,609,44</w:t>
            </w:r>
          </w:p>
        </w:tc>
        <w:tc>
          <w:tcPr>
            <w:tcW w:w="0" w:type="dxa"/>
            <w:vAlign w:val="bottom"/>
          </w:tcPr>
          <w:p>
            <w:pPr>
              <w:spacing w:after="0"/>
              <w:rPr>
                <w:sz w:val="1"/>
                <w:szCs w:val="1"/>
                <w:color w:val="auto"/>
              </w:rPr>
            </w:pPr>
          </w:p>
        </w:tc>
      </w:tr>
      <w:tr>
        <w:trPr>
          <w:trHeight w:val="147"/>
        </w:trPr>
        <w:tc>
          <w:tcPr>
            <w:tcW w:w="1400" w:type="dxa"/>
            <w:vAlign w:val="bottom"/>
            <w:shd w:val="clear" w:color="auto" w:fill="E5E5E5"/>
          </w:tcPr>
          <w:p>
            <w:pPr>
              <w:ind w:left="80"/>
              <w:spacing w:after="0" w:line="148" w:lineRule="exact"/>
              <w:rPr>
                <w:sz w:val="20"/>
                <w:szCs w:val="20"/>
                <w:color w:val="auto"/>
              </w:rPr>
            </w:pPr>
            <w:r>
              <w:rPr>
                <w:rFonts w:ascii="Arial" w:cs="Arial" w:eastAsia="Arial" w:hAnsi="Arial"/>
                <w:sz w:val="13"/>
                <w:szCs w:val="13"/>
                <w:color w:val="auto"/>
              </w:rPr>
              <w:t>Senior Vice President,</w:t>
            </w:r>
          </w:p>
        </w:tc>
        <w:tc>
          <w:tcPr>
            <w:tcW w:w="80" w:type="dxa"/>
            <w:vAlign w:val="bottom"/>
            <w:shd w:val="clear" w:color="auto" w:fill="E5E5E5"/>
          </w:tcPr>
          <w:p>
            <w:pPr>
              <w:spacing w:after="0"/>
              <w:rPr>
                <w:sz w:val="12"/>
                <w:szCs w:val="12"/>
                <w:color w:val="auto"/>
              </w:rPr>
            </w:pPr>
          </w:p>
        </w:tc>
        <w:tc>
          <w:tcPr>
            <w:tcW w:w="420" w:type="dxa"/>
            <w:vAlign w:val="bottom"/>
            <w:shd w:val="clear" w:color="auto" w:fill="E5E5E5"/>
          </w:tcPr>
          <w:p>
            <w:pPr>
              <w:ind w:left="60"/>
              <w:spacing w:after="0" w:line="148" w:lineRule="exact"/>
              <w:rPr>
                <w:sz w:val="20"/>
                <w:szCs w:val="20"/>
                <w:color w:val="auto"/>
              </w:rPr>
            </w:pPr>
            <w:r>
              <w:rPr>
                <w:rFonts w:ascii="Arial" w:cs="Arial" w:eastAsia="Arial" w:hAnsi="Arial"/>
                <w:sz w:val="13"/>
                <w:szCs w:val="13"/>
                <w:color w:val="auto"/>
              </w:rPr>
              <w:t>2016</w:t>
            </w:r>
          </w:p>
        </w:tc>
        <w:tc>
          <w:tcPr>
            <w:tcW w:w="760" w:type="dxa"/>
            <w:vAlign w:val="bottom"/>
            <w:shd w:val="clear" w:color="auto" w:fill="E5E5E5"/>
          </w:tcPr>
          <w:p>
            <w:pPr>
              <w:jc w:val="right"/>
              <w:ind w:right="14"/>
              <w:spacing w:after="0" w:line="148" w:lineRule="exact"/>
              <w:rPr>
                <w:sz w:val="20"/>
                <w:szCs w:val="20"/>
                <w:color w:val="auto"/>
              </w:rPr>
            </w:pPr>
            <w:r>
              <w:rPr>
                <w:rFonts w:ascii="Arial" w:cs="Arial" w:eastAsia="Arial" w:hAnsi="Arial"/>
                <w:sz w:val="13"/>
                <w:szCs w:val="13"/>
                <w:color w:val="auto"/>
              </w:rPr>
              <w:t>750,000</w:t>
            </w:r>
          </w:p>
        </w:tc>
        <w:tc>
          <w:tcPr>
            <w:tcW w:w="740" w:type="dxa"/>
            <w:vAlign w:val="bottom"/>
            <w:shd w:val="clear" w:color="auto" w:fill="E5E5E5"/>
          </w:tcPr>
          <w:p>
            <w:pPr>
              <w:ind w:left="280"/>
              <w:spacing w:after="0" w:line="148" w:lineRule="exact"/>
              <w:rPr>
                <w:sz w:val="20"/>
                <w:szCs w:val="20"/>
                <w:color w:val="auto"/>
              </w:rPr>
            </w:pPr>
            <w:r>
              <w:rPr>
                <w:rFonts w:ascii="Arial" w:cs="Arial" w:eastAsia="Arial" w:hAnsi="Arial"/>
                <w:sz w:val="13"/>
                <w:szCs w:val="13"/>
                <w:color w:val="auto"/>
              </w:rPr>
              <w:t>—</w:t>
            </w:r>
          </w:p>
        </w:tc>
        <w:tc>
          <w:tcPr>
            <w:tcW w:w="780" w:type="dxa"/>
            <w:vAlign w:val="bottom"/>
            <w:shd w:val="clear" w:color="auto" w:fill="E5E5E5"/>
          </w:tcPr>
          <w:p>
            <w:pPr>
              <w:jc w:val="right"/>
              <w:spacing w:after="0" w:line="148" w:lineRule="exact"/>
              <w:rPr>
                <w:sz w:val="20"/>
                <w:szCs w:val="20"/>
                <w:color w:val="auto"/>
              </w:rPr>
            </w:pPr>
            <w:r>
              <w:rPr>
                <w:rFonts w:ascii="Arial" w:cs="Arial" w:eastAsia="Arial" w:hAnsi="Arial"/>
                <w:sz w:val="13"/>
                <w:szCs w:val="13"/>
                <w:color w:val="auto"/>
              </w:rPr>
              <w:t>1,359,989</w:t>
            </w:r>
          </w:p>
        </w:tc>
        <w:tc>
          <w:tcPr>
            <w:tcW w:w="860" w:type="dxa"/>
            <w:vAlign w:val="bottom"/>
            <w:shd w:val="clear" w:color="auto" w:fill="E5E5E5"/>
          </w:tcPr>
          <w:p>
            <w:pPr>
              <w:jc w:val="right"/>
              <w:ind w:right="114"/>
              <w:spacing w:after="0" w:line="148" w:lineRule="exact"/>
              <w:rPr>
                <w:sz w:val="20"/>
                <w:szCs w:val="20"/>
                <w:color w:val="auto"/>
              </w:rPr>
            </w:pPr>
            <w:r>
              <w:rPr>
                <w:rFonts w:ascii="Arial" w:cs="Arial" w:eastAsia="Arial" w:hAnsi="Arial"/>
                <w:sz w:val="13"/>
                <w:szCs w:val="13"/>
                <w:color w:val="auto"/>
              </w:rPr>
              <w:t>340,002</w:t>
            </w:r>
          </w:p>
        </w:tc>
        <w:tc>
          <w:tcPr>
            <w:tcW w:w="1520" w:type="dxa"/>
            <w:vAlign w:val="bottom"/>
            <w:shd w:val="clear" w:color="auto" w:fill="E5E5E5"/>
          </w:tcPr>
          <w:p>
            <w:pPr>
              <w:jc w:val="right"/>
              <w:ind w:right="455"/>
              <w:spacing w:after="0" w:line="148" w:lineRule="exact"/>
              <w:rPr>
                <w:sz w:val="20"/>
                <w:szCs w:val="20"/>
                <w:color w:val="auto"/>
              </w:rPr>
            </w:pPr>
            <w:r>
              <w:rPr>
                <w:rFonts w:ascii="Arial" w:cs="Arial" w:eastAsia="Arial" w:hAnsi="Arial"/>
                <w:sz w:val="13"/>
                <w:szCs w:val="13"/>
                <w:color w:val="auto"/>
              </w:rPr>
              <w:t>654,500</w:t>
            </w:r>
          </w:p>
        </w:tc>
        <w:tc>
          <w:tcPr>
            <w:tcW w:w="1500" w:type="dxa"/>
            <w:vAlign w:val="bottom"/>
            <w:shd w:val="clear" w:color="auto" w:fill="E5E5E5"/>
          </w:tcPr>
          <w:p>
            <w:pPr>
              <w:jc w:val="right"/>
              <w:ind w:right="355"/>
              <w:spacing w:after="0" w:line="148" w:lineRule="exact"/>
              <w:rPr>
                <w:sz w:val="20"/>
                <w:szCs w:val="20"/>
                <w:color w:val="auto"/>
              </w:rPr>
            </w:pPr>
            <w:r>
              <w:rPr>
                <w:rFonts w:ascii="Arial" w:cs="Arial" w:eastAsia="Arial" w:hAnsi="Arial"/>
                <w:sz w:val="13"/>
                <w:szCs w:val="13"/>
                <w:color w:val="auto"/>
              </w:rPr>
              <w:t>477,910</w:t>
            </w:r>
          </w:p>
        </w:tc>
        <w:tc>
          <w:tcPr>
            <w:tcW w:w="1440" w:type="dxa"/>
            <w:vAlign w:val="bottom"/>
            <w:shd w:val="clear" w:color="auto" w:fill="E5E5E5"/>
          </w:tcPr>
          <w:p>
            <w:pPr>
              <w:jc w:val="right"/>
              <w:ind w:right="374"/>
              <w:spacing w:after="0" w:line="148" w:lineRule="exact"/>
              <w:rPr>
                <w:sz w:val="20"/>
                <w:szCs w:val="20"/>
                <w:color w:val="auto"/>
              </w:rPr>
            </w:pPr>
            <w:r>
              <w:rPr>
                <w:rFonts w:ascii="Arial" w:cs="Arial" w:eastAsia="Arial" w:hAnsi="Arial"/>
                <w:sz w:val="13"/>
                <w:szCs w:val="13"/>
                <w:color w:val="auto"/>
              </w:rPr>
              <w:t>21,546</w:t>
            </w:r>
          </w:p>
        </w:tc>
        <w:tc>
          <w:tcPr>
            <w:tcW w:w="860" w:type="dxa"/>
            <w:vAlign w:val="bottom"/>
            <w:shd w:val="clear" w:color="auto" w:fill="E5E5E5"/>
          </w:tcPr>
          <w:p>
            <w:pPr>
              <w:jc w:val="right"/>
              <w:spacing w:after="0" w:line="148" w:lineRule="exact"/>
              <w:rPr>
                <w:sz w:val="20"/>
                <w:szCs w:val="20"/>
                <w:color w:val="auto"/>
              </w:rPr>
            </w:pPr>
            <w:r>
              <w:rPr>
                <w:rFonts w:ascii="Arial" w:cs="Arial" w:eastAsia="Arial" w:hAnsi="Arial"/>
                <w:sz w:val="13"/>
                <w:szCs w:val="13"/>
                <w:color w:val="auto"/>
              </w:rPr>
              <w:t>3,603,947</w:t>
            </w:r>
          </w:p>
        </w:tc>
        <w:tc>
          <w:tcPr>
            <w:tcW w:w="80" w:type="dxa"/>
            <w:vAlign w:val="bottom"/>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40" w:type="dxa"/>
            <w:vAlign w:val="bottom"/>
            <w:shd w:val="clear" w:color="auto" w:fill="E5E5E5"/>
          </w:tcPr>
          <w:p>
            <w:pPr>
              <w:jc w:val="right"/>
              <w:spacing w:after="0" w:line="148" w:lineRule="exact"/>
              <w:rPr>
                <w:sz w:val="20"/>
                <w:szCs w:val="20"/>
                <w:color w:val="auto"/>
              </w:rPr>
            </w:pPr>
            <w:r>
              <w:rPr>
                <w:rFonts w:ascii="Arial" w:cs="Arial" w:eastAsia="Arial" w:hAnsi="Arial"/>
                <w:sz w:val="13"/>
                <w:szCs w:val="13"/>
                <w:color w:val="auto"/>
                <w:shd w:val="clear" w:color="auto" w:fill="E5E5E5"/>
              </w:rPr>
              <w:t>3,126,03</w:t>
            </w:r>
          </w:p>
        </w:tc>
        <w:tc>
          <w:tcPr>
            <w:tcW w:w="0" w:type="dxa"/>
            <w:vAlign w:val="bottom"/>
          </w:tcPr>
          <w:p>
            <w:pPr>
              <w:spacing w:after="0"/>
              <w:rPr>
                <w:sz w:val="1"/>
                <w:szCs w:val="1"/>
                <w:color w:val="auto"/>
              </w:rPr>
            </w:pPr>
          </w:p>
        </w:tc>
      </w:tr>
      <w:tr>
        <w:trPr>
          <w:trHeight w:val="146"/>
        </w:trPr>
        <w:tc>
          <w:tcPr>
            <w:tcW w:w="1400" w:type="dxa"/>
            <w:vAlign w:val="bottom"/>
            <w:shd w:val="clear" w:color="auto" w:fill="E5E5E5"/>
          </w:tcPr>
          <w:p>
            <w:pPr>
              <w:ind w:left="80"/>
              <w:spacing w:after="0" w:line="146" w:lineRule="exact"/>
              <w:rPr>
                <w:sz w:val="20"/>
                <w:szCs w:val="20"/>
                <w:color w:val="auto"/>
              </w:rPr>
            </w:pPr>
            <w:r>
              <w:rPr>
                <w:rFonts w:ascii="Arial" w:cs="Arial" w:eastAsia="Arial" w:hAnsi="Arial"/>
                <w:sz w:val="13"/>
                <w:szCs w:val="13"/>
                <w:color w:val="auto"/>
              </w:rPr>
              <w:t>General Counsel &amp;</w:t>
            </w:r>
          </w:p>
        </w:tc>
        <w:tc>
          <w:tcPr>
            <w:tcW w:w="80" w:type="dxa"/>
            <w:vAlign w:val="bottom"/>
            <w:shd w:val="clear" w:color="auto" w:fill="E5E5E5"/>
          </w:tcPr>
          <w:p>
            <w:pPr>
              <w:spacing w:after="0"/>
              <w:rPr>
                <w:sz w:val="12"/>
                <w:szCs w:val="12"/>
                <w:color w:val="auto"/>
              </w:rPr>
            </w:pPr>
          </w:p>
        </w:tc>
        <w:tc>
          <w:tcPr>
            <w:tcW w:w="420" w:type="dxa"/>
            <w:vAlign w:val="bottom"/>
            <w:vMerge w:val="restart"/>
            <w:shd w:val="clear" w:color="auto" w:fill="E5E5E5"/>
          </w:tcPr>
          <w:p>
            <w:pPr>
              <w:ind w:left="60"/>
              <w:spacing w:after="0"/>
              <w:rPr>
                <w:sz w:val="20"/>
                <w:szCs w:val="20"/>
                <w:color w:val="auto"/>
              </w:rPr>
            </w:pPr>
            <w:r>
              <w:rPr>
                <w:rFonts w:ascii="Arial" w:cs="Arial" w:eastAsia="Arial" w:hAnsi="Arial"/>
                <w:sz w:val="13"/>
                <w:szCs w:val="13"/>
                <w:color w:val="auto"/>
              </w:rPr>
              <w:t>2015</w:t>
            </w:r>
          </w:p>
        </w:tc>
        <w:tc>
          <w:tcPr>
            <w:tcW w:w="760" w:type="dxa"/>
            <w:vAlign w:val="bottom"/>
            <w:vMerge w:val="restart"/>
            <w:shd w:val="clear" w:color="auto" w:fill="E5E5E5"/>
          </w:tcPr>
          <w:p>
            <w:pPr>
              <w:jc w:val="right"/>
              <w:ind w:right="14"/>
              <w:spacing w:after="0"/>
              <w:rPr>
                <w:sz w:val="20"/>
                <w:szCs w:val="20"/>
                <w:color w:val="auto"/>
              </w:rPr>
            </w:pPr>
            <w:r>
              <w:rPr>
                <w:rFonts w:ascii="Arial" w:cs="Arial" w:eastAsia="Arial" w:hAnsi="Arial"/>
                <w:sz w:val="13"/>
                <w:szCs w:val="13"/>
                <w:color w:val="auto"/>
              </w:rPr>
              <w:t>750,000</w:t>
            </w:r>
          </w:p>
        </w:tc>
        <w:tc>
          <w:tcPr>
            <w:tcW w:w="740" w:type="dxa"/>
            <w:vAlign w:val="bottom"/>
            <w:vMerge w:val="restart"/>
            <w:shd w:val="clear" w:color="auto" w:fill="E5E5E5"/>
          </w:tcPr>
          <w:p>
            <w:pPr>
              <w:ind w:left="280"/>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1,600,040</w:t>
            </w:r>
          </w:p>
        </w:tc>
        <w:tc>
          <w:tcPr>
            <w:tcW w:w="860" w:type="dxa"/>
            <w:vAlign w:val="bottom"/>
            <w:vMerge w:val="restart"/>
            <w:shd w:val="clear" w:color="auto" w:fill="E5E5E5"/>
          </w:tcPr>
          <w:p>
            <w:pPr>
              <w:jc w:val="right"/>
              <w:ind w:right="114"/>
              <w:spacing w:after="0"/>
              <w:rPr>
                <w:sz w:val="20"/>
                <w:szCs w:val="20"/>
                <w:color w:val="auto"/>
              </w:rPr>
            </w:pPr>
            <w:r>
              <w:rPr>
                <w:rFonts w:ascii="Arial" w:cs="Arial" w:eastAsia="Arial" w:hAnsi="Arial"/>
                <w:sz w:val="13"/>
                <w:szCs w:val="13"/>
                <w:color w:val="auto"/>
              </w:rPr>
              <w:t>400,008</w:t>
            </w:r>
          </w:p>
        </w:tc>
        <w:tc>
          <w:tcPr>
            <w:tcW w:w="1520" w:type="dxa"/>
            <w:vAlign w:val="bottom"/>
            <w:vMerge w:val="restart"/>
            <w:shd w:val="clear" w:color="auto" w:fill="E5E5E5"/>
          </w:tcPr>
          <w:p>
            <w:pPr>
              <w:jc w:val="right"/>
              <w:ind w:right="455"/>
              <w:spacing w:after="0"/>
              <w:rPr>
                <w:sz w:val="20"/>
                <w:szCs w:val="20"/>
                <w:color w:val="auto"/>
              </w:rPr>
            </w:pPr>
            <w:r>
              <w:rPr>
                <w:rFonts w:ascii="Arial" w:cs="Arial" w:eastAsia="Arial" w:hAnsi="Arial"/>
                <w:sz w:val="13"/>
                <w:szCs w:val="13"/>
                <w:color w:val="auto"/>
              </w:rPr>
              <w:t>595,000</w:t>
            </w:r>
          </w:p>
        </w:tc>
        <w:tc>
          <w:tcPr>
            <w:tcW w:w="1500" w:type="dxa"/>
            <w:vAlign w:val="bottom"/>
            <w:vMerge w:val="restart"/>
            <w:shd w:val="clear" w:color="auto" w:fill="E5E5E5"/>
          </w:tcPr>
          <w:p>
            <w:pPr>
              <w:jc w:val="right"/>
              <w:ind w:right="355"/>
              <w:spacing w:after="0"/>
              <w:rPr>
                <w:sz w:val="20"/>
                <w:szCs w:val="20"/>
                <w:color w:val="auto"/>
              </w:rPr>
            </w:pPr>
            <w:r>
              <w:rPr>
                <w:rFonts w:ascii="Arial" w:cs="Arial" w:eastAsia="Arial" w:hAnsi="Arial"/>
                <w:sz w:val="13"/>
                <w:szCs w:val="13"/>
                <w:color w:val="auto"/>
              </w:rPr>
              <w:t>460,055</w:t>
            </w:r>
          </w:p>
        </w:tc>
        <w:tc>
          <w:tcPr>
            <w:tcW w:w="1440" w:type="dxa"/>
            <w:vAlign w:val="bottom"/>
            <w:vMerge w:val="restart"/>
            <w:shd w:val="clear" w:color="auto" w:fill="E5E5E5"/>
          </w:tcPr>
          <w:p>
            <w:pPr>
              <w:jc w:val="right"/>
              <w:ind w:right="374"/>
              <w:spacing w:after="0"/>
              <w:rPr>
                <w:sz w:val="20"/>
                <w:szCs w:val="20"/>
                <w:color w:val="auto"/>
              </w:rPr>
            </w:pPr>
            <w:r>
              <w:rPr>
                <w:rFonts w:ascii="Arial" w:cs="Arial" w:eastAsia="Arial" w:hAnsi="Arial"/>
                <w:sz w:val="13"/>
                <w:szCs w:val="13"/>
                <w:color w:val="auto"/>
              </w:rPr>
              <w:t>21,147</w:t>
            </w:r>
          </w:p>
        </w:tc>
        <w:tc>
          <w:tcPr>
            <w:tcW w:w="86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3,826,250</w:t>
            </w:r>
          </w:p>
        </w:tc>
        <w:tc>
          <w:tcPr>
            <w:tcW w:w="80" w:type="dxa"/>
            <w:vAlign w:val="bottom"/>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4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3,366,19</w:t>
            </w:r>
          </w:p>
        </w:tc>
        <w:tc>
          <w:tcPr>
            <w:tcW w:w="0" w:type="dxa"/>
            <w:vAlign w:val="bottom"/>
          </w:tcPr>
          <w:p>
            <w:pPr>
              <w:spacing w:after="0"/>
              <w:rPr>
                <w:sz w:val="1"/>
                <w:szCs w:val="1"/>
                <w:color w:val="auto"/>
              </w:rPr>
            </w:pPr>
          </w:p>
        </w:tc>
      </w:tr>
      <w:tr>
        <w:trPr>
          <w:trHeight w:val="67"/>
        </w:trPr>
        <w:tc>
          <w:tcPr>
            <w:tcW w:w="1400" w:type="dxa"/>
            <w:vAlign w:val="bottom"/>
            <w:vMerge w:val="restart"/>
            <w:shd w:val="clear" w:color="auto" w:fill="E5E5E5"/>
          </w:tcPr>
          <w:p>
            <w:pPr>
              <w:ind w:left="80"/>
              <w:spacing w:after="0"/>
              <w:rPr>
                <w:sz w:val="20"/>
                <w:szCs w:val="20"/>
                <w:color w:val="auto"/>
              </w:rPr>
            </w:pPr>
            <w:r>
              <w:rPr>
                <w:rFonts w:ascii="Arial" w:cs="Arial" w:eastAsia="Arial" w:hAnsi="Arial"/>
                <w:sz w:val="13"/>
                <w:szCs w:val="13"/>
                <w:color w:val="auto"/>
              </w:rPr>
              <w:t>Corporate Secretary</w:t>
            </w:r>
          </w:p>
        </w:tc>
        <w:tc>
          <w:tcPr>
            <w:tcW w:w="80" w:type="dxa"/>
            <w:vAlign w:val="bottom"/>
            <w:shd w:val="clear" w:color="auto" w:fill="E5E5E5"/>
          </w:tcPr>
          <w:p>
            <w:pPr>
              <w:spacing w:after="0"/>
              <w:rPr>
                <w:sz w:val="5"/>
                <w:szCs w:val="5"/>
                <w:color w:val="auto"/>
              </w:rPr>
            </w:pPr>
          </w:p>
        </w:tc>
        <w:tc>
          <w:tcPr>
            <w:tcW w:w="420" w:type="dxa"/>
            <w:vAlign w:val="bottom"/>
            <w:vMerge w:val="continue"/>
            <w:shd w:val="clear" w:color="auto" w:fill="E5E5E5"/>
          </w:tcPr>
          <w:p>
            <w:pPr>
              <w:spacing w:after="0"/>
              <w:rPr>
                <w:sz w:val="5"/>
                <w:szCs w:val="5"/>
                <w:color w:val="auto"/>
              </w:rPr>
            </w:pPr>
          </w:p>
        </w:tc>
        <w:tc>
          <w:tcPr>
            <w:tcW w:w="760" w:type="dxa"/>
            <w:vAlign w:val="bottom"/>
            <w:vMerge w:val="continue"/>
            <w:shd w:val="clear" w:color="auto" w:fill="E5E5E5"/>
          </w:tcPr>
          <w:p>
            <w:pPr>
              <w:spacing w:after="0"/>
              <w:rPr>
                <w:sz w:val="5"/>
                <w:szCs w:val="5"/>
                <w:color w:val="auto"/>
              </w:rPr>
            </w:pPr>
          </w:p>
        </w:tc>
        <w:tc>
          <w:tcPr>
            <w:tcW w:w="740" w:type="dxa"/>
            <w:vAlign w:val="bottom"/>
            <w:vMerge w:val="continue"/>
            <w:shd w:val="clear" w:color="auto" w:fill="E5E5E5"/>
          </w:tcPr>
          <w:p>
            <w:pPr>
              <w:spacing w:after="0"/>
              <w:rPr>
                <w:sz w:val="5"/>
                <w:szCs w:val="5"/>
                <w:color w:val="auto"/>
              </w:rPr>
            </w:pPr>
          </w:p>
        </w:tc>
        <w:tc>
          <w:tcPr>
            <w:tcW w:w="780" w:type="dxa"/>
            <w:vAlign w:val="bottom"/>
            <w:vMerge w:val="continue"/>
            <w:shd w:val="clear" w:color="auto" w:fill="E5E5E5"/>
          </w:tcPr>
          <w:p>
            <w:pPr>
              <w:spacing w:after="0"/>
              <w:rPr>
                <w:sz w:val="5"/>
                <w:szCs w:val="5"/>
                <w:color w:val="auto"/>
              </w:rPr>
            </w:pPr>
          </w:p>
        </w:tc>
        <w:tc>
          <w:tcPr>
            <w:tcW w:w="860" w:type="dxa"/>
            <w:vAlign w:val="bottom"/>
            <w:vMerge w:val="continue"/>
            <w:shd w:val="clear" w:color="auto" w:fill="E5E5E5"/>
          </w:tcPr>
          <w:p>
            <w:pPr>
              <w:spacing w:after="0"/>
              <w:rPr>
                <w:sz w:val="5"/>
                <w:szCs w:val="5"/>
                <w:color w:val="auto"/>
              </w:rPr>
            </w:pPr>
          </w:p>
        </w:tc>
        <w:tc>
          <w:tcPr>
            <w:tcW w:w="1520" w:type="dxa"/>
            <w:vAlign w:val="bottom"/>
            <w:vMerge w:val="continue"/>
            <w:shd w:val="clear" w:color="auto" w:fill="E5E5E5"/>
          </w:tcPr>
          <w:p>
            <w:pPr>
              <w:spacing w:after="0"/>
              <w:rPr>
                <w:sz w:val="5"/>
                <w:szCs w:val="5"/>
                <w:color w:val="auto"/>
              </w:rPr>
            </w:pPr>
          </w:p>
        </w:tc>
        <w:tc>
          <w:tcPr>
            <w:tcW w:w="1500" w:type="dxa"/>
            <w:vAlign w:val="bottom"/>
            <w:vMerge w:val="continue"/>
            <w:shd w:val="clear" w:color="auto" w:fill="E5E5E5"/>
          </w:tcPr>
          <w:p>
            <w:pPr>
              <w:spacing w:after="0"/>
              <w:rPr>
                <w:sz w:val="5"/>
                <w:szCs w:val="5"/>
                <w:color w:val="auto"/>
              </w:rPr>
            </w:pPr>
          </w:p>
        </w:tc>
        <w:tc>
          <w:tcPr>
            <w:tcW w:w="1440" w:type="dxa"/>
            <w:vAlign w:val="bottom"/>
            <w:vMerge w:val="continue"/>
            <w:shd w:val="clear" w:color="auto" w:fill="E5E5E5"/>
          </w:tcPr>
          <w:p>
            <w:pPr>
              <w:spacing w:after="0"/>
              <w:rPr>
                <w:sz w:val="5"/>
                <w:szCs w:val="5"/>
                <w:color w:val="auto"/>
              </w:rPr>
            </w:pPr>
          </w:p>
        </w:tc>
        <w:tc>
          <w:tcPr>
            <w:tcW w:w="860" w:type="dxa"/>
            <w:vAlign w:val="bottom"/>
            <w:vMerge w:val="continue"/>
            <w:shd w:val="clear" w:color="auto" w:fill="E5E5E5"/>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shd w:val="clear" w:color="auto" w:fill="E5E5E5"/>
          </w:tcPr>
          <w:p>
            <w:pPr>
              <w:spacing w:after="0"/>
              <w:rPr>
                <w:sz w:val="5"/>
                <w:szCs w:val="5"/>
                <w:color w:val="auto"/>
              </w:rPr>
            </w:pPr>
          </w:p>
        </w:tc>
        <w:tc>
          <w:tcPr>
            <w:tcW w:w="640" w:type="dxa"/>
            <w:vAlign w:val="bottom"/>
            <w:vMerge w:val="continue"/>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1400" w:type="dxa"/>
            <w:vAlign w:val="bottom"/>
            <w:vMerge w:val="continue"/>
            <w:shd w:val="clear" w:color="auto" w:fill="E5E5E5"/>
          </w:tcPr>
          <w:p>
            <w:pPr>
              <w:spacing w:after="0"/>
              <w:rPr>
                <w:sz w:val="8"/>
                <w:szCs w:val="8"/>
                <w:color w:val="auto"/>
              </w:rPr>
            </w:pPr>
          </w:p>
        </w:tc>
        <w:tc>
          <w:tcPr>
            <w:tcW w:w="80" w:type="dxa"/>
            <w:vAlign w:val="bottom"/>
            <w:shd w:val="clear" w:color="auto" w:fill="E5E5E5"/>
          </w:tcPr>
          <w:p>
            <w:pPr>
              <w:spacing w:after="0"/>
              <w:rPr>
                <w:sz w:val="8"/>
                <w:szCs w:val="8"/>
                <w:color w:val="auto"/>
              </w:rPr>
            </w:pPr>
          </w:p>
        </w:tc>
        <w:tc>
          <w:tcPr>
            <w:tcW w:w="420" w:type="dxa"/>
            <w:vAlign w:val="bottom"/>
            <w:shd w:val="clear" w:color="auto" w:fill="E5E5E5"/>
          </w:tcPr>
          <w:p>
            <w:pPr>
              <w:spacing w:after="0"/>
              <w:rPr>
                <w:sz w:val="8"/>
                <w:szCs w:val="8"/>
                <w:color w:val="auto"/>
              </w:rPr>
            </w:pPr>
          </w:p>
        </w:tc>
        <w:tc>
          <w:tcPr>
            <w:tcW w:w="760" w:type="dxa"/>
            <w:vAlign w:val="bottom"/>
            <w:shd w:val="clear" w:color="auto" w:fill="E5E5E5"/>
          </w:tcPr>
          <w:p>
            <w:pPr>
              <w:spacing w:after="0"/>
              <w:rPr>
                <w:sz w:val="8"/>
                <w:szCs w:val="8"/>
                <w:color w:val="auto"/>
              </w:rPr>
            </w:pPr>
          </w:p>
        </w:tc>
        <w:tc>
          <w:tcPr>
            <w:tcW w:w="740" w:type="dxa"/>
            <w:vAlign w:val="bottom"/>
            <w:shd w:val="clear" w:color="auto" w:fill="E5E5E5"/>
          </w:tcPr>
          <w:p>
            <w:pPr>
              <w:spacing w:after="0"/>
              <w:rPr>
                <w:sz w:val="8"/>
                <w:szCs w:val="8"/>
                <w:color w:val="auto"/>
              </w:rPr>
            </w:pPr>
          </w:p>
        </w:tc>
        <w:tc>
          <w:tcPr>
            <w:tcW w:w="780" w:type="dxa"/>
            <w:vAlign w:val="bottom"/>
            <w:shd w:val="clear" w:color="auto" w:fill="E5E5E5"/>
          </w:tcPr>
          <w:p>
            <w:pPr>
              <w:spacing w:after="0"/>
              <w:rPr>
                <w:sz w:val="8"/>
                <w:szCs w:val="8"/>
                <w:color w:val="auto"/>
              </w:rPr>
            </w:pPr>
          </w:p>
        </w:tc>
        <w:tc>
          <w:tcPr>
            <w:tcW w:w="860" w:type="dxa"/>
            <w:vAlign w:val="bottom"/>
            <w:shd w:val="clear" w:color="auto" w:fill="E5E5E5"/>
          </w:tcPr>
          <w:p>
            <w:pPr>
              <w:spacing w:after="0"/>
              <w:rPr>
                <w:sz w:val="8"/>
                <w:szCs w:val="8"/>
                <w:color w:val="auto"/>
              </w:rPr>
            </w:pPr>
          </w:p>
        </w:tc>
        <w:tc>
          <w:tcPr>
            <w:tcW w:w="1520" w:type="dxa"/>
            <w:vAlign w:val="bottom"/>
            <w:shd w:val="clear" w:color="auto" w:fill="E5E5E5"/>
          </w:tcPr>
          <w:p>
            <w:pPr>
              <w:spacing w:after="0"/>
              <w:rPr>
                <w:sz w:val="8"/>
                <w:szCs w:val="8"/>
                <w:color w:val="auto"/>
              </w:rPr>
            </w:pPr>
          </w:p>
        </w:tc>
        <w:tc>
          <w:tcPr>
            <w:tcW w:w="1500" w:type="dxa"/>
            <w:vAlign w:val="bottom"/>
            <w:shd w:val="clear" w:color="auto" w:fill="E5E5E5"/>
          </w:tcPr>
          <w:p>
            <w:pPr>
              <w:spacing w:after="0"/>
              <w:rPr>
                <w:sz w:val="8"/>
                <w:szCs w:val="8"/>
                <w:color w:val="auto"/>
              </w:rPr>
            </w:pPr>
          </w:p>
        </w:tc>
        <w:tc>
          <w:tcPr>
            <w:tcW w:w="1440" w:type="dxa"/>
            <w:vAlign w:val="bottom"/>
            <w:shd w:val="clear" w:color="auto" w:fill="E5E5E5"/>
          </w:tcPr>
          <w:p>
            <w:pPr>
              <w:spacing w:after="0"/>
              <w:rPr>
                <w:sz w:val="8"/>
                <w:szCs w:val="8"/>
                <w:color w:val="auto"/>
              </w:rPr>
            </w:pPr>
          </w:p>
        </w:tc>
        <w:tc>
          <w:tcPr>
            <w:tcW w:w="860" w:type="dxa"/>
            <w:vAlign w:val="bottom"/>
            <w:shd w:val="clear" w:color="auto" w:fill="E5E5E5"/>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shd w:val="clear" w:color="auto" w:fill="E5E5E5"/>
          </w:tcPr>
          <w:p>
            <w:pPr>
              <w:spacing w:after="0"/>
              <w:rPr>
                <w:sz w:val="8"/>
                <w:szCs w:val="8"/>
                <w:color w:val="auto"/>
              </w:rPr>
            </w:pPr>
          </w:p>
        </w:tc>
        <w:tc>
          <w:tcPr>
            <w:tcW w:w="640" w:type="dxa"/>
            <w:vAlign w:val="bottom"/>
            <w:shd w:val="clear" w:color="auto" w:fill="E5E5E5"/>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1400" w:type="dxa"/>
            <w:vAlign w:val="bottom"/>
          </w:tcPr>
          <w:p>
            <w:pPr>
              <w:ind w:left="80"/>
              <w:spacing w:after="0"/>
              <w:rPr>
                <w:sz w:val="20"/>
                <w:szCs w:val="20"/>
                <w:color w:val="auto"/>
              </w:rPr>
            </w:pPr>
            <w:r>
              <w:rPr>
                <w:rFonts w:ascii="Arial" w:cs="Arial" w:eastAsia="Arial" w:hAnsi="Arial"/>
                <w:sz w:val="13"/>
                <w:szCs w:val="13"/>
                <w:b w:val="1"/>
                <w:bCs w:val="1"/>
                <w:color w:val="007549"/>
              </w:rPr>
              <w:t>Rielly, John P</w:t>
            </w:r>
          </w:p>
        </w:tc>
        <w:tc>
          <w:tcPr>
            <w:tcW w:w="500" w:type="dxa"/>
            <w:vAlign w:val="bottom"/>
            <w:gridSpan w:val="2"/>
          </w:tcPr>
          <w:p>
            <w:pPr>
              <w:ind w:left="140"/>
              <w:spacing w:after="0"/>
              <w:rPr>
                <w:sz w:val="20"/>
                <w:szCs w:val="20"/>
                <w:color w:val="auto"/>
              </w:rPr>
            </w:pPr>
            <w:r>
              <w:rPr>
                <w:rFonts w:ascii="Arial" w:cs="Arial" w:eastAsia="Arial" w:hAnsi="Arial"/>
                <w:sz w:val="13"/>
                <w:szCs w:val="13"/>
                <w:color w:val="auto"/>
              </w:rPr>
              <w:t>2017</w:t>
            </w:r>
          </w:p>
        </w:tc>
        <w:tc>
          <w:tcPr>
            <w:tcW w:w="760" w:type="dxa"/>
            <w:vAlign w:val="bottom"/>
          </w:tcPr>
          <w:p>
            <w:pPr>
              <w:jc w:val="right"/>
              <w:ind w:right="14"/>
              <w:spacing w:after="0"/>
              <w:rPr>
                <w:sz w:val="20"/>
                <w:szCs w:val="20"/>
                <w:color w:val="auto"/>
              </w:rPr>
            </w:pPr>
            <w:r>
              <w:rPr>
                <w:rFonts w:ascii="Arial" w:cs="Arial" w:eastAsia="Arial" w:hAnsi="Arial"/>
                <w:sz w:val="13"/>
                <w:szCs w:val="13"/>
                <w:color w:val="auto"/>
              </w:rPr>
              <w:t>775,000</w:t>
            </w:r>
          </w:p>
        </w:tc>
        <w:tc>
          <w:tcPr>
            <w:tcW w:w="740" w:type="dxa"/>
            <w:vAlign w:val="bottom"/>
          </w:tcPr>
          <w:p>
            <w:pPr>
              <w:ind w:left="28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1,599,999</w:t>
            </w:r>
          </w:p>
        </w:tc>
        <w:tc>
          <w:tcPr>
            <w:tcW w:w="860" w:type="dxa"/>
            <w:vAlign w:val="bottom"/>
          </w:tcPr>
          <w:p>
            <w:pPr>
              <w:jc w:val="right"/>
              <w:ind w:right="114"/>
              <w:spacing w:after="0"/>
              <w:rPr>
                <w:sz w:val="20"/>
                <w:szCs w:val="20"/>
                <w:color w:val="auto"/>
              </w:rPr>
            </w:pPr>
            <w:r>
              <w:rPr>
                <w:rFonts w:ascii="Arial" w:cs="Arial" w:eastAsia="Arial" w:hAnsi="Arial"/>
                <w:sz w:val="13"/>
                <w:szCs w:val="13"/>
                <w:color w:val="auto"/>
              </w:rPr>
              <w:t>399,997</w:t>
            </w:r>
          </w:p>
        </w:tc>
        <w:tc>
          <w:tcPr>
            <w:tcW w:w="1520" w:type="dxa"/>
            <w:vAlign w:val="bottom"/>
          </w:tcPr>
          <w:p>
            <w:pPr>
              <w:jc w:val="right"/>
              <w:ind w:right="455"/>
              <w:spacing w:after="0"/>
              <w:rPr>
                <w:sz w:val="20"/>
                <w:szCs w:val="20"/>
                <w:color w:val="auto"/>
              </w:rPr>
            </w:pPr>
            <w:r>
              <w:rPr>
                <w:rFonts w:ascii="Arial" w:cs="Arial" w:eastAsia="Arial" w:hAnsi="Arial"/>
                <w:sz w:val="13"/>
                <w:szCs w:val="13"/>
                <w:color w:val="auto"/>
              </w:rPr>
              <w:t>837,900</w:t>
            </w:r>
          </w:p>
        </w:tc>
        <w:tc>
          <w:tcPr>
            <w:tcW w:w="1500" w:type="dxa"/>
            <w:vAlign w:val="bottom"/>
          </w:tcPr>
          <w:p>
            <w:pPr>
              <w:jc w:val="right"/>
              <w:ind w:right="355"/>
              <w:spacing w:after="0"/>
              <w:rPr>
                <w:sz w:val="20"/>
                <w:szCs w:val="20"/>
                <w:color w:val="auto"/>
              </w:rPr>
            </w:pPr>
            <w:r>
              <w:rPr>
                <w:rFonts w:ascii="Arial" w:cs="Arial" w:eastAsia="Arial" w:hAnsi="Arial"/>
                <w:sz w:val="13"/>
                <w:szCs w:val="13"/>
                <w:color w:val="auto"/>
              </w:rPr>
              <w:t>1,551,307</w:t>
            </w:r>
          </w:p>
        </w:tc>
        <w:tc>
          <w:tcPr>
            <w:tcW w:w="1440" w:type="dxa"/>
            <w:vAlign w:val="bottom"/>
          </w:tcPr>
          <w:p>
            <w:pPr>
              <w:jc w:val="right"/>
              <w:ind w:right="374"/>
              <w:spacing w:after="0"/>
              <w:rPr>
                <w:sz w:val="20"/>
                <w:szCs w:val="20"/>
                <w:color w:val="auto"/>
              </w:rPr>
            </w:pPr>
            <w:r>
              <w:rPr>
                <w:rFonts w:ascii="Arial" w:cs="Arial" w:eastAsia="Arial" w:hAnsi="Arial"/>
                <w:sz w:val="13"/>
                <w:szCs w:val="13"/>
                <w:color w:val="auto"/>
              </w:rPr>
              <w:t>21,546</w:t>
            </w:r>
          </w:p>
        </w:tc>
        <w:tc>
          <w:tcPr>
            <w:tcW w:w="860" w:type="dxa"/>
            <w:vAlign w:val="bottom"/>
          </w:tcPr>
          <w:p>
            <w:pPr>
              <w:jc w:val="right"/>
              <w:spacing w:after="0"/>
              <w:rPr>
                <w:sz w:val="20"/>
                <w:szCs w:val="20"/>
                <w:color w:val="auto"/>
              </w:rPr>
            </w:pPr>
            <w:r>
              <w:rPr>
                <w:rFonts w:ascii="Arial" w:cs="Arial" w:eastAsia="Arial" w:hAnsi="Arial"/>
                <w:sz w:val="13"/>
                <w:szCs w:val="13"/>
                <w:color w:val="auto"/>
              </w:rPr>
              <w:t>5,185,749</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3,634,44</w:t>
            </w:r>
          </w:p>
        </w:tc>
        <w:tc>
          <w:tcPr>
            <w:tcW w:w="0" w:type="dxa"/>
            <w:vAlign w:val="bottom"/>
          </w:tcPr>
          <w:p>
            <w:pPr>
              <w:spacing w:after="0"/>
              <w:rPr>
                <w:sz w:val="1"/>
                <w:szCs w:val="1"/>
                <w:color w:val="auto"/>
              </w:rPr>
            </w:pPr>
          </w:p>
        </w:tc>
      </w:tr>
      <w:tr>
        <w:trPr>
          <w:trHeight w:val="146"/>
        </w:trPr>
        <w:tc>
          <w:tcPr>
            <w:tcW w:w="1400" w:type="dxa"/>
            <w:vAlign w:val="bottom"/>
          </w:tcPr>
          <w:p>
            <w:pPr>
              <w:ind w:left="80"/>
              <w:spacing w:after="0" w:line="146" w:lineRule="exact"/>
              <w:rPr>
                <w:sz w:val="20"/>
                <w:szCs w:val="20"/>
                <w:color w:val="auto"/>
              </w:rPr>
            </w:pPr>
            <w:r>
              <w:rPr>
                <w:rFonts w:ascii="Arial" w:cs="Arial" w:eastAsia="Arial" w:hAnsi="Arial"/>
                <w:sz w:val="13"/>
                <w:szCs w:val="13"/>
                <w:color w:val="auto"/>
              </w:rPr>
              <w:t>Senior Vice President</w:t>
            </w:r>
          </w:p>
        </w:tc>
        <w:tc>
          <w:tcPr>
            <w:tcW w:w="500" w:type="dxa"/>
            <w:vAlign w:val="bottom"/>
            <w:gridSpan w:val="2"/>
            <w:vMerge w:val="restart"/>
          </w:tcPr>
          <w:p>
            <w:pPr>
              <w:ind w:left="140"/>
              <w:spacing w:after="0"/>
              <w:rPr>
                <w:sz w:val="20"/>
                <w:szCs w:val="20"/>
                <w:color w:val="auto"/>
              </w:rPr>
            </w:pPr>
            <w:r>
              <w:rPr>
                <w:rFonts w:ascii="Arial" w:cs="Arial" w:eastAsia="Arial" w:hAnsi="Arial"/>
                <w:sz w:val="13"/>
                <w:szCs w:val="13"/>
                <w:color w:val="auto"/>
              </w:rPr>
              <w:t>2016</w:t>
            </w:r>
          </w:p>
        </w:tc>
        <w:tc>
          <w:tcPr>
            <w:tcW w:w="760" w:type="dxa"/>
            <w:vAlign w:val="bottom"/>
            <w:vMerge w:val="restart"/>
          </w:tcPr>
          <w:p>
            <w:pPr>
              <w:jc w:val="right"/>
              <w:ind w:right="14"/>
              <w:spacing w:after="0"/>
              <w:rPr>
                <w:sz w:val="20"/>
                <w:szCs w:val="20"/>
                <w:color w:val="auto"/>
              </w:rPr>
            </w:pPr>
            <w:r>
              <w:rPr>
                <w:rFonts w:ascii="Arial" w:cs="Arial" w:eastAsia="Arial" w:hAnsi="Arial"/>
                <w:sz w:val="13"/>
                <w:szCs w:val="13"/>
                <w:color w:val="auto"/>
              </w:rPr>
              <w:t>775,000</w:t>
            </w:r>
          </w:p>
        </w:tc>
        <w:tc>
          <w:tcPr>
            <w:tcW w:w="740" w:type="dxa"/>
            <w:vAlign w:val="bottom"/>
            <w:vMerge w:val="restart"/>
          </w:tcPr>
          <w:p>
            <w:pPr>
              <w:ind w:left="280"/>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1,359,989</w:t>
            </w:r>
          </w:p>
        </w:tc>
        <w:tc>
          <w:tcPr>
            <w:tcW w:w="860" w:type="dxa"/>
            <w:vAlign w:val="bottom"/>
            <w:vMerge w:val="restart"/>
          </w:tcPr>
          <w:p>
            <w:pPr>
              <w:jc w:val="right"/>
              <w:ind w:right="114"/>
              <w:spacing w:after="0"/>
              <w:rPr>
                <w:sz w:val="20"/>
                <w:szCs w:val="20"/>
                <w:color w:val="auto"/>
              </w:rPr>
            </w:pPr>
            <w:r>
              <w:rPr>
                <w:rFonts w:ascii="Arial" w:cs="Arial" w:eastAsia="Arial" w:hAnsi="Arial"/>
                <w:sz w:val="13"/>
                <w:szCs w:val="13"/>
                <w:color w:val="auto"/>
              </w:rPr>
              <w:t>340,002</w:t>
            </w:r>
          </w:p>
        </w:tc>
        <w:tc>
          <w:tcPr>
            <w:tcW w:w="1520" w:type="dxa"/>
            <w:vAlign w:val="bottom"/>
            <w:vMerge w:val="restart"/>
          </w:tcPr>
          <w:p>
            <w:pPr>
              <w:jc w:val="right"/>
              <w:ind w:right="455"/>
              <w:spacing w:after="0"/>
              <w:rPr>
                <w:sz w:val="20"/>
                <w:szCs w:val="20"/>
                <w:color w:val="auto"/>
              </w:rPr>
            </w:pPr>
            <w:r>
              <w:rPr>
                <w:rFonts w:ascii="Arial" w:cs="Arial" w:eastAsia="Arial" w:hAnsi="Arial"/>
                <w:sz w:val="13"/>
                <w:szCs w:val="13"/>
                <w:color w:val="auto"/>
              </w:rPr>
              <w:t>654,500</w:t>
            </w:r>
          </w:p>
        </w:tc>
        <w:tc>
          <w:tcPr>
            <w:tcW w:w="1500" w:type="dxa"/>
            <w:vAlign w:val="bottom"/>
            <w:vMerge w:val="restart"/>
          </w:tcPr>
          <w:p>
            <w:pPr>
              <w:jc w:val="right"/>
              <w:ind w:right="355"/>
              <w:spacing w:after="0"/>
              <w:rPr>
                <w:sz w:val="20"/>
                <w:szCs w:val="20"/>
                <w:color w:val="auto"/>
              </w:rPr>
            </w:pPr>
            <w:r>
              <w:rPr>
                <w:rFonts w:ascii="Arial" w:cs="Arial" w:eastAsia="Arial" w:hAnsi="Arial"/>
                <w:sz w:val="13"/>
                <w:szCs w:val="13"/>
                <w:color w:val="auto"/>
              </w:rPr>
              <w:t>915,589</w:t>
            </w:r>
          </w:p>
        </w:tc>
        <w:tc>
          <w:tcPr>
            <w:tcW w:w="1440" w:type="dxa"/>
            <w:vAlign w:val="bottom"/>
            <w:vMerge w:val="restart"/>
          </w:tcPr>
          <w:p>
            <w:pPr>
              <w:jc w:val="right"/>
              <w:ind w:right="374"/>
              <w:spacing w:after="0"/>
              <w:rPr>
                <w:sz w:val="20"/>
                <w:szCs w:val="20"/>
                <w:color w:val="auto"/>
              </w:rPr>
            </w:pPr>
            <w:r>
              <w:rPr>
                <w:rFonts w:ascii="Arial" w:cs="Arial" w:eastAsia="Arial" w:hAnsi="Arial"/>
                <w:sz w:val="13"/>
                <w:szCs w:val="13"/>
                <w:color w:val="auto"/>
              </w:rPr>
              <w:t>21,546</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4,066,626</w:t>
            </w:r>
          </w:p>
        </w:tc>
        <w:tc>
          <w:tcPr>
            <w:tcW w:w="880" w:type="dxa"/>
            <w:vAlign w:val="bottom"/>
            <w:gridSpan w:val="3"/>
            <w:vMerge w:val="restart"/>
          </w:tcPr>
          <w:p>
            <w:pPr>
              <w:jc w:val="right"/>
              <w:spacing w:after="0"/>
              <w:rPr>
                <w:sz w:val="20"/>
                <w:szCs w:val="20"/>
                <w:color w:val="auto"/>
              </w:rPr>
            </w:pPr>
            <w:r>
              <w:rPr>
                <w:rFonts w:ascii="Arial" w:cs="Arial" w:eastAsia="Arial" w:hAnsi="Arial"/>
                <w:sz w:val="13"/>
                <w:szCs w:val="13"/>
                <w:color w:val="auto"/>
              </w:rPr>
              <w:t>3,151,03</w:t>
            </w:r>
          </w:p>
        </w:tc>
        <w:tc>
          <w:tcPr>
            <w:tcW w:w="0" w:type="dxa"/>
            <w:vAlign w:val="bottom"/>
          </w:tcPr>
          <w:p>
            <w:pPr>
              <w:spacing w:after="0"/>
              <w:rPr>
                <w:sz w:val="1"/>
                <w:szCs w:val="1"/>
                <w:color w:val="auto"/>
              </w:rPr>
            </w:pPr>
          </w:p>
        </w:tc>
      </w:tr>
      <w:tr>
        <w:trPr>
          <w:trHeight w:val="94"/>
        </w:trPr>
        <w:tc>
          <w:tcPr>
            <w:tcW w:w="1400" w:type="dxa"/>
            <w:vAlign w:val="bottom"/>
            <w:vMerge w:val="restart"/>
          </w:tcPr>
          <w:p>
            <w:pPr>
              <w:ind w:left="80"/>
              <w:spacing w:after="0" w:line="146" w:lineRule="exact"/>
              <w:rPr>
                <w:sz w:val="20"/>
                <w:szCs w:val="20"/>
                <w:color w:val="auto"/>
              </w:rPr>
            </w:pPr>
            <w:r>
              <w:rPr>
                <w:rFonts w:ascii="Arial" w:cs="Arial" w:eastAsia="Arial" w:hAnsi="Arial"/>
                <w:sz w:val="13"/>
                <w:szCs w:val="13"/>
                <w:color w:val="auto"/>
              </w:rPr>
              <w:t>&amp;</w:t>
            </w:r>
          </w:p>
        </w:tc>
        <w:tc>
          <w:tcPr>
            <w:tcW w:w="50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1400" w:type="dxa"/>
            <w:vAlign w:val="bottom"/>
            <w:vMerge w:val="continue"/>
          </w:tcPr>
          <w:p>
            <w:pPr>
              <w:spacing w:after="0"/>
              <w:rPr>
                <w:sz w:val="4"/>
                <w:szCs w:val="4"/>
                <w:color w:val="auto"/>
              </w:rPr>
            </w:pPr>
          </w:p>
        </w:tc>
        <w:tc>
          <w:tcPr>
            <w:tcW w:w="500" w:type="dxa"/>
            <w:vAlign w:val="bottom"/>
            <w:gridSpan w:val="2"/>
            <w:vMerge w:val="restart"/>
          </w:tcPr>
          <w:p>
            <w:pPr>
              <w:ind w:left="140"/>
              <w:spacing w:after="0"/>
              <w:rPr>
                <w:sz w:val="20"/>
                <w:szCs w:val="20"/>
                <w:color w:val="auto"/>
              </w:rPr>
            </w:pPr>
            <w:r>
              <w:rPr>
                <w:rFonts w:ascii="Arial" w:cs="Arial" w:eastAsia="Arial" w:hAnsi="Arial"/>
                <w:sz w:val="13"/>
                <w:szCs w:val="13"/>
                <w:color w:val="auto"/>
              </w:rPr>
              <w:t>2015</w:t>
            </w:r>
          </w:p>
        </w:tc>
        <w:tc>
          <w:tcPr>
            <w:tcW w:w="760" w:type="dxa"/>
            <w:vAlign w:val="bottom"/>
            <w:vMerge w:val="restart"/>
          </w:tcPr>
          <w:p>
            <w:pPr>
              <w:jc w:val="right"/>
              <w:ind w:right="14"/>
              <w:spacing w:after="0"/>
              <w:rPr>
                <w:sz w:val="20"/>
                <w:szCs w:val="20"/>
                <w:color w:val="auto"/>
              </w:rPr>
            </w:pPr>
            <w:r>
              <w:rPr>
                <w:rFonts w:ascii="Arial" w:cs="Arial" w:eastAsia="Arial" w:hAnsi="Arial"/>
                <w:sz w:val="13"/>
                <w:szCs w:val="13"/>
                <w:color w:val="auto"/>
              </w:rPr>
              <w:t>775,000</w:t>
            </w:r>
          </w:p>
        </w:tc>
        <w:tc>
          <w:tcPr>
            <w:tcW w:w="740" w:type="dxa"/>
            <w:vAlign w:val="bottom"/>
            <w:vMerge w:val="restart"/>
          </w:tcPr>
          <w:p>
            <w:pPr>
              <w:ind w:left="280"/>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1,600,040</w:t>
            </w:r>
          </w:p>
        </w:tc>
        <w:tc>
          <w:tcPr>
            <w:tcW w:w="860" w:type="dxa"/>
            <w:vAlign w:val="bottom"/>
            <w:vMerge w:val="restart"/>
          </w:tcPr>
          <w:p>
            <w:pPr>
              <w:jc w:val="right"/>
              <w:ind w:right="114"/>
              <w:spacing w:after="0"/>
              <w:rPr>
                <w:sz w:val="20"/>
                <w:szCs w:val="20"/>
                <w:color w:val="auto"/>
              </w:rPr>
            </w:pPr>
            <w:r>
              <w:rPr>
                <w:rFonts w:ascii="Arial" w:cs="Arial" w:eastAsia="Arial" w:hAnsi="Arial"/>
                <w:sz w:val="13"/>
                <w:szCs w:val="13"/>
                <w:color w:val="auto"/>
              </w:rPr>
              <w:t>400,008</w:t>
            </w:r>
          </w:p>
        </w:tc>
        <w:tc>
          <w:tcPr>
            <w:tcW w:w="1520" w:type="dxa"/>
            <w:vAlign w:val="bottom"/>
            <w:vMerge w:val="restart"/>
          </w:tcPr>
          <w:p>
            <w:pPr>
              <w:jc w:val="right"/>
              <w:ind w:right="455"/>
              <w:spacing w:after="0"/>
              <w:rPr>
                <w:sz w:val="20"/>
                <w:szCs w:val="20"/>
                <w:color w:val="auto"/>
              </w:rPr>
            </w:pPr>
            <w:r>
              <w:rPr>
                <w:rFonts w:ascii="Arial" w:cs="Arial" w:eastAsia="Arial" w:hAnsi="Arial"/>
                <w:sz w:val="13"/>
                <w:szCs w:val="13"/>
                <w:color w:val="auto"/>
              </w:rPr>
              <w:t>595,000</w:t>
            </w:r>
          </w:p>
        </w:tc>
        <w:tc>
          <w:tcPr>
            <w:tcW w:w="1500" w:type="dxa"/>
            <w:vAlign w:val="bottom"/>
            <w:vMerge w:val="restart"/>
          </w:tcPr>
          <w:p>
            <w:pPr>
              <w:jc w:val="right"/>
              <w:ind w:right="355"/>
              <w:spacing w:after="0"/>
              <w:rPr>
                <w:sz w:val="20"/>
                <w:szCs w:val="20"/>
                <w:color w:val="auto"/>
              </w:rPr>
            </w:pPr>
            <w:r>
              <w:rPr>
                <w:rFonts w:ascii="Arial" w:cs="Arial" w:eastAsia="Arial" w:hAnsi="Arial"/>
                <w:sz w:val="13"/>
                <w:szCs w:val="13"/>
                <w:color w:val="auto"/>
              </w:rPr>
              <w:t>1,386,029</w:t>
            </w:r>
          </w:p>
        </w:tc>
        <w:tc>
          <w:tcPr>
            <w:tcW w:w="1440" w:type="dxa"/>
            <w:vAlign w:val="bottom"/>
            <w:vMerge w:val="restart"/>
          </w:tcPr>
          <w:p>
            <w:pPr>
              <w:jc w:val="right"/>
              <w:ind w:right="374"/>
              <w:spacing w:after="0"/>
              <w:rPr>
                <w:sz w:val="20"/>
                <w:szCs w:val="20"/>
                <w:color w:val="auto"/>
              </w:rPr>
            </w:pPr>
            <w:r>
              <w:rPr>
                <w:rFonts w:ascii="Arial" w:cs="Arial" w:eastAsia="Arial" w:hAnsi="Arial"/>
                <w:sz w:val="13"/>
                <w:szCs w:val="13"/>
                <w:color w:val="auto"/>
              </w:rPr>
              <w:t>21,147</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4,777,224</w:t>
            </w:r>
          </w:p>
        </w:tc>
        <w:tc>
          <w:tcPr>
            <w:tcW w:w="880" w:type="dxa"/>
            <w:vAlign w:val="bottom"/>
            <w:gridSpan w:val="3"/>
            <w:vMerge w:val="restart"/>
          </w:tcPr>
          <w:p>
            <w:pPr>
              <w:jc w:val="right"/>
              <w:spacing w:after="0"/>
              <w:rPr>
                <w:sz w:val="20"/>
                <w:szCs w:val="20"/>
                <w:color w:val="auto"/>
              </w:rPr>
            </w:pPr>
            <w:r>
              <w:rPr>
                <w:rFonts w:ascii="Arial" w:cs="Arial" w:eastAsia="Arial" w:hAnsi="Arial"/>
                <w:sz w:val="13"/>
                <w:szCs w:val="13"/>
                <w:color w:val="auto"/>
              </w:rPr>
              <w:t>3,391,19</w:t>
            </w:r>
          </w:p>
        </w:tc>
        <w:tc>
          <w:tcPr>
            <w:tcW w:w="0" w:type="dxa"/>
            <w:vAlign w:val="bottom"/>
          </w:tcPr>
          <w:p>
            <w:pPr>
              <w:spacing w:after="0"/>
              <w:rPr>
                <w:sz w:val="1"/>
                <w:szCs w:val="1"/>
                <w:color w:val="auto"/>
              </w:rPr>
            </w:pPr>
          </w:p>
        </w:tc>
      </w:tr>
      <w:tr>
        <w:trPr>
          <w:trHeight w:val="160"/>
        </w:trPr>
        <w:tc>
          <w:tcPr>
            <w:tcW w:w="1400" w:type="dxa"/>
            <w:vAlign w:val="bottom"/>
          </w:tcPr>
          <w:p>
            <w:pPr>
              <w:ind w:left="80"/>
              <w:spacing w:after="0"/>
              <w:rPr>
                <w:sz w:val="20"/>
                <w:szCs w:val="20"/>
                <w:color w:val="auto"/>
              </w:rPr>
            </w:pPr>
            <w:r>
              <w:rPr>
                <w:rFonts w:ascii="Arial" w:cs="Arial" w:eastAsia="Arial" w:hAnsi="Arial"/>
                <w:sz w:val="13"/>
                <w:szCs w:val="13"/>
                <w:color w:val="auto"/>
              </w:rPr>
              <w:t>Chief Financial Officer</w:t>
            </w:r>
          </w:p>
        </w:tc>
        <w:tc>
          <w:tcPr>
            <w:tcW w:w="500" w:type="dxa"/>
            <w:vAlign w:val="bottom"/>
            <w:gridSpan w:val="2"/>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400" w:type="dxa"/>
            <w:vAlign w:val="bottom"/>
            <w:shd w:val="clear" w:color="auto" w:fill="E5E5E5"/>
          </w:tcPr>
          <w:p>
            <w:pPr>
              <w:ind w:left="80"/>
              <w:spacing w:after="0"/>
              <w:rPr>
                <w:sz w:val="20"/>
                <w:szCs w:val="20"/>
                <w:color w:val="auto"/>
              </w:rPr>
            </w:pPr>
            <w:r>
              <w:rPr>
                <w:rFonts w:ascii="Arial" w:cs="Arial" w:eastAsia="Arial" w:hAnsi="Arial"/>
                <w:sz w:val="13"/>
                <w:szCs w:val="13"/>
                <w:b w:val="1"/>
                <w:bCs w:val="1"/>
                <w:color w:val="007549"/>
              </w:rPr>
              <w:t>Turner, Michael R</w:t>
            </w:r>
          </w:p>
        </w:tc>
        <w:tc>
          <w:tcPr>
            <w:tcW w:w="500" w:type="dxa"/>
            <w:vAlign w:val="bottom"/>
            <w:gridSpan w:val="2"/>
            <w:shd w:val="clear" w:color="auto" w:fill="E5E5E5"/>
          </w:tcPr>
          <w:p>
            <w:pPr>
              <w:ind w:left="140"/>
              <w:spacing w:after="0"/>
              <w:rPr>
                <w:sz w:val="20"/>
                <w:szCs w:val="20"/>
                <w:color w:val="auto"/>
              </w:rPr>
            </w:pPr>
            <w:r>
              <w:rPr>
                <w:rFonts w:ascii="Arial" w:cs="Arial" w:eastAsia="Arial" w:hAnsi="Arial"/>
                <w:sz w:val="13"/>
                <w:szCs w:val="13"/>
                <w:color w:val="auto"/>
              </w:rPr>
              <w:t>2017</w:t>
            </w:r>
          </w:p>
        </w:tc>
        <w:tc>
          <w:tcPr>
            <w:tcW w:w="760" w:type="dxa"/>
            <w:vAlign w:val="bottom"/>
            <w:shd w:val="clear" w:color="auto" w:fill="E5E5E5"/>
          </w:tcPr>
          <w:p>
            <w:pPr>
              <w:jc w:val="right"/>
              <w:ind w:right="14"/>
              <w:spacing w:after="0"/>
              <w:rPr>
                <w:sz w:val="20"/>
                <w:szCs w:val="20"/>
                <w:color w:val="auto"/>
              </w:rPr>
            </w:pPr>
            <w:r>
              <w:rPr>
                <w:rFonts w:ascii="Arial" w:cs="Arial" w:eastAsia="Arial" w:hAnsi="Arial"/>
                <w:sz w:val="13"/>
                <w:szCs w:val="13"/>
                <w:color w:val="auto"/>
              </w:rPr>
              <w:t>611,538</w:t>
            </w:r>
          </w:p>
        </w:tc>
        <w:tc>
          <w:tcPr>
            <w:tcW w:w="740" w:type="dxa"/>
            <w:vAlign w:val="bottom"/>
            <w:shd w:val="clear" w:color="auto" w:fill="E5E5E5"/>
          </w:tcPr>
          <w:p>
            <w:pPr>
              <w:ind w:left="280"/>
              <w:spacing w:after="0"/>
              <w:rPr>
                <w:sz w:val="20"/>
                <w:szCs w:val="20"/>
                <w:color w:val="auto"/>
              </w:rPr>
            </w:pPr>
            <w:r>
              <w:rPr>
                <w:rFonts w:ascii="Arial" w:cs="Arial" w:eastAsia="Arial" w:hAnsi="Arial"/>
                <w:sz w:val="13"/>
                <w:szCs w:val="13"/>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1,240,026</w:t>
            </w:r>
          </w:p>
        </w:tc>
        <w:tc>
          <w:tcPr>
            <w:tcW w:w="860" w:type="dxa"/>
            <w:vAlign w:val="bottom"/>
            <w:shd w:val="clear" w:color="auto" w:fill="E5E5E5"/>
          </w:tcPr>
          <w:p>
            <w:pPr>
              <w:jc w:val="right"/>
              <w:ind w:right="114"/>
              <w:spacing w:after="0"/>
              <w:rPr>
                <w:sz w:val="20"/>
                <w:szCs w:val="20"/>
                <w:color w:val="auto"/>
              </w:rPr>
            </w:pPr>
            <w:r>
              <w:rPr>
                <w:rFonts w:ascii="Arial" w:cs="Arial" w:eastAsia="Arial" w:hAnsi="Arial"/>
                <w:sz w:val="13"/>
                <w:szCs w:val="13"/>
                <w:color w:val="auto"/>
              </w:rPr>
              <w:t>310,006</w:t>
            </w:r>
          </w:p>
        </w:tc>
        <w:tc>
          <w:tcPr>
            <w:tcW w:w="1520" w:type="dxa"/>
            <w:vAlign w:val="bottom"/>
            <w:shd w:val="clear" w:color="auto" w:fill="E5E5E5"/>
          </w:tcPr>
          <w:p>
            <w:pPr>
              <w:jc w:val="right"/>
              <w:ind w:right="455"/>
              <w:spacing w:after="0"/>
              <w:rPr>
                <w:sz w:val="20"/>
                <w:szCs w:val="20"/>
                <w:color w:val="auto"/>
              </w:rPr>
            </w:pPr>
            <w:r>
              <w:rPr>
                <w:rFonts w:ascii="Arial" w:cs="Arial" w:eastAsia="Arial" w:hAnsi="Arial"/>
                <w:sz w:val="13"/>
                <w:szCs w:val="13"/>
                <w:color w:val="auto"/>
              </w:rPr>
              <w:t>448,900</w:t>
            </w:r>
          </w:p>
        </w:tc>
        <w:tc>
          <w:tcPr>
            <w:tcW w:w="1500" w:type="dxa"/>
            <w:vAlign w:val="bottom"/>
            <w:shd w:val="clear" w:color="auto" w:fill="E5E5E5"/>
          </w:tcPr>
          <w:p>
            <w:pPr>
              <w:jc w:val="right"/>
              <w:ind w:right="355"/>
              <w:spacing w:after="0"/>
              <w:rPr>
                <w:sz w:val="20"/>
                <w:szCs w:val="20"/>
                <w:color w:val="auto"/>
              </w:rPr>
            </w:pPr>
            <w:r>
              <w:rPr>
                <w:rFonts w:ascii="Arial" w:cs="Arial" w:eastAsia="Arial" w:hAnsi="Arial"/>
                <w:sz w:val="13"/>
                <w:szCs w:val="13"/>
                <w:color w:val="auto"/>
              </w:rPr>
              <w:t>505,742</w:t>
            </w:r>
          </w:p>
        </w:tc>
        <w:tc>
          <w:tcPr>
            <w:tcW w:w="1440" w:type="dxa"/>
            <w:vAlign w:val="bottom"/>
            <w:shd w:val="clear" w:color="auto" w:fill="E5E5E5"/>
          </w:tcPr>
          <w:p>
            <w:pPr>
              <w:jc w:val="right"/>
              <w:ind w:right="374"/>
              <w:spacing w:after="0"/>
              <w:rPr>
                <w:sz w:val="20"/>
                <w:szCs w:val="20"/>
                <w:color w:val="auto"/>
              </w:rPr>
            </w:pPr>
            <w:r>
              <w:rPr>
                <w:rFonts w:ascii="Arial" w:cs="Arial" w:eastAsia="Arial" w:hAnsi="Arial"/>
                <w:sz w:val="13"/>
                <w:szCs w:val="13"/>
                <w:color w:val="auto"/>
              </w:rPr>
              <w:t>21,546</w:t>
            </w:r>
          </w:p>
        </w:tc>
        <w:tc>
          <w:tcPr>
            <w:tcW w:w="8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3,137,758</w:t>
            </w:r>
          </w:p>
        </w:tc>
        <w:tc>
          <w:tcPr>
            <w:tcW w:w="80" w:type="dxa"/>
            <w:vAlign w:val="bottom"/>
          </w:tcPr>
          <w:p>
            <w:pPr>
              <w:spacing w:after="0"/>
              <w:rPr>
                <w:sz w:val="16"/>
                <w:szCs w:val="16"/>
                <w:color w:val="auto"/>
              </w:rPr>
            </w:pPr>
          </w:p>
        </w:tc>
        <w:tc>
          <w:tcPr>
            <w:tcW w:w="800" w:type="dxa"/>
            <w:vAlign w:val="bottom"/>
            <w:gridSpan w:val="2"/>
            <w:shd w:val="clear" w:color="auto" w:fill="E5E5E5"/>
          </w:tcPr>
          <w:p>
            <w:pPr>
              <w:jc w:val="right"/>
              <w:spacing w:after="0"/>
              <w:rPr>
                <w:sz w:val="20"/>
                <w:szCs w:val="20"/>
                <w:color w:val="auto"/>
              </w:rPr>
            </w:pPr>
            <w:r>
              <w:rPr>
                <w:rFonts w:ascii="Arial" w:cs="Arial" w:eastAsia="Arial" w:hAnsi="Arial"/>
                <w:sz w:val="13"/>
                <w:szCs w:val="13"/>
                <w:color w:val="auto"/>
                <w:shd w:val="clear" w:color="auto" w:fill="E5E5E5"/>
              </w:rPr>
              <w:t>2,632,01</w:t>
            </w:r>
          </w:p>
        </w:tc>
        <w:tc>
          <w:tcPr>
            <w:tcW w:w="0" w:type="dxa"/>
            <w:vAlign w:val="bottom"/>
          </w:tcPr>
          <w:p>
            <w:pPr>
              <w:spacing w:after="0"/>
              <w:rPr>
                <w:sz w:val="1"/>
                <w:szCs w:val="1"/>
                <w:color w:val="auto"/>
              </w:rPr>
            </w:pPr>
          </w:p>
        </w:tc>
      </w:tr>
      <w:tr>
        <w:trPr>
          <w:trHeight w:val="147"/>
        </w:trPr>
        <w:tc>
          <w:tcPr>
            <w:tcW w:w="1400" w:type="dxa"/>
            <w:vAlign w:val="bottom"/>
            <w:shd w:val="clear" w:color="auto" w:fill="E5E5E5"/>
          </w:tcPr>
          <w:p>
            <w:pPr>
              <w:ind w:left="80"/>
              <w:spacing w:after="0" w:line="148" w:lineRule="exact"/>
              <w:rPr>
                <w:sz w:val="20"/>
                <w:szCs w:val="20"/>
                <w:color w:val="auto"/>
              </w:rPr>
            </w:pPr>
            <w:r>
              <w:rPr>
                <w:rFonts w:ascii="Arial" w:cs="Arial" w:eastAsia="Arial" w:hAnsi="Arial"/>
                <w:sz w:val="13"/>
                <w:szCs w:val="13"/>
                <w:color w:val="auto"/>
              </w:rPr>
              <w:t>Senior Vice</w:t>
            </w:r>
          </w:p>
        </w:tc>
        <w:tc>
          <w:tcPr>
            <w:tcW w:w="80" w:type="dxa"/>
            <w:vAlign w:val="bottom"/>
            <w:shd w:val="clear" w:color="auto" w:fill="E5E5E5"/>
          </w:tcPr>
          <w:p>
            <w:pPr>
              <w:spacing w:after="0"/>
              <w:rPr>
                <w:sz w:val="12"/>
                <w:szCs w:val="12"/>
                <w:color w:val="auto"/>
              </w:rPr>
            </w:pPr>
          </w:p>
        </w:tc>
        <w:tc>
          <w:tcPr>
            <w:tcW w:w="420" w:type="dxa"/>
            <w:vAlign w:val="bottom"/>
            <w:shd w:val="clear" w:color="auto" w:fill="E5E5E5"/>
          </w:tcPr>
          <w:p>
            <w:pPr>
              <w:ind w:left="60"/>
              <w:spacing w:after="0" w:line="148" w:lineRule="exact"/>
              <w:rPr>
                <w:sz w:val="20"/>
                <w:szCs w:val="20"/>
                <w:color w:val="auto"/>
              </w:rPr>
            </w:pPr>
            <w:r>
              <w:rPr>
                <w:rFonts w:ascii="Arial" w:cs="Arial" w:eastAsia="Arial" w:hAnsi="Arial"/>
                <w:sz w:val="13"/>
                <w:szCs w:val="13"/>
                <w:color w:val="auto"/>
              </w:rPr>
              <w:t>2016</w:t>
            </w:r>
          </w:p>
        </w:tc>
        <w:tc>
          <w:tcPr>
            <w:tcW w:w="760" w:type="dxa"/>
            <w:vAlign w:val="bottom"/>
            <w:shd w:val="clear" w:color="auto" w:fill="E5E5E5"/>
          </w:tcPr>
          <w:p>
            <w:pPr>
              <w:jc w:val="right"/>
              <w:ind w:right="14"/>
              <w:spacing w:after="0" w:line="148" w:lineRule="exact"/>
              <w:rPr>
                <w:sz w:val="20"/>
                <w:szCs w:val="20"/>
                <w:color w:val="auto"/>
              </w:rPr>
            </w:pPr>
            <w:r>
              <w:rPr>
                <w:rFonts w:ascii="Arial" w:cs="Arial" w:eastAsia="Arial" w:hAnsi="Arial"/>
                <w:sz w:val="13"/>
                <w:szCs w:val="13"/>
                <w:color w:val="auto"/>
              </w:rPr>
              <w:t>575,000</w:t>
            </w:r>
          </w:p>
        </w:tc>
        <w:tc>
          <w:tcPr>
            <w:tcW w:w="740" w:type="dxa"/>
            <w:vAlign w:val="bottom"/>
            <w:shd w:val="clear" w:color="auto" w:fill="E5E5E5"/>
          </w:tcPr>
          <w:p>
            <w:pPr>
              <w:ind w:left="280"/>
              <w:spacing w:after="0" w:line="148" w:lineRule="exact"/>
              <w:rPr>
                <w:sz w:val="20"/>
                <w:szCs w:val="20"/>
                <w:color w:val="auto"/>
              </w:rPr>
            </w:pPr>
            <w:r>
              <w:rPr>
                <w:rFonts w:ascii="Arial" w:cs="Arial" w:eastAsia="Arial" w:hAnsi="Arial"/>
                <w:sz w:val="13"/>
                <w:szCs w:val="13"/>
                <w:color w:val="auto"/>
              </w:rPr>
              <w:t>—</w:t>
            </w:r>
          </w:p>
        </w:tc>
        <w:tc>
          <w:tcPr>
            <w:tcW w:w="780" w:type="dxa"/>
            <w:vAlign w:val="bottom"/>
            <w:shd w:val="clear" w:color="auto" w:fill="E5E5E5"/>
          </w:tcPr>
          <w:p>
            <w:pPr>
              <w:jc w:val="right"/>
              <w:spacing w:after="0" w:line="148" w:lineRule="exact"/>
              <w:rPr>
                <w:sz w:val="20"/>
                <w:szCs w:val="20"/>
                <w:color w:val="auto"/>
              </w:rPr>
            </w:pPr>
            <w:r>
              <w:rPr>
                <w:rFonts w:ascii="Arial" w:cs="Arial" w:eastAsia="Arial" w:hAnsi="Arial"/>
                <w:sz w:val="13"/>
                <w:szCs w:val="13"/>
                <w:color w:val="auto"/>
              </w:rPr>
              <w:t>1,849,986</w:t>
            </w:r>
          </w:p>
        </w:tc>
        <w:tc>
          <w:tcPr>
            <w:tcW w:w="860" w:type="dxa"/>
            <w:vAlign w:val="bottom"/>
            <w:shd w:val="clear" w:color="auto" w:fill="E5E5E5"/>
          </w:tcPr>
          <w:p>
            <w:pPr>
              <w:jc w:val="right"/>
              <w:ind w:right="114"/>
              <w:spacing w:after="0" w:line="148" w:lineRule="exact"/>
              <w:rPr>
                <w:sz w:val="20"/>
                <w:szCs w:val="20"/>
                <w:color w:val="auto"/>
              </w:rPr>
            </w:pPr>
            <w:r>
              <w:rPr>
                <w:rFonts w:ascii="Arial" w:cs="Arial" w:eastAsia="Arial" w:hAnsi="Arial"/>
                <w:sz w:val="13"/>
                <w:szCs w:val="13"/>
                <w:color w:val="auto"/>
              </w:rPr>
              <w:t>212,505</w:t>
            </w:r>
          </w:p>
        </w:tc>
        <w:tc>
          <w:tcPr>
            <w:tcW w:w="1520" w:type="dxa"/>
            <w:vAlign w:val="bottom"/>
            <w:shd w:val="clear" w:color="auto" w:fill="E5E5E5"/>
          </w:tcPr>
          <w:p>
            <w:pPr>
              <w:jc w:val="right"/>
              <w:ind w:right="455"/>
              <w:spacing w:after="0" w:line="148" w:lineRule="exact"/>
              <w:rPr>
                <w:sz w:val="20"/>
                <w:szCs w:val="20"/>
                <w:color w:val="auto"/>
              </w:rPr>
            </w:pPr>
            <w:r>
              <w:rPr>
                <w:rFonts w:ascii="Arial" w:cs="Arial" w:eastAsia="Arial" w:hAnsi="Arial"/>
                <w:sz w:val="13"/>
                <w:szCs w:val="13"/>
                <w:color w:val="auto"/>
              </w:rPr>
              <w:t>322,600</w:t>
            </w:r>
          </w:p>
        </w:tc>
        <w:tc>
          <w:tcPr>
            <w:tcW w:w="1500" w:type="dxa"/>
            <w:vAlign w:val="bottom"/>
            <w:shd w:val="clear" w:color="auto" w:fill="E5E5E5"/>
          </w:tcPr>
          <w:p>
            <w:pPr>
              <w:jc w:val="right"/>
              <w:ind w:right="355"/>
              <w:spacing w:after="0" w:line="148" w:lineRule="exact"/>
              <w:rPr>
                <w:sz w:val="20"/>
                <w:szCs w:val="20"/>
                <w:color w:val="auto"/>
              </w:rPr>
            </w:pPr>
            <w:r>
              <w:rPr>
                <w:rFonts w:ascii="Arial" w:cs="Arial" w:eastAsia="Arial" w:hAnsi="Arial"/>
                <w:sz w:val="13"/>
                <w:szCs w:val="13"/>
                <w:color w:val="auto"/>
              </w:rPr>
              <w:t>362,085</w:t>
            </w:r>
          </w:p>
        </w:tc>
        <w:tc>
          <w:tcPr>
            <w:tcW w:w="1440" w:type="dxa"/>
            <w:vAlign w:val="bottom"/>
            <w:shd w:val="clear" w:color="auto" w:fill="E5E5E5"/>
          </w:tcPr>
          <w:p>
            <w:pPr>
              <w:jc w:val="right"/>
              <w:ind w:right="374"/>
              <w:spacing w:after="0" w:line="148" w:lineRule="exact"/>
              <w:rPr>
                <w:sz w:val="20"/>
                <w:szCs w:val="20"/>
                <w:color w:val="auto"/>
              </w:rPr>
            </w:pPr>
            <w:r>
              <w:rPr>
                <w:rFonts w:ascii="Arial" w:cs="Arial" w:eastAsia="Arial" w:hAnsi="Arial"/>
                <w:sz w:val="13"/>
                <w:szCs w:val="13"/>
                <w:color w:val="auto"/>
              </w:rPr>
              <w:t>21,546</w:t>
            </w:r>
          </w:p>
        </w:tc>
        <w:tc>
          <w:tcPr>
            <w:tcW w:w="860" w:type="dxa"/>
            <w:vAlign w:val="bottom"/>
            <w:shd w:val="clear" w:color="auto" w:fill="E5E5E5"/>
          </w:tcPr>
          <w:p>
            <w:pPr>
              <w:jc w:val="right"/>
              <w:spacing w:after="0" w:line="148" w:lineRule="exact"/>
              <w:rPr>
                <w:sz w:val="20"/>
                <w:szCs w:val="20"/>
                <w:color w:val="auto"/>
              </w:rPr>
            </w:pPr>
            <w:r>
              <w:rPr>
                <w:rFonts w:ascii="Arial" w:cs="Arial" w:eastAsia="Arial" w:hAnsi="Arial"/>
                <w:sz w:val="13"/>
                <w:szCs w:val="13"/>
                <w:color w:val="auto"/>
              </w:rPr>
              <w:t>3,343,722</w:t>
            </w:r>
          </w:p>
        </w:tc>
        <w:tc>
          <w:tcPr>
            <w:tcW w:w="80" w:type="dxa"/>
            <w:vAlign w:val="bottom"/>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40" w:type="dxa"/>
            <w:vAlign w:val="bottom"/>
            <w:shd w:val="clear" w:color="auto" w:fill="E5E5E5"/>
          </w:tcPr>
          <w:p>
            <w:pPr>
              <w:jc w:val="right"/>
              <w:spacing w:after="0" w:line="148" w:lineRule="exact"/>
              <w:rPr>
                <w:sz w:val="20"/>
                <w:szCs w:val="20"/>
                <w:color w:val="auto"/>
              </w:rPr>
            </w:pPr>
            <w:r>
              <w:rPr>
                <w:rFonts w:ascii="Arial" w:cs="Arial" w:eastAsia="Arial" w:hAnsi="Arial"/>
                <w:sz w:val="13"/>
                <w:szCs w:val="13"/>
                <w:color w:val="auto"/>
                <w:shd w:val="clear" w:color="auto" w:fill="E5E5E5"/>
              </w:rPr>
              <w:t>2,981,63</w:t>
            </w:r>
          </w:p>
        </w:tc>
        <w:tc>
          <w:tcPr>
            <w:tcW w:w="0" w:type="dxa"/>
            <w:vAlign w:val="bottom"/>
          </w:tcPr>
          <w:p>
            <w:pPr>
              <w:spacing w:after="0"/>
              <w:rPr>
                <w:sz w:val="1"/>
                <w:szCs w:val="1"/>
                <w:color w:val="auto"/>
              </w:rPr>
            </w:pPr>
          </w:p>
        </w:tc>
      </w:tr>
      <w:tr>
        <w:trPr>
          <w:trHeight w:val="146"/>
        </w:trPr>
        <w:tc>
          <w:tcPr>
            <w:tcW w:w="1400" w:type="dxa"/>
            <w:vAlign w:val="bottom"/>
            <w:shd w:val="clear" w:color="auto" w:fill="E5E5E5"/>
          </w:tcPr>
          <w:p>
            <w:pPr>
              <w:ind w:left="80"/>
              <w:spacing w:after="0" w:line="146" w:lineRule="exact"/>
              <w:rPr>
                <w:sz w:val="20"/>
                <w:szCs w:val="20"/>
                <w:color w:val="auto"/>
              </w:rPr>
            </w:pPr>
            <w:r>
              <w:rPr>
                <w:rFonts w:ascii="Arial" w:cs="Arial" w:eastAsia="Arial" w:hAnsi="Arial"/>
                <w:sz w:val="13"/>
                <w:szCs w:val="13"/>
                <w:color w:val="auto"/>
              </w:rPr>
              <w:t>President, Global</w:t>
            </w:r>
          </w:p>
        </w:tc>
        <w:tc>
          <w:tcPr>
            <w:tcW w:w="80" w:type="dxa"/>
            <w:vAlign w:val="bottom"/>
            <w:shd w:val="clear" w:color="auto" w:fill="E5E5E5"/>
          </w:tcPr>
          <w:p>
            <w:pPr>
              <w:spacing w:after="0"/>
              <w:rPr>
                <w:sz w:val="12"/>
                <w:szCs w:val="12"/>
                <w:color w:val="auto"/>
              </w:rPr>
            </w:pPr>
          </w:p>
        </w:tc>
        <w:tc>
          <w:tcPr>
            <w:tcW w:w="420" w:type="dxa"/>
            <w:vAlign w:val="bottom"/>
            <w:vMerge w:val="restart"/>
            <w:shd w:val="clear" w:color="auto" w:fill="E5E5E5"/>
          </w:tcPr>
          <w:p>
            <w:pPr>
              <w:ind w:left="60"/>
              <w:spacing w:after="0"/>
              <w:rPr>
                <w:sz w:val="20"/>
                <w:szCs w:val="20"/>
                <w:color w:val="auto"/>
              </w:rPr>
            </w:pPr>
            <w:r>
              <w:rPr>
                <w:rFonts w:ascii="Arial" w:cs="Arial" w:eastAsia="Arial" w:hAnsi="Arial"/>
                <w:sz w:val="13"/>
                <w:szCs w:val="13"/>
                <w:color w:val="auto"/>
              </w:rPr>
              <w:t>2015</w:t>
            </w:r>
          </w:p>
        </w:tc>
        <w:tc>
          <w:tcPr>
            <w:tcW w:w="760" w:type="dxa"/>
            <w:vAlign w:val="bottom"/>
            <w:vMerge w:val="restart"/>
            <w:shd w:val="clear" w:color="auto" w:fill="E5E5E5"/>
          </w:tcPr>
          <w:p>
            <w:pPr>
              <w:jc w:val="right"/>
              <w:ind w:right="14"/>
              <w:spacing w:after="0"/>
              <w:rPr>
                <w:sz w:val="20"/>
                <w:szCs w:val="20"/>
                <w:color w:val="auto"/>
              </w:rPr>
            </w:pPr>
            <w:r>
              <w:rPr>
                <w:rFonts w:ascii="Arial" w:cs="Arial" w:eastAsia="Arial" w:hAnsi="Arial"/>
                <w:sz w:val="13"/>
                <w:szCs w:val="13"/>
                <w:color w:val="auto"/>
              </w:rPr>
              <w:t>575,000</w:t>
            </w:r>
          </w:p>
        </w:tc>
        <w:tc>
          <w:tcPr>
            <w:tcW w:w="740" w:type="dxa"/>
            <w:vAlign w:val="bottom"/>
            <w:vMerge w:val="restart"/>
            <w:shd w:val="clear" w:color="auto" w:fill="E5E5E5"/>
          </w:tcPr>
          <w:p>
            <w:pPr>
              <w:ind w:left="280"/>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1,240,054</w:t>
            </w:r>
          </w:p>
        </w:tc>
        <w:tc>
          <w:tcPr>
            <w:tcW w:w="860" w:type="dxa"/>
            <w:vAlign w:val="bottom"/>
            <w:vMerge w:val="restart"/>
            <w:shd w:val="clear" w:color="auto" w:fill="E5E5E5"/>
          </w:tcPr>
          <w:p>
            <w:pPr>
              <w:jc w:val="right"/>
              <w:ind w:right="114"/>
              <w:spacing w:after="0"/>
              <w:rPr>
                <w:sz w:val="20"/>
                <w:szCs w:val="20"/>
                <w:color w:val="auto"/>
              </w:rPr>
            </w:pPr>
            <w:r>
              <w:rPr>
                <w:rFonts w:ascii="Arial" w:cs="Arial" w:eastAsia="Arial" w:hAnsi="Arial"/>
                <w:sz w:val="13"/>
                <w:szCs w:val="13"/>
                <w:color w:val="auto"/>
              </w:rPr>
              <w:t>310,002</w:t>
            </w:r>
          </w:p>
        </w:tc>
        <w:tc>
          <w:tcPr>
            <w:tcW w:w="1520" w:type="dxa"/>
            <w:vAlign w:val="bottom"/>
            <w:vMerge w:val="restart"/>
            <w:shd w:val="clear" w:color="auto" w:fill="E5E5E5"/>
          </w:tcPr>
          <w:p>
            <w:pPr>
              <w:jc w:val="right"/>
              <w:ind w:right="455"/>
              <w:spacing w:after="0"/>
              <w:rPr>
                <w:sz w:val="20"/>
                <w:szCs w:val="20"/>
                <w:color w:val="auto"/>
              </w:rPr>
            </w:pPr>
            <w:r>
              <w:rPr>
                <w:rFonts w:ascii="Arial" w:cs="Arial" w:eastAsia="Arial" w:hAnsi="Arial"/>
                <w:sz w:val="13"/>
                <w:szCs w:val="13"/>
                <w:color w:val="auto"/>
              </w:rPr>
              <w:t>242,300</w:t>
            </w:r>
          </w:p>
        </w:tc>
        <w:tc>
          <w:tcPr>
            <w:tcW w:w="1500" w:type="dxa"/>
            <w:vAlign w:val="bottom"/>
            <w:vMerge w:val="restart"/>
            <w:shd w:val="clear" w:color="auto" w:fill="E5E5E5"/>
          </w:tcPr>
          <w:p>
            <w:pPr>
              <w:jc w:val="right"/>
              <w:ind w:right="355"/>
              <w:spacing w:after="0"/>
              <w:rPr>
                <w:sz w:val="20"/>
                <w:szCs w:val="20"/>
                <w:color w:val="auto"/>
              </w:rPr>
            </w:pPr>
            <w:r>
              <w:rPr>
                <w:rFonts w:ascii="Arial" w:cs="Arial" w:eastAsia="Arial" w:hAnsi="Arial"/>
                <w:sz w:val="13"/>
                <w:szCs w:val="13"/>
                <w:color w:val="auto"/>
              </w:rPr>
              <w:t>333,969</w:t>
            </w:r>
          </w:p>
        </w:tc>
        <w:tc>
          <w:tcPr>
            <w:tcW w:w="1440" w:type="dxa"/>
            <w:vAlign w:val="bottom"/>
            <w:vMerge w:val="restart"/>
            <w:shd w:val="clear" w:color="auto" w:fill="E5E5E5"/>
          </w:tcPr>
          <w:p>
            <w:pPr>
              <w:jc w:val="right"/>
              <w:ind w:right="374"/>
              <w:spacing w:after="0"/>
              <w:rPr>
                <w:sz w:val="20"/>
                <w:szCs w:val="20"/>
                <w:color w:val="auto"/>
              </w:rPr>
            </w:pPr>
            <w:r>
              <w:rPr>
                <w:rFonts w:ascii="Arial" w:cs="Arial" w:eastAsia="Arial" w:hAnsi="Arial"/>
                <w:sz w:val="13"/>
                <w:szCs w:val="13"/>
                <w:color w:val="auto"/>
              </w:rPr>
              <w:t>21,147</w:t>
            </w:r>
          </w:p>
        </w:tc>
        <w:tc>
          <w:tcPr>
            <w:tcW w:w="86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2,722,472</w:t>
            </w:r>
          </w:p>
        </w:tc>
        <w:tc>
          <w:tcPr>
            <w:tcW w:w="80" w:type="dxa"/>
            <w:vAlign w:val="bottom"/>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4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2,388,50</w:t>
            </w:r>
          </w:p>
        </w:tc>
        <w:tc>
          <w:tcPr>
            <w:tcW w:w="0" w:type="dxa"/>
            <w:vAlign w:val="bottom"/>
          </w:tcPr>
          <w:p>
            <w:pPr>
              <w:spacing w:after="0"/>
              <w:rPr>
                <w:sz w:val="1"/>
                <w:szCs w:val="1"/>
                <w:color w:val="auto"/>
              </w:rPr>
            </w:pPr>
          </w:p>
        </w:tc>
      </w:tr>
      <w:tr>
        <w:trPr>
          <w:trHeight w:val="67"/>
        </w:trPr>
        <w:tc>
          <w:tcPr>
            <w:tcW w:w="1400" w:type="dxa"/>
            <w:vAlign w:val="bottom"/>
            <w:vMerge w:val="restart"/>
            <w:shd w:val="clear" w:color="auto" w:fill="E5E5E5"/>
          </w:tcPr>
          <w:p>
            <w:pPr>
              <w:ind w:left="80"/>
              <w:spacing w:after="0"/>
              <w:rPr>
                <w:sz w:val="20"/>
                <w:szCs w:val="20"/>
                <w:color w:val="auto"/>
              </w:rPr>
            </w:pPr>
            <w:r>
              <w:rPr>
                <w:rFonts w:ascii="Arial" w:cs="Arial" w:eastAsia="Arial" w:hAnsi="Arial"/>
                <w:sz w:val="13"/>
                <w:szCs w:val="13"/>
                <w:color w:val="auto"/>
              </w:rPr>
              <w:t>Production</w:t>
            </w:r>
          </w:p>
        </w:tc>
        <w:tc>
          <w:tcPr>
            <w:tcW w:w="80" w:type="dxa"/>
            <w:vAlign w:val="bottom"/>
            <w:shd w:val="clear" w:color="auto" w:fill="E5E5E5"/>
          </w:tcPr>
          <w:p>
            <w:pPr>
              <w:spacing w:after="0"/>
              <w:rPr>
                <w:sz w:val="5"/>
                <w:szCs w:val="5"/>
                <w:color w:val="auto"/>
              </w:rPr>
            </w:pPr>
          </w:p>
        </w:tc>
        <w:tc>
          <w:tcPr>
            <w:tcW w:w="420" w:type="dxa"/>
            <w:vAlign w:val="bottom"/>
            <w:vMerge w:val="continue"/>
            <w:shd w:val="clear" w:color="auto" w:fill="E5E5E5"/>
          </w:tcPr>
          <w:p>
            <w:pPr>
              <w:spacing w:after="0"/>
              <w:rPr>
                <w:sz w:val="5"/>
                <w:szCs w:val="5"/>
                <w:color w:val="auto"/>
              </w:rPr>
            </w:pPr>
          </w:p>
        </w:tc>
        <w:tc>
          <w:tcPr>
            <w:tcW w:w="760" w:type="dxa"/>
            <w:vAlign w:val="bottom"/>
            <w:vMerge w:val="continue"/>
            <w:shd w:val="clear" w:color="auto" w:fill="E5E5E5"/>
          </w:tcPr>
          <w:p>
            <w:pPr>
              <w:spacing w:after="0"/>
              <w:rPr>
                <w:sz w:val="5"/>
                <w:szCs w:val="5"/>
                <w:color w:val="auto"/>
              </w:rPr>
            </w:pPr>
          </w:p>
        </w:tc>
        <w:tc>
          <w:tcPr>
            <w:tcW w:w="740" w:type="dxa"/>
            <w:vAlign w:val="bottom"/>
            <w:vMerge w:val="continue"/>
            <w:shd w:val="clear" w:color="auto" w:fill="E5E5E5"/>
          </w:tcPr>
          <w:p>
            <w:pPr>
              <w:spacing w:after="0"/>
              <w:rPr>
                <w:sz w:val="5"/>
                <w:szCs w:val="5"/>
                <w:color w:val="auto"/>
              </w:rPr>
            </w:pPr>
          </w:p>
        </w:tc>
        <w:tc>
          <w:tcPr>
            <w:tcW w:w="780" w:type="dxa"/>
            <w:vAlign w:val="bottom"/>
            <w:vMerge w:val="continue"/>
            <w:shd w:val="clear" w:color="auto" w:fill="E5E5E5"/>
          </w:tcPr>
          <w:p>
            <w:pPr>
              <w:spacing w:after="0"/>
              <w:rPr>
                <w:sz w:val="5"/>
                <w:szCs w:val="5"/>
                <w:color w:val="auto"/>
              </w:rPr>
            </w:pPr>
          </w:p>
        </w:tc>
        <w:tc>
          <w:tcPr>
            <w:tcW w:w="860" w:type="dxa"/>
            <w:vAlign w:val="bottom"/>
            <w:vMerge w:val="continue"/>
            <w:shd w:val="clear" w:color="auto" w:fill="E5E5E5"/>
          </w:tcPr>
          <w:p>
            <w:pPr>
              <w:spacing w:after="0"/>
              <w:rPr>
                <w:sz w:val="5"/>
                <w:szCs w:val="5"/>
                <w:color w:val="auto"/>
              </w:rPr>
            </w:pPr>
          </w:p>
        </w:tc>
        <w:tc>
          <w:tcPr>
            <w:tcW w:w="1520" w:type="dxa"/>
            <w:vAlign w:val="bottom"/>
            <w:vMerge w:val="continue"/>
            <w:shd w:val="clear" w:color="auto" w:fill="E5E5E5"/>
          </w:tcPr>
          <w:p>
            <w:pPr>
              <w:spacing w:after="0"/>
              <w:rPr>
                <w:sz w:val="5"/>
                <w:szCs w:val="5"/>
                <w:color w:val="auto"/>
              </w:rPr>
            </w:pPr>
          </w:p>
        </w:tc>
        <w:tc>
          <w:tcPr>
            <w:tcW w:w="1500" w:type="dxa"/>
            <w:vAlign w:val="bottom"/>
            <w:vMerge w:val="continue"/>
            <w:shd w:val="clear" w:color="auto" w:fill="E5E5E5"/>
          </w:tcPr>
          <w:p>
            <w:pPr>
              <w:spacing w:after="0"/>
              <w:rPr>
                <w:sz w:val="5"/>
                <w:szCs w:val="5"/>
                <w:color w:val="auto"/>
              </w:rPr>
            </w:pPr>
          </w:p>
        </w:tc>
        <w:tc>
          <w:tcPr>
            <w:tcW w:w="1440" w:type="dxa"/>
            <w:vAlign w:val="bottom"/>
            <w:vMerge w:val="continue"/>
            <w:shd w:val="clear" w:color="auto" w:fill="E5E5E5"/>
          </w:tcPr>
          <w:p>
            <w:pPr>
              <w:spacing w:after="0"/>
              <w:rPr>
                <w:sz w:val="5"/>
                <w:szCs w:val="5"/>
                <w:color w:val="auto"/>
              </w:rPr>
            </w:pPr>
          </w:p>
        </w:tc>
        <w:tc>
          <w:tcPr>
            <w:tcW w:w="860" w:type="dxa"/>
            <w:vAlign w:val="bottom"/>
            <w:vMerge w:val="continue"/>
            <w:shd w:val="clear" w:color="auto" w:fill="E5E5E5"/>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shd w:val="clear" w:color="auto" w:fill="E5E5E5"/>
          </w:tcPr>
          <w:p>
            <w:pPr>
              <w:spacing w:after="0"/>
              <w:rPr>
                <w:sz w:val="5"/>
                <w:szCs w:val="5"/>
                <w:color w:val="auto"/>
              </w:rPr>
            </w:pPr>
          </w:p>
        </w:tc>
        <w:tc>
          <w:tcPr>
            <w:tcW w:w="640" w:type="dxa"/>
            <w:vAlign w:val="bottom"/>
            <w:vMerge w:val="continue"/>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1400" w:type="dxa"/>
            <w:vAlign w:val="bottom"/>
            <w:tcBorders>
              <w:bottom w:val="single" w:sz="8" w:color="007549"/>
            </w:tcBorders>
            <w:vMerge w:val="continue"/>
            <w:shd w:val="clear" w:color="auto" w:fill="E5E5E5"/>
          </w:tcPr>
          <w:p>
            <w:pPr>
              <w:spacing w:after="0"/>
              <w:rPr>
                <w:sz w:val="8"/>
                <w:szCs w:val="8"/>
                <w:color w:val="auto"/>
              </w:rPr>
            </w:pPr>
          </w:p>
        </w:tc>
        <w:tc>
          <w:tcPr>
            <w:tcW w:w="80" w:type="dxa"/>
            <w:vAlign w:val="bottom"/>
            <w:tcBorders>
              <w:bottom w:val="single" w:sz="8" w:color="007549"/>
            </w:tcBorders>
            <w:shd w:val="clear" w:color="auto" w:fill="E5E5E5"/>
          </w:tcPr>
          <w:p>
            <w:pPr>
              <w:spacing w:after="0"/>
              <w:rPr>
                <w:sz w:val="8"/>
                <w:szCs w:val="8"/>
                <w:color w:val="auto"/>
              </w:rPr>
            </w:pPr>
          </w:p>
        </w:tc>
        <w:tc>
          <w:tcPr>
            <w:tcW w:w="420" w:type="dxa"/>
            <w:vAlign w:val="bottom"/>
            <w:tcBorders>
              <w:bottom w:val="single" w:sz="8" w:color="007549"/>
            </w:tcBorders>
            <w:shd w:val="clear" w:color="auto" w:fill="E5E5E5"/>
          </w:tcPr>
          <w:p>
            <w:pPr>
              <w:spacing w:after="0"/>
              <w:rPr>
                <w:sz w:val="8"/>
                <w:szCs w:val="8"/>
                <w:color w:val="auto"/>
              </w:rPr>
            </w:pPr>
          </w:p>
        </w:tc>
        <w:tc>
          <w:tcPr>
            <w:tcW w:w="760" w:type="dxa"/>
            <w:vAlign w:val="bottom"/>
            <w:tcBorders>
              <w:bottom w:val="single" w:sz="8" w:color="007549"/>
            </w:tcBorders>
            <w:shd w:val="clear" w:color="auto" w:fill="E5E5E5"/>
          </w:tcPr>
          <w:p>
            <w:pPr>
              <w:spacing w:after="0"/>
              <w:rPr>
                <w:sz w:val="8"/>
                <w:szCs w:val="8"/>
                <w:color w:val="auto"/>
              </w:rPr>
            </w:pPr>
          </w:p>
        </w:tc>
        <w:tc>
          <w:tcPr>
            <w:tcW w:w="740" w:type="dxa"/>
            <w:vAlign w:val="bottom"/>
            <w:tcBorders>
              <w:bottom w:val="single" w:sz="8" w:color="007549"/>
            </w:tcBorders>
            <w:shd w:val="clear" w:color="auto" w:fill="E5E5E5"/>
          </w:tcPr>
          <w:p>
            <w:pPr>
              <w:spacing w:after="0"/>
              <w:rPr>
                <w:sz w:val="8"/>
                <w:szCs w:val="8"/>
                <w:color w:val="auto"/>
              </w:rPr>
            </w:pPr>
          </w:p>
        </w:tc>
        <w:tc>
          <w:tcPr>
            <w:tcW w:w="780" w:type="dxa"/>
            <w:vAlign w:val="bottom"/>
            <w:tcBorders>
              <w:bottom w:val="single" w:sz="8" w:color="007549"/>
            </w:tcBorders>
            <w:shd w:val="clear" w:color="auto" w:fill="E5E5E5"/>
          </w:tcPr>
          <w:p>
            <w:pPr>
              <w:spacing w:after="0"/>
              <w:rPr>
                <w:sz w:val="8"/>
                <w:szCs w:val="8"/>
                <w:color w:val="auto"/>
              </w:rPr>
            </w:pPr>
          </w:p>
        </w:tc>
        <w:tc>
          <w:tcPr>
            <w:tcW w:w="860" w:type="dxa"/>
            <w:vAlign w:val="bottom"/>
            <w:tcBorders>
              <w:bottom w:val="single" w:sz="8" w:color="007549"/>
            </w:tcBorders>
            <w:shd w:val="clear" w:color="auto" w:fill="E5E5E5"/>
          </w:tcPr>
          <w:p>
            <w:pPr>
              <w:spacing w:after="0"/>
              <w:rPr>
                <w:sz w:val="8"/>
                <w:szCs w:val="8"/>
                <w:color w:val="auto"/>
              </w:rPr>
            </w:pPr>
          </w:p>
        </w:tc>
        <w:tc>
          <w:tcPr>
            <w:tcW w:w="1520" w:type="dxa"/>
            <w:vAlign w:val="bottom"/>
            <w:tcBorders>
              <w:bottom w:val="single" w:sz="8" w:color="007549"/>
            </w:tcBorders>
            <w:shd w:val="clear" w:color="auto" w:fill="E5E5E5"/>
          </w:tcPr>
          <w:p>
            <w:pPr>
              <w:spacing w:after="0"/>
              <w:rPr>
                <w:sz w:val="8"/>
                <w:szCs w:val="8"/>
                <w:color w:val="auto"/>
              </w:rPr>
            </w:pPr>
          </w:p>
        </w:tc>
        <w:tc>
          <w:tcPr>
            <w:tcW w:w="1500" w:type="dxa"/>
            <w:vAlign w:val="bottom"/>
            <w:tcBorders>
              <w:bottom w:val="single" w:sz="8" w:color="007549"/>
            </w:tcBorders>
            <w:shd w:val="clear" w:color="auto" w:fill="E5E5E5"/>
          </w:tcPr>
          <w:p>
            <w:pPr>
              <w:spacing w:after="0"/>
              <w:rPr>
                <w:sz w:val="8"/>
                <w:szCs w:val="8"/>
                <w:color w:val="auto"/>
              </w:rPr>
            </w:pPr>
          </w:p>
        </w:tc>
        <w:tc>
          <w:tcPr>
            <w:tcW w:w="1440" w:type="dxa"/>
            <w:vAlign w:val="bottom"/>
            <w:tcBorders>
              <w:bottom w:val="single" w:sz="8" w:color="007549"/>
            </w:tcBorders>
            <w:shd w:val="clear" w:color="auto" w:fill="E5E5E5"/>
          </w:tcPr>
          <w:p>
            <w:pPr>
              <w:spacing w:after="0"/>
              <w:rPr>
                <w:sz w:val="8"/>
                <w:szCs w:val="8"/>
                <w:color w:val="auto"/>
              </w:rPr>
            </w:pPr>
          </w:p>
        </w:tc>
        <w:tc>
          <w:tcPr>
            <w:tcW w:w="860" w:type="dxa"/>
            <w:vAlign w:val="bottom"/>
            <w:tcBorders>
              <w:bottom w:val="single" w:sz="8" w:color="007549"/>
            </w:tcBorders>
            <w:shd w:val="clear" w:color="auto" w:fill="E5E5E5"/>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007549"/>
            </w:tcBorders>
            <w:shd w:val="clear" w:color="auto" w:fill="E5E5E5"/>
          </w:tcPr>
          <w:p>
            <w:pPr>
              <w:spacing w:after="0"/>
              <w:rPr>
                <w:sz w:val="8"/>
                <w:szCs w:val="8"/>
                <w:color w:val="auto"/>
              </w:rPr>
            </w:pPr>
          </w:p>
        </w:tc>
        <w:tc>
          <w:tcPr>
            <w:tcW w:w="640" w:type="dxa"/>
            <w:vAlign w:val="bottom"/>
            <w:tcBorders>
              <w:bottom w:val="single" w:sz="8" w:color="007549"/>
            </w:tcBorders>
            <w:shd w:val="clear" w:color="auto" w:fill="E5E5E5"/>
          </w:tcPr>
          <w:p>
            <w:pPr>
              <w:spacing w:after="0"/>
              <w:rPr>
                <w:sz w:val="8"/>
                <w:szCs w:val="8"/>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jc w:val="both"/>
        <w:ind w:left="600" w:right="380" w:hanging="314"/>
        <w:spacing w:after="0"/>
        <w:tabs>
          <w:tab w:leader="none" w:pos="6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Amounts in this column show total compensation, as determined under applicable SEC rules and reported in column (j), minus the change in pension value reported in column (h). This is provided to illustrate the effect that the year-over-year change in pension value had on total compensation as determined under applicable SEC rules. The change in pension value is subject to external variables that are not related to the company’s performance or the committee’s decisions relating to total direct compensation year-over-year. Refer to the Compensation Discussion and Analysis beginning on page 20 for a discussion of the committee’s compensation decisions for 2017. The amounts reported in the Total without Change in Pension Value and Nonqualified Deferred Compensation Earnings column differ from the amounts reported in the Total column (column (j)) and are not a substitute for total compensation calculated in accordance with SEC rules.</w:t>
      </w:r>
    </w:p>
    <w:p>
      <w:pPr>
        <w:spacing w:after="0" w:line="112" w:lineRule="exact"/>
        <w:rPr>
          <w:sz w:val="20"/>
          <w:szCs w:val="20"/>
          <w:color w:val="auto"/>
        </w:rPr>
      </w:pPr>
    </w:p>
    <w:p>
      <w:pPr>
        <w:jc w:val="both"/>
        <w:ind w:left="600" w:right="380" w:hanging="314"/>
        <w:spacing w:after="0" w:line="242" w:lineRule="auto"/>
        <w:tabs>
          <w:tab w:leader="none" w:pos="6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amounts shown in column (d) represent the discretionary component of the cash bonuses, reflecting individual performance, as discussed more fully under “Assessment of Individual Performance” in the Compensation Discussion and Analysis, and the amounts shown in column (g) represent the components of the cash bonuses relating to the attainment of enterprise performance metrics, paid to the NEOs under our Annual Incentive Plan, as discussed more fully in Compensation Discussion and Analysis.</w:t>
      </w:r>
    </w:p>
    <w:p>
      <w:pPr>
        <w:spacing w:after="0" w:line="109" w:lineRule="exact"/>
        <w:rPr>
          <w:rFonts w:ascii="Arial" w:cs="Arial" w:eastAsia="Arial" w:hAnsi="Arial"/>
          <w:sz w:val="14"/>
          <w:szCs w:val="14"/>
          <w:color w:val="auto"/>
        </w:rPr>
      </w:pPr>
    </w:p>
    <w:p>
      <w:pPr>
        <w:ind w:left="600" w:right="400" w:hanging="314"/>
        <w:spacing w:after="0" w:line="251" w:lineRule="auto"/>
        <w:tabs>
          <w:tab w:leader="none" w:pos="6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Represents the aggregate grant date fair value of PSUs and restricted stock computed in accordance with ASC 718. A discussion of the valuation assumptions is in Note 11, Share-Based Compensation, to our consolidated financial statements included in our annual report on Form 10-K for the year ended December 31, 2017.</w:t>
      </w:r>
    </w:p>
    <w:p>
      <w:pPr>
        <w:spacing w:after="0" w:line="102" w:lineRule="exact"/>
        <w:rPr>
          <w:rFonts w:ascii="Arial" w:cs="Arial" w:eastAsia="Arial" w:hAnsi="Arial"/>
          <w:sz w:val="14"/>
          <w:szCs w:val="14"/>
          <w:color w:val="auto"/>
        </w:rPr>
      </w:pPr>
    </w:p>
    <w:p>
      <w:pPr>
        <w:ind w:left="600" w:right="400" w:hanging="314"/>
        <w:spacing w:after="0" w:line="251" w:lineRule="auto"/>
        <w:tabs>
          <w:tab w:leader="none" w:pos="6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Represents the aggregate grant date fair value for stock options granted in 2017 computed in accordance with ASC 718. A discussion of the valuation assumptions is in Note 11, Share-Based Compensation, to our consolidated financial statements included in our annual report on Form 10-K for the year ended December 31, 2017.</w:t>
      </w:r>
    </w:p>
    <w:p>
      <w:pPr>
        <w:spacing w:after="0" w:line="102" w:lineRule="exact"/>
        <w:rPr>
          <w:rFonts w:ascii="Arial" w:cs="Arial" w:eastAsia="Arial" w:hAnsi="Arial"/>
          <w:sz w:val="14"/>
          <w:szCs w:val="14"/>
          <w:color w:val="auto"/>
        </w:rPr>
      </w:pPr>
    </w:p>
    <w:p>
      <w:pPr>
        <w:jc w:val="both"/>
        <w:ind w:left="600" w:right="380" w:hanging="314"/>
        <w:spacing w:after="0" w:line="244" w:lineRule="auto"/>
        <w:tabs>
          <w:tab w:leader="none" w:pos="6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 2017, pension values increased primarily due to a decrease in the assumed discount rate which is tied directly to the 30-year Treasury rate in accordance with the PRP Plan document rules. As described in the Compensation Discussion and Analysis, Hess offers pension benefits to all U.S. employees consisting of the Employee’s Pension Plan (“EPP”) and the Pension Restoration Plan (“PRP”). No change was made to either plan in 2017.</w:t>
      </w:r>
    </w:p>
    <w:p>
      <w:pPr>
        <w:spacing w:after="0" w:line="107" w:lineRule="exact"/>
        <w:rPr>
          <w:rFonts w:ascii="Arial" w:cs="Arial" w:eastAsia="Arial" w:hAnsi="Arial"/>
          <w:sz w:val="14"/>
          <w:szCs w:val="14"/>
          <w:color w:val="auto"/>
        </w:rPr>
      </w:pPr>
    </w:p>
    <w:p>
      <w:pPr>
        <w:jc w:val="both"/>
        <w:ind w:left="600" w:right="380" w:hanging="314"/>
        <w:spacing w:after="0" w:line="242" w:lineRule="auto"/>
        <w:tabs>
          <w:tab w:leader="none" w:pos="6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Pension Value for Mr. Hess decreased by $199,196 and $1,952,623 during 2016 and 2015, respectively, primarily due to the (i) increase in the assumed discount rate used to value lump sums under the Hess Pension Restoration Plan and (ii) the fact that Mr. Hess had previously met the age and service requirements for unreduced early retirement benefits and remained in employment at Hess. The value of the unreduced early retirement benefits decreases with age due to the decrease in life expectancy. The effect of these decreases exceeded the value of benefits earned under the EPP and PRP during 2016 and 2015, respectively.</w:t>
      </w:r>
    </w:p>
    <w:p>
      <w:pPr>
        <w:spacing w:after="0" w:line="109" w:lineRule="exact"/>
        <w:rPr>
          <w:rFonts w:ascii="Arial" w:cs="Arial" w:eastAsia="Arial" w:hAnsi="Arial"/>
          <w:sz w:val="14"/>
          <w:szCs w:val="14"/>
          <w:color w:val="auto"/>
        </w:rPr>
      </w:pPr>
    </w:p>
    <w:p>
      <w:pPr>
        <w:ind w:left="600" w:hanging="314"/>
        <w:spacing w:after="0"/>
        <w:tabs>
          <w:tab w:leader="none" w:pos="6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Represents matching contributions by the company credited to the NEOs under the company’s employees’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88900</wp:posOffset>
            </wp:positionV>
            <wp:extent cx="405765" cy="2451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213" w:lineRule="exact"/>
        <w:rPr>
          <w:sz w:val="20"/>
          <w:szCs w:val="20"/>
          <w:color w:val="auto"/>
        </w:rPr>
      </w:pPr>
    </w:p>
    <w:tbl>
      <w:tblPr>
        <w:tblLayout w:type="fixed"/>
        <w:tblInd w:w="9140" w:type="dxa"/>
        <w:tblCellMar>
          <w:top w:w="0" w:type="dxa"/>
          <w:left w:w="0" w:type="dxa"/>
          <w:bottom w:w="0" w:type="dxa"/>
          <w:right w:w="0" w:type="dxa"/>
        </w:tblCellMar>
      </w:tblPr>
      <w:tr>
        <w:trPr>
          <w:trHeight w:val="188"/>
        </w:trPr>
        <w:tc>
          <w:tcPr>
            <w:tcW w:w="1680" w:type="dxa"/>
            <w:vAlign w:val="bottom"/>
          </w:tcPr>
          <w:p>
            <w:pPr>
              <w:spacing w:after="0"/>
              <w:rPr>
                <w:sz w:val="20"/>
                <w:szCs w:val="20"/>
                <w:color w:val="auto"/>
              </w:rPr>
            </w:pPr>
            <w:r>
              <w:rPr>
                <w:rFonts w:ascii="Arial" w:cs="Arial" w:eastAsia="Arial" w:hAnsi="Arial"/>
                <w:sz w:val="12"/>
                <w:szCs w:val="12"/>
                <w:b w:val="1"/>
                <w:bCs w:val="1"/>
                <w:color w:val="666666"/>
              </w:rPr>
              <w:t>2018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007549"/>
              </w:rPr>
              <w:t>37</w:t>
            </w:r>
          </w:p>
        </w:tc>
      </w:tr>
    </w:tbl>
    <w:p>
      <w:pPr>
        <w:sectPr>
          <w:pgSz w:w="11900" w:h="16838" w:orient="portrait"/>
          <w:cols w:equalWidth="0" w:num="1">
            <w:col w:w="11520"/>
          </w:cols>
          <w:pgMar w:left="240" w:top="454" w:right="1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007549"/>
        </w:rPr>
        <w:t xml:space="preserve">Executive Compensation </w:t>
      </w:r>
      <w:r>
        <w:rPr>
          <w:rFonts w:ascii="Arial" w:cs="Arial" w:eastAsia="Arial" w:hAnsi="Arial"/>
          <w:sz w:val="16"/>
          <w:szCs w:val="16"/>
          <w:b w:val="1"/>
          <w:bCs w:val="1"/>
          <w:color w:val="000000"/>
        </w:rPr>
        <w:t>+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55245</wp:posOffset>
            </wp:positionV>
            <wp:extent cx="689356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24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007549"/>
        </w:rPr>
        <w:t>GRANTS OF PLAN-BASED AWARDS</w:t>
      </w:r>
    </w:p>
    <w:p>
      <w:pPr>
        <w:spacing w:after="0" w:line="121" w:lineRule="exact"/>
        <w:rPr>
          <w:sz w:val="20"/>
          <w:szCs w:val="20"/>
          <w:color w:val="auto"/>
        </w:rPr>
      </w:pPr>
    </w:p>
    <w:p>
      <w:pPr>
        <w:jc w:val="both"/>
        <w:ind w:left="280"/>
        <w:spacing w:after="0" w:line="235" w:lineRule="auto"/>
        <w:rPr>
          <w:sz w:val="20"/>
          <w:szCs w:val="20"/>
          <w:color w:val="auto"/>
        </w:rPr>
      </w:pPr>
      <w:r>
        <w:rPr>
          <w:rFonts w:ascii="Arial" w:cs="Arial" w:eastAsia="Arial" w:hAnsi="Arial"/>
          <w:sz w:val="18"/>
          <w:szCs w:val="18"/>
          <w:color w:val="auto"/>
        </w:rPr>
        <w:t>On February 28, 2017, the committee established target bonuses and approved awards of performance shares, stock options and restricted stock to the NEOs, effective March 6, 2017. The following table sets forth information concerning possible payouts under the AIP and possible payouts under the performance share program made under the incentive plan for 2017 and individual grants of restricted stock and stock options made under the incentive plan for 2017 to each of the NEOs:</w:t>
      </w:r>
    </w:p>
    <w:p>
      <w:pPr>
        <w:spacing w:after="0" w:line="228" w:lineRule="exact"/>
        <w:rPr>
          <w:sz w:val="20"/>
          <w:szCs w:val="20"/>
          <w:color w:val="auto"/>
        </w:rPr>
      </w:pPr>
    </w:p>
    <w:tbl>
      <w:tblPr>
        <w:tblLayout w:type="fixed"/>
        <w:tblInd w:w="280" w:type="dxa"/>
        <w:tblCellMar>
          <w:top w:w="0" w:type="dxa"/>
          <w:left w:w="0" w:type="dxa"/>
          <w:bottom w:w="0" w:type="dxa"/>
          <w:right w:w="0" w:type="dxa"/>
        </w:tblCellMar>
      </w:tblPr>
      <w:tr>
        <w:trPr>
          <w:trHeight w:val="459"/>
        </w:trPr>
        <w:tc>
          <w:tcPr>
            <w:tcW w:w="1830" w:type="dxa"/>
            <w:vAlign w:val="bottom"/>
            <w:shd w:val="clear" w:color="auto" w:fill="007549"/>
          </w:tcPr>
          <w:p>
            <w:pPr>
              <w:spacing w:after="0"/>
              <w:rPr>
                <w:sz w:val="24"/>
                <w:szCs w:val="24"/>
                <w:color w:val="auto"/>
              </w:rPr>
            </w:pPr>
          </w:p>
        </w:tc>
        <w:tc>
          <w:tcPr>
            <w:tcW w:w="1190" w:type="dxa"/>
            <w:vAlign w:val="bottom"/>
            <w:shd w:val="clear" w:color="auto" w:fill="007549"/>
          </w:tcPr>
          <w:p>
            <w:pPr>
              <w:spacing w:after="0"/>
              <w:rPr>
                <w:sz w:val="24"/>
                <w:szCs w:val="24"/>
                <w:color w:val="auto"/>
              </w:rPr>
            </w:pPr>
          </w:p>
        </w:tc>
        <w:tc>
          <w:tcPr>
            <w:tcW w:w="740" w:type="dxa"/>
            <w:vAlign w:val="bottom"/>
            <w:shd w:val="clear" w:color="auto" w:fill="007549"/>
          </w:tcPr>
          <w:p>
            <w:pPr>
              <w:spacing w:after="0"/>
              <w:rPr>
                <w:sz w:val="24"/>
                <w:szCs w:val="24"/>
                <w:color w:val="auto"/>
              </w:rPr>
            </w:pPr>
          </w:p>
        </w:tc>
        <w:tc>
          <w:tcPr>
            <w:tcW w:w="740" w:type="dxa"/>
            <w:vAlign w:val="bottom"/>
            <w:shd w:val="clear" w:color="auto" w:fill="007549"/>
          </w:tcPr>
          <w:p>
            <w:pPr>
              <w:spacing w:after="0"/>
              <w:rPr>
                <w:sz w:val="24"/>
                <w:szCs w:val="24"/>
                <w:color w:val="auto"/>
              </w:rPr>
            </w:pPr>
          </w:p>
        </w:tc>
        <w:tc>
          <w:tcPr>
            <w:tcW w:w="680" w:type="dxa"/>
            <w:vAlign w:val="bottom"/>
            <w:shd w:val="clear" w:color="auto" w:fill="007549"/>
          </w:tcPr>
          <w:p>
            <w:pPr>
              <w:spacing w:after="0"/>
              <w:rPr>
                <w:sz w:val="24"/>
                <w:szCs w:val="24"/>
                <w:color w:val="auto"/>
              </w:rPr>
            </w:pPr>
          </w:p>
        </w:tc>
        <w:tc>
          <w:tcPr>
            <w:tcW w:w="100" w:type="dxa"/>
            <w:vAlign w:val="bottom"/>
            <w:shd w:val="clear" w:color="auto" w:fill="007549"/>
          </w:tcPr>
          <w:p>
            <w:pPr>
              <w:spacing w:after="0"/>
              <w:rPr>
                <w:sz w:val="24"/>
                <w:szCs w:val="24"/>
                <w:color w:val="auto"/>
              </w:rPr>
            </w:pPr>
          </w:p>
        </w:tc>
        <w:tc>
          <w:tcPr>
            <w:tcW w:w="620" w:type="dxa"/>
            <w:vAlign w:val="bottom"/>
            <w:shd w:val="clear" w:color="auto" w:fill="007549"/>
          </w:tcPr>
          <w:p>
            <w:pPr>
              <w:spacing w:after="0"/>
              <w:rPr>
                <w:sz w:val="24"/>
                <w:szCs w:val="24"/>
                <w:color w:val="auto"/>
              </w:rPr>
            </w:pPr>
          </w:p>
        </w:tc>
        <w:tc>
          <w:tcPr>
            <w:tcW w:w="740" w:type="dxa"/>
            <w:vAlign w:val="bottom"/>
            <w:shd w:val="clear" w:color="auto" w:fill="007549"/>
          </w:tcPr>
          <w:p>
            <w:pPr>
              <w:spacing w:after="0"/>
              <w:rPr>
                <w:sz w:val="24"/>
                <w:szCs w:val="24"/>
                <w:color w:val="auto"/>
              </w:rPr>
            </w:pPr>
          </w:p>
        </w:tc>
        <w:tc>
          <w:tcPr>
            <w:tcW w:w="760" w:type="dxa"/>
            <w:vAlign w:val="bottom"/>
            <w:shd w:val="clear" w:color="auto" w:fill="007549"/>
          </w:tcPr>
          <w:p>
            <w:pPr>
              <w:spacing w:after="0"/>
              <w:rPr>
                <w:sz w:val="24"/>
                <w:szCs w:val="24"/>
                <w:color w:val="auto"/>
              </w:rPr>
            </w:pPr>
          </w:p>
        </w:tc>
        <w:tc>
          <w:tcPr>
            <w:tcW w:w="600" w:type="dxa"/>
            <w:vAlign w:val="bottom"/>
            <w:shd w:val="clear" w:color="auto" w:fill="007549"/>
          </w:tcPr>
          <w:p>
            <w:pPr>
              <w:spacing w:after="0"/>
              <w:rPr>
                <w:sz w:val="24"/>
                <w:szCs w:val="24"/>
                <w:color w:val="auto"/>
              </w:rPr>
            </w:pPr>
          </w:p>
        </w:tc>
        <w:tc>
          <w:tcPr>
            <w:tcW w:w="620" w:type="dxa"/>
            <w:vAlign w:val="bottom"/>
            <w:shd w:val="clear" w:color="auto" w:fill="007549"/>
          </w:tcPr>
          <w:p>
            <w:pPr>
              <w:jc w:val="center"/>
              <w:spacing w:after="0"/>
              <w:rPr>
                <w:sz w:val="20"/>
                <w:szCs w:val="20"/>
                <w:color w:val="auto"/>
              </w:rPr>
            </w:pPr>
            <w:r>
              <w:rPr>
                <w:rFonts w:ascii="Arial" w:cs="Arial" w:eastAsia="Arial" w:hAnsi="Arial"/>
                <w:sz w:val="12"/>
                <w:szCs w:val="12"/>
                <w:b w:val="1"/>
                <w:bCs w:val="1"/>
                <w:color w:val="FFFFFF"/>
              </w:rPr>
              <w:t>All Other</w:t>
            </w:r>
          </w:p>
        </w:tc>
        <w:tc>
          <w:tcPr>
            <w:tcW w:w="760" w:type="dxa"/>
            <w:vAlign w:val="bottom"/>
            <w:shd w:val="clear" w:color="auto" w:fill="007549"/>
          </w:tcPr>
          <w:p>
            <w:pPr>
              <w:jc w:val="center"/>
              <w:spacing w:after="0"/>
              <w:rPr>
                <w:sz w:val="20"/>
                <w:szCs w:val="20"/>
                <w:color w:val="auto"/>
              </w:rPr>
            </w:pPr>
            <w:r>
              <w:rPr>
                <w:rFonts w:ascii="Arial" w:cs="Arial" w:eastAsia="Arial" w:hAnsi="Arial"/>
                <w:sz w:val="12"/>
                <w:szCs w:val="12"/>
                <w:b w:val="1"/>
                <w:bCs w:val="1"/>
                <w:color w:val="FFFFFF"/>
              </w:rPr>
              <w:t>All Other</w:t>
            </w:r>
          </w:p>
        </w:tc>
        <w:tc>
          <w:tcPr>
            <w:tcW w:w="640" w:type="dxa"/>
            <w:vAlign w:val="bottom"/>
            <w:shd w:val="clear" w:color="auto" w:fill="007549"/>
          </w:tcPr>
          <w:p>
            <w:pPr>
              <w:spacing w:after="0"/>
              <w:rPr>
                <w:sz w:val="24"/>
                <w:szCs w:val="24"/>
                <w:color w:val="auto"/>
              </w:rPr>
            </w:pPr>
          </w:p>
        </w:tc>
        <w:tc>
          <w:tcPr>
            <w:tcW w:w="840" w:type="dxa"/>
            <w:vAlign w:val="bottom"/>
            <w:shd w:val="clear" w:color="auto" w:fill="007549"/>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830" w:type="dxa"/>
            <w:vAlign w:val="bottom"/>
            <w:shd w:val="clear" w:color="auto" w:fill="007549"/>
          </w:tcPr>
          <w:p>
            <w:pPr>
              <w:spacing w:after="0"/>
              <w:rPr>
                <w:sz w:val="11"/>
                <w:szCs w:val="11"/>
                <w:color w:val="auto"/>
              </w:rPr>
            </w:pPr>
          </w:p>
        </w:tc>
        <w:tc>
          <w:tcPr>
            <w:tcW w:w="1190" w:type="dxa"/>
            <w:vAlign w:val="bottom"/>
            <w:shd w:val="clear" w:color="auto" w:fill="007549"/>
          </w:tcPr>
          <w:p>
            <w:pPr>
              <w:spacing w:after="0"/>
              <w:rPr>
                <w:sz w:val="11"/>
                <w:szCs w:val="11"/>
                <w:color w:val="auto"/>
              </w:rPr>
            </w:pPr>
          </w:p>
        </w:tc>
        <w:tc>
          <w:tcPr>
            <w:tcW w:w="740" w:type="dxa"/>
            <w:vAlign w:val="bottom"/>
            <w:shd w:val="clear" w:color="auto" w:fill="007549"/>
          </w:tcPr>
          <w:p>
            <w:pPr>
              <w:spacing w:after="0"/>
              <w:rPr>
                <w:sz w:val="11"/>
                <w:szCs w:val="11"/>
                <w:color w:val="auto"/>
              </w:rPr>
            </w:pPr>
          </w:p>
        </w:tc>
        <w:tc>
          <w:tcPr>
            <w:tcW w:w="740" w:type="dxa"/>
            <w:vAlign w:val="bottom"/>
            <w:shd w:val="clear" w:color="auto" w:fill="007549"/>
          </w:tcPr>
          <w:p>
            <w:pPr>
              <w:spacing w:after="0"/>
              <w:rPr>
                <w:sz w:val="11"/>
                <w:szCs w:val="11"/>
                <w:color w:val="auto"/>
              </w:rPr>
            </w:pPr>
          </w:p>
        </w:tc>
        <w:tc>
          <w:tcPr>
            <w:tcW w:w="680" w:type="dxa"/>
            <w:vAlign w:val="bottom"/>
            <w:shd w:val="clear" w:color="auto" w:fill="007549"/>
          </w:tcPr>
          <w:p>
            <w:pPr>
              <w:spacing w:after="0"/>
              <w:rPr>
                <w:sz w:val="11"/>
                <w:szCs w:val="11"/>
                <w:color w:val="auto"/>
              </w:rPr>
            </w:pPr>
          </w:p>
        </w:tc>
        <w:tc>
          <w:tcPr>
            <w:tcW w:w="100" w:type="dxa"/>
            <w:vAlign w:val="bottom"/>
            <w:shd w:val="clear" w:color="auto" w:fill="007549"/>
          </w:tcPr>
          <w:p>
            <w:pPr>
              <w:spacing w:after="0"/>
              <w:rPr>
                <w:sz w:val="11"/>
                <w:szCs w:val="11"/>
                <w:color w:val="auto"/>
              </w:rPr>
            </w:pPr>
          </w:p>
        </w:tc>
        <w:tc>
          <w:tcPr>
            <w:tcW w:w="620" w:type="dxa"/>
            <w:vAlign w:val="bottom"/>
            <w:shd w:val="clear" w:color="auto" w:fill="007549"/>
          </w:tcPr>
          <w:p>
            <w:pPr>
              <w:spacing w:after="0"/>
              <w:rPr>
                <w:sz w:val="11"/>
                <w:szCs w:val="11"/>
                <w:color w:val="auto"/>
              </w:rPr>
            </w:pPr>
          </w:p>
        </w:tc>
        <w:tc>
          <w:tcPr>
            <w:tcW w:w="740" w:type="dxa"/>
            <w:vAlign w:val="bottom"/>
            <w:shd w:val="clear" w:color="auto" w:fill="007549"/>
          </w:tcPr>
          <w:p>
            <w:pPr>
              <w:spacing w:after="0"/>
              <w:rPr>
                <w:sz w:val="11"/>
                <w:szCs w:val="11"/>
                <w:color w:val="auto"/>
              </w:rPr>
            </w:pPr>
          </w:p>
        </w:tc>
        <w:tc>
          <w:tcPr>
            <w:tcW w:w="760" w:type="dxa"/>
            <w:vAlign w:val="bottom"/>
            <w:shd w:val="clear" w:color="auto" w:fill="007549"/>
          </w:tcPr>
          <w:p>
            <w:pPr>
              <w:spacing w:after="0"/>
              <w:rPr>
                <w:sz w:val="11"/>
                <w:szCs w:val="11"/>
                <w:color w:val="auto"/>
              </w:rPr>
            </w:pPr>
          </w:p>
        </w:tc>
        <w:tc>
          <w:tcPr>
            <w:tcW w:w="600" w:type="dxa"/>
            <w:vAlign w:val="bottom"/>
            <w:shd w:val="clear" w:color="auto" w:fill="007549"/>
          </w:tcPr>
          <w:p>
            <w:pPr>
              <w:spacing w:after="0"/>
              <w:rPr>
                <w:sz w:val="11"/>
                <w:szCs w:val="11"/>
                <w:color w:val="auto"/>
              </w:rPr>
            </w:pPr>
          </w:p>
        </w:tc>
        <w:tc>
          <w:tcPr>
            <w:tcW w:w="62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rPr>
              <w:t>Stock</w:t>
            </w:r>
          </w:p>
        </w:tc>
        <w:tc>
          <w:tcPr>
            <w:tcW w:w="76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rPr>
              <w:t>Option</w:t>
            </w:r>
          </w:p>
        </w:tc>
        <w:tc>
          <w:tcPr>
            <w:tcW w:w="640" w:type="dxa"/>
            <w:vAlign w:val="bottom"/>
            <w:shd w:val="clear" w:color="auto" w:fill="007549"/>
          </w:tcPr>
          <w:p>
            <w:pPr>
              <w:spacing w:after="0"/>
              <w:rPr>
                <w:sz w:val="11"/>
                <w:szCs w:val="11"/>
                <w:color w:val="auto"/>
              </w:rPr>
            </w:pPr>
          </w:p>
        </w:tc>
        <w:tc>
          <w:tcPr>
            <w:tcW w:w="840" w:type="dxa"/>
            <w:vAlign w:val="bottom"/>
            <w:shd w:val="clear" w:color="auto" w:fill="007549"/>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830" w:type="dxa"/>
            <w:vAlign w:val="bottom"/>
            <w:shd w:val="clear" w:color="auto" w:fill="007549"/>
          </w:tcPr>
          <w:p>
            <w:pPr>
              <w:spacing w:after="0"/>
              <w:rPr>
                <w:sz w:val="11"/>
                <w:szCs w:val="11"/>
                <w:color w:val="auto"/>
              </w:rPr>
            </w:pPr>
          </w:p>
        </w:tc>
        <w:tc>
          <w:tcPr>
            <w:tcW w:w="1190" w:type="dxa"/>
            <w:vAlign w:val="bottom"/>
            <w:shd w:val="clear" w:color="auto" w:fill="007549"/>
          </w:tcPr>
          <w:p>
            <w:pPr>
              <w:spacing w:after="0"/>
              <w:rPr>
                <w:sz w:val="11"/>
                <w:szCs w:val="11"/>
                <w:color w:val="auto"/>
              </w:rPr>
            </w:pPr>
          </w:p>
        </w:tc>
        <w:tc>
          <w:tcPr>
            <w:tcW w:w="740" w:type="dxa"/>
            <w:vAlign w:val="bottom"/>
            <w:shd w:val="clear" w:color="auto" w:fill="007549"/>
          </w:tcPr>
          <w:p>
            <w:pPr>
              <w:spacing w:after="0"/>
              <w:rPr>
                <w:sz w:val="11"/>
                <w:szCs w:val="11"/>
                <w:color w:val="auto"/>
              </w:rPr>
            </w:pPr>
          </w:p>
        </w:tc>
        <w:tc>
          <w:tcPr>
            <w:tcW w:w="2140" w:type="dxa"/>
            <w:vAlign w:val="bottom"/>
            <w:gridSpan w:val="4"/>
            <w:vMerge w:val="restart"/>
            <w:shd w:val="clear" w:color="auto" w:fill="007549"/>
          </w:tcPr>
          <w:p>
            <w:pPr>
              <w:jc w:val="center"/>
              <w:spacing w:after="0"/>
              <w:rPr>
                <w:sz w:val="20"/>
                <w:szCs w:val="20"/>
                <w:color w:val="auto"/>
              </w:rPr>
            </w:pPr>
            <w:r>
              <w:rPr>
                <w:rFonts w:ascii="Arial" w:cs="Arial" w:eastAsia="Arial" w:hAnsi="Arial"/>
                <w:sz w:val="12"/>
                <w:szCs w:val="12"/>
                <w:b w:val="1"/>
                <w:bCs w:val="1"/>
                <w:color w:val="FFFFFF"/>
              </w:rPr>
              <w:t>Estimated Future Payouts</w:t>
            </w:r>
          </w:p>
        </w:tc>
        <w:tc>
          <w:tcPr>
            <w:tcW w:w="2100" w:type="dxa"/>
            <w:vAlign w:val="bottom"/>
            <w:gridSpan w:val="3"/>
            <w:vMerge w:val="restart"/>
            <w:shd w:val="clear" w:color="auto" w:fill="007549"/>
          </w:tcPr>
          <w:p>
            <w:pPr>
              <w:jc w:val="center"/>
              <w:spacing w:after="0"/>
              <w:rPr>
                <w:sz w:val="20"/>
                <w:szCs w:val="20"/>
                <w:color w:val="auto"/>
              </w:rPr>
            </w:pPr>
            <w:r>
              <w:rPr>
                <w:rFonts w:ascii="Arial" w:cs="Arial" w:eastAsia="Arial" w:hAnsi="Arial"/>
                <w:sz w:val="12"/>
                <w:szCs w:val="12"/>
                <w:b w:val="1"/>
                <w:bCs w:val="1"/>
                <w:color w:val="FFFFFF"/>
              </w:rPr>
              <w:t>Estimated Future Payouts</w:t>
            </w:r>
          </w:p>
        </w:tc>
        <w:tc>
          <w:tcPr>
            <w:tcW w:w="62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rPr>
              <w:t>Awards:</w:t>
            </w:r>
          </w:p>
        </w:tc>
        <w:tc>
          <w:tcPr>
            <w:tcW w:w="76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rPr>
              <w:t>Awards:</w:t>
            </w:r>
          </w:p>
        </w:tc>
        <w:tc>
          <w:tcPr>
            <w:tcW w:w="640" w:type="dxa"/>
            <w:vAlign w:val="bottom"/>
            <w:shd w:val="clear" w:color="auto" w:fill="007549"/>
          </w:tcPr>
          <w:p>
            <w:pPr>
              <w:spacing w:after="0"/>
              <w:rPr>
                <w:sz w:val="11"/>
                <w:szCs w:val="11"/>
                <w:color w:val="auto"/>
              </w:rPr>
            </w:pPr>
          </w:p>
        </w:tc>
        <w:tc>
          <w:tcPr>
            <w:tcW w:w="840" w:type="dxa"/>
            <w:vAlign w:val="bottom"/>
            <w:shd w:val="clear" w:color="auto" w:fill="007549"/>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830" w:type="dxa"/>
            <w:vAlign w:val="bottom"/>
            <w:shd w:val="clear" w:color="auto" w:fill="007549"/>
          </w:tcPr>
          <w:p>
            <w:pPr>
              <w:spacing w:after="0"/>
              <w:rPr>
                <w:sz w:val="10"/>
                <w:szCs w:val="10"/>
                <w:color w:val="auto"/>
              </w:rPr>
            </w:pPr>
          </w:p>
        </w:tc>
        <w:tc>
          <w:tcPr>
            <w:tcW w:w="1190" w:type="dxa"/>
            <w:vAlign w:val="bottom"/>
            <w:shd w:val="clear" w:color="auto" w:fill="007549"/>
          </w:tcPr>
          <w:p>
            <w:pPr>
              <w:spacing w:after="0"/>
              <w:rPr>
                <w:sz w:val="10"/>
                <w:szCs w:val="10"/>
                <w:color w:val="auto"/>
              </w:rPr>
            </w:pPr>
          </w:p>
        </w:tc>
        <w:tc>
          <w:tcPr>
            <w:tcW w:w="740" w:type="dxa"/>
            <w:vAlign w:val="bottom"/>
            <w:shd w:val="clear" w:color="auto" w:fill="007549"/>
          </w:tcPr>
          <w:p>
            <w:pPr>
              <w:spacing w:after="0"/>
              <w:rPr>
                <w:sz w:val="10"/>
                <w:szCs w:val="10"/>
                <w:color w:val="auto"/>
              </w:rPr>
            </w:pPr>
          </w:p>
        </w:tc>
        <w:tc>
          <w:tcPr>
            <w:tcW w:w="2140" w:type="dxa"/>
            <w:vAlign w:val="bottom"/>
            <w:gridSpan w:val="4"/>
            <w:vMerge w:val="continue"/>
            <w:shd w:val="clear" w:color="auto" w:fill="007549"/>
          </w:tcPr>
          <w:p>
            <w:pPr>
              <w:spacing w:after="0"/>
              <w:rPr>
                <w:sz w:val="10"/>
                <w:szCs w:val="10"/>
                <w:color w:val="auto"/>
              </w:rPr>
            </w:pPr>
          </w:p>
        </w:tc>
        <w:tc>
          <w:tcPr>
            <w:tcW w:w="2100" w:type="dxa"/>
            <w:vAlign w:val="bottom"/>
            <w:gridSpan w:val="3"/>
            <w:vMerge w:val="continue"/>
            <w:shd w:val="clear" w:color="auto" w:fill="007549"/>
          </w:tcPr>
          <w:p>
            <w:pPr>
              <w:spacing w:after="0"/>
              <w:rPr>
                <w:sz w:val="10"/>
                <w:szCs w:val="10"/>
                <w:color w:val="auto"/>
              </w:rPr>
            </w:pPr>
          </w:p>
        </w:tc>
        <w:tc>
          <w:tcPr>
            <w:tcW w:w="620" w:type="dxa"/>
            <w:vAlign w:val="bottom"/>
            <w:shd w:val="clear" w:color="auto" w:fill="007549"/>
          </w:tcPr>
          <w:p>
            <w:pPr>
              <w:jc w:val="center"/>
              <w:spacing w:after="0" w:line="126" w:lineRule="exact"/>
              <w:rPr>
                <w:sz w:val="20"/>
                <w:szCs w:val="20"/>
                <w:color w:val="auto"/>
              </w:rPr>
            </w:pPr>
            <w:r>
              <w:rPr>
                <w:rFonts w:ascii="Arial" w:cs="Arial" w:eastAsia="Arial" w:hAnsi="Arial"/>
                <w:sz w:val="12"/>
                <w:szCs w:val="12"/>
                <w:b w:val="1"/>
                <w:bCs w:val="1"/>
                <w:color w:val="FFFFFF"/>
              </w:rPr>
              <w:t>Number</w:t>
            </w:r>
          </w:p>
        </w:tc>
        <w:tc>
          <w:tcPr>
            <w:tcW w:w="760" w:type="dxa"/>
            <w:vAlign w:val="bottom"/>
            <w:shd w:val="clear" w:color="auto" w:fill="007549"/>
          </w:tcPr>
          <w:p>
            <w:pPr>
              <w:jc w:val="center"/>
              <w:spacing w:after="0" w:line="126" w:lineRule="exact"/>
              <w:rPr>
                <w:sz w:val="20"/>
                <w:szCs w:val="20"/>
                <w:color w:val="auto"/>
              </w:rPr>
            </w:pPr>
            <w:r>
              <w:rPr>
                <w:rFonts w:ascii="Arial" w:cs="Arial" w:eastAsia="Arial" w:hAnsi="Arial"/>
                <w:sz w:val="12"/>
                <w:szCs w:val="12"/>
                <w:b w:val="1"/>
                <w:bCs w:val="1"/>
                <w:color w:val="FFFFFF"/>
              </w:rPr>
              <w:t>Number of</w:t>
            </w:r>
          </w:p>
        </w:tc>
        <w:tc>
          <w:tcPr>
            <w:tcW w:w="640" w:type="dxa"/>
            <w:vAlign w:val="bottom"/>
            <w:shd w:val="clear" w:color="auto" w:fill="007549"/>
          </w:tcPr>
          <w:p>
            <w:pPr>
              <w:jc w:val="right"/>
              <w:spacing w:after="0" w:line="126" w:lineRule="exact"/>
              <w:rPr>
                <w:sz w:val="20"/>
                <w:szCs w:val="20"/>
                <w:color w:val="auto"/>
              </w:rPr>
            </w:pPr>
            <w:r>
              <w:rPr>
                <w:rFonts w:ascii="Arial" w:cs="Arial" w:eastAsia="Arial" w:hAnsi="Arial"/>
                <w:sz w:val="12"/>
                <w:szCs w:val="12"/>
                <w:b w:val="1"/>
                <w:bCs w:val="1"/>
                <w:color w:val="FFFFFF"/>
              </w:rPr>
              <w:t>Exercise</w:t>
            </w:r>
          </w:p>
        </w:tc>
        <w:tc>
          <w:tcPr>
            <w:tcW w:w="840" w:type="dxa"/>
            <w:vAlign w:val="bottom"/>
            <w:shd w:val="clear" w:color="auto" w:fill="007549"/>
          </w:tcPr>
          <w:p>
            <w:pPr>
              <w:jc w:val="center"/>
              <w:spacing w:after="0" w:line="126" w:lineRule="exact"/>
              <w:rPr>
                <w:sz w:val="20"/>
                <w:szCs w:val="20"/>
                <w:color w:val="auto"/>
              </w:rPr>
            </w:pPr>
            <w:r>
              <w:rPr>
                <w:rFonts w:ascii="Arial" w:cs="Arial" w:eastAsia="Arial" w:hAnsi="Arial"/>
                <w:sz w:val="12"/>
                <w:szCs w:val="12"/>
                <w:b w:val="1"/>
                <w:bCs w:val="1"/>
                <w:color w:val="FFFFFF"/>
              </w:rPr>
              <w:t>Grant Date</w:t>
            </w:r>
          </w:p>
        </w:tc>
        <w:tc>
          <w:tcPr>
            <w:tcW w:w="0" w:type="dxa"/>
            <w:vAlign w:val="bottom"/>
          </w:tcPr>
          <w:p>
            <w:pPr>
              <w:spacing w:after="0"/>
              <w:rPr>
                <w:sz w:val="1"/>
                <w:szCs w:val="1"/>
                <w:color w:val="auto"/>
              </w:rPr>
            </w:pPr>
          </w:p>
        </w:tc>
      </w:tr>
      <w:tr>
        <w:trPr>
          <w:trHeight w:val="133"/>
        </w:trPr>
        <w:tc>
          <w:tcPr>
            <w:tcW w:w="1830" w:type="dxa"/>
            <w:vAlign w:val="bottom"/>
            <w:shd w:val="clear" w:color="auto" w:fill="007549"/>
          </w:tcPr>
          <w:p>
            <w:pPr>
              <w:spacing w:after="0"/>
              <w:rPr>
                <w:sz w:val="11"/>
                <w:szCs w:val="11"/>
                <w:color w:val="auto"/>
              </w:rPr>
            </w:pPr>
          </w:p>
        </w:tc>
        <w:tc>
          <w:tcPr>
            <w:tcW w:w="1190" w:type="dxa"/>
            <w:vAlign w:val="bottom"/>
            <w:shd w:val="clear" w:color="auto" w:fill="007549"/>
          </w:tcPr>
          <w:p>
            <w:pPr>
              <w:spacing w:after="0"/>
              <w:rPr>
                <w:sz w:val="11"/>
                <w:szCs w:val="11"/>
                <w:color w:val="auto"/>
              </w:rPr>
            </w:pPr>
          </w:p>
        </w:tc>
        <w:tc>
          <w:tcPr>
            <w:tcW w:w="740" w:type="dxa"/>
            <w:vAlign w:val="bottom"/>
            <w:shd w:val="clear" w:color="auto" w:fill="007549"/>
          </w:tcPr>
          <w:p>
            <w:pPr>
              <w:spacing w:after="0"/>
              <w:rPr>
                <w:sz w:val="11"/>
                <w:szCs w:val="11"/>
                <w:color w:val="auto"/>
              </w:rPr>
            </w:pPr>
          </w:p>
        </w:tc>
        <w:tc>
          <w:tcPr>
            <w:tcW w:w="2140" w:type="dxa"/>
            <w:vAlign w:val="bottom"/>
            <w:gridSpan w:val="4"/>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rPr>
              <w:t>Under Non-Equity Incentive</w:t>
            </w:r>
          </w:p>
        </w:tc>
        <w:tc>
          <w:tcPr>
            <w:tcW w:w="2100" w:type="dxa"/>
            <w:vAlign w:val="bottom"/>
            <w:gridSpan w:val="3"/>
            <w:shd w:val="clear" w:color="auto" w:fill="007549"/>
          </w:tcPr>
          <w:p>
            <w:pPr>
              <w:jc w:val="center"/>
              <w:ind w:right="18"/>
              <w:spacing w:after="0" w:line="133" w:lineRule="exact"/>
              <w:rPr>
                <w:sz w:val="20"/>
                <w:szCs w:val="20"/>
                <w:color w:val="auto"/>
              </w:rPr>
            </w:pPr>
            <w:r>
              <w:rPr>
                <w:rFonts w:ascii="Arial" w:cs="Arial" w:eastAsia="Arial" w:hAnsi="Arial"/>
                <w:sz w:val="12"/>
                <w:szCs w:val="12"/>
                <w:b w:val="1"/>
                <w:bCs w:val="1"/>
                <w:color w:val="FFFFFF"/>
              </w:rPr>
              <w:t>Under Equity Incentive</w:t>
            </w:r>
          </w:p>
        </w:tc>
        <w:tc>
          <w:tcPr>
            <w:tcW w:w="62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rPr>
              <w:t>of Shares</w:t>
            </w:r>
          </w:p>
        </w:tc>
        <w:tc>
          <w:tcPr>
            <w:tcW w:w="76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rPr>
              <w:t>Securities</w:t>
            </w:r>
          </w:p>
        </w:tc>
        <w:tc>
          <w:tcPr>
            <w:tcW w:w="64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w w:val="99"/>
              </w:rPr>
              <w:t>Price of</w:t>
            </w:r>
          </w:p>
        </w:tc>
        <w:tc>
          <w:tcPr>
            <w:tcW w:w="84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rPr>
              <w:t>Fair Value of</w:t>
            </w:r>
          </w:p>
        </w:tc>
        <w:tc>
          <w:tcPr>
            <w:tcW w:w="0" w:type="dxa"/>
            <w:vAlign w:val="bottom"/>
          </w:tcPr>
          <w:p>
            <w:pPr>
              <w:spacing w:after="0"/>
              <w:rPr>
                <w:sz w:val="1"/>
                <w:szCs w:val="1"/>
                <w:color w:val="auto"/>
              </w:rPr>
            </w:pPr>
          </w:p>
        </w:tc>
      </w:tr>
      <w:tr>
        <w:trPr>
          <w:trHeight w:val="140"/>
        </w:trPr>
        <w:tc>
          <w:tcPr>
            <w:tcW w:w="1830" w:type="dxa"/>
            <w:vAlign w:val="bottom"/>
            <w:shd w:val="clear" w:color="auto" w:fill="007549"/>
          </w:tcPr>
          <w:p>
            <w:pPr>
              <w:spacing w:after="0"/>
              <w:rPr>
                <w:sz w:val="12"/>
                <w:szCs w:val="12"/>
                <w:color w:val="auto"/>
              </w:rPr>
            </w:pPr>
          </w:p>
        </w:tc>
        <w:tc>
          <w:tcPr>
            <w:tcW w:w="1190" w:type="dxa"/>
            <w:vAlign w:val="bottom"/>
            <w:shd w:val="clear" w:color="auto" w:fill="007549"/>
          </w:tcPr>
          <w:p>
            <w:pPr>
              <w:spacing w:after="0"/>
              <w:rPr>
                <w:sz w:val="12"/>
                <w:szCs w:val="12"/>
                <w:color w:val="auto"/>
              </w:rPr>
            </w:pPr>
          </w:p>
        </w:tc>
        <w:tc>
          <w:tcPr>
            <w:tcW w:w="740" w:type="dxa"/>
            <w:vAlign w:val="bottom"/>
            <w:shd w:val="clear" w:color="auto" w:fill="007549"/>
          </w:tcPr>
          <w:p>
            <w:pPr>
              <w:spacing w:after="0"/>
              <w:rPr>
                <w:sz w:val="12"/>
                <w:szCs w:val="12"/>
                <w:color w:val="auto"/>
              </w:rPr>
            </w:pPr>
          </w:p>
        </w:tc>
        <w:tc>
          <w:tcPr>
            <w:tcW w:w="1520" w:type="dxa"/>
            <w:vAlign w:val="bottom"/>
            <w:gridSpan w:val="3"/>
            <w:shd w:val="clear" w:color="auto" w:fill="007549"/>
          </w:tcPr>
          <w:p>
            <w:pPr>
              <w:jc w:val="center"/>
              <w:ind w:left="538"/>
              <w:spacing w:after="0"/>
              <w:rPr>
                <w:sz w:val="20"/>
                <w:szCs w:val="20"/>
                <w:color w:val="auto"/>
              </w:rPr>
            </w:pPr>
            <w:r>
              <w:rPr>
                <w:rFonts w:ascii="Arial" w:cs="Arial" w:eastAsia="Arial" w:hAnsi="Arial"/>
                <w:sz w:val="12"/>
                <w:szCs w:val="12"/>
                <w:b w:val="1"/>
                <w:bCs w:val="1"/>
                <w:color w:val="FFFFFF"/>
              </w:rPr>
              <w:t>Plan Awards(1)</w:t>
            </w:r>
          </w:p>
        </w:tc>
        <w:tc>
          <w:tcPr>
            <w:tcW w:w="620" w:type="dxa"/>
            <w:vAlign w:val="bottom"/>
            <w:shd w:val="clear" w:color="auto" w:fill="007549"/>
          </w:tcPr>
          <w:p>
            <w:pPr>
              <w:spacing w:after="0"/>
              <w:rPr>
                <w:sz w:val="12"/>
                <w:szCs w:val="12"/>
                <w:color w:val="auto"/>
              </w:rPr>
            </w:pPr>
          </w:p>
        </w:tc>
        <w:tc>
          <w:tcPr>
            <w:tcW w:w="1500" w:type="dxa"/>
            <w:vAlign w:val="bottom"/>
            <w:gridSpan w:val="2"/>
            <w:shd w:val="clear" w:color="auto" w:fill="007549"/>
          </w:tcPr>
          <w:p>
            <w:pPr>
              <w:jc w:val="right"/>
              <w:spacing w:after="0"/>
              <w:rPr>
                <w:sz w:val="20"/>
                <w:szCs w:val="20"/>
                <w:color w:val="auto"/>
              </w:rPr>
            </w:pPr>
            <w:r>
              <w:rPr>
                <w:rFonts w:ascii="Arial" w:cs="Arial" w:eastAsia="Arial" w:hAnsi="Arial"/>
                <w:sz w:val="12"/>
                <w:szCs w:val="12"/>
                <w:b w:val="1"/>
                <w:bCs w:val="1"/>
                <w:color w:val="FFFFFF"/>
              </w:rPr>
              <w:t>Plan Awards(2)</w:t>
            </w:r>
          </w:p>
        </w:tc>
        <w:tc>
          <w:tcPr>
            <w:tcW w:w="600" w:type="dxa"/>
            <w:vAlign w:val="bottom"/>
            <w:shd w:val="clear" w:color="auto" w:fill="007549"/>
          </w:tcPr>
          <w:p>
            <w:pPr>
              <w:spacing w:after="0"/>
              <w:rPr>
                <w:sz w:val="12"/>
                <w:szCs w:val="12"/>
                <w:color w:val="auto"/>
              </w:rPr>
            </w:pPr>
          </w:p>
        </w:tc>
        <w:tc>
          <w:tcPr>
            <w:tcW w:w="620" w:type="dxa"/>
            <w:vAlign w:val="bottom"/>
            <w:shd w:val="clear" w:color="auto" w:fill="007549"/>
          </w:tcPr>
          <w:p>
            <w:pPr>
              <w:jc w:val="center"/>
              <w:spacing w:after="0"/>
              <w:rPr>
                <w:sz w:val="20"/>
                <w:szCs w:val="20"/>
                <w:color w:val="auto"/>
              </w:rPr>
            </w:pPr>
            <w:r>
              <w:rPr>
                <w:rFonts w:ascii="Arial" w:cs="Arial" w:eastAsia="Arial" w:hAnsi="Arial"/>
                <w:sz w:val="12"/>
                <w:szCs w:val="12"/>
                <w:b w:val="1"/>
                <w:bCs w:val="1"/>
                <w:color w:val="FFFFFF"/>
              </w:rPr>
              <w:t>of Stock</w:t>
            </w:r>
          </w:p>
        </w:tc>
        <w:tc>
          <w:tcPr>
            <w:tcW w:w="760" w:type="dxa"/>
            <w:vAlign w:val="bottom"/>
            <w:shd w:val="clear" w:color="auto" w:fill="007549"/>
          </w:tcPr>
          <w:p>
            <w:pPr>
              <w:jc w:val="center"/>
              <w:spacing w:after="0"/>
              <w:rPr>
                <w:sz w:val="20"/>
                <w:szCs w:val="20"/>
                <w:color w:val="auto"/>
              </w:rPr>
            </w:pPr>
            <w:r>
              <w:rPr>
                <w:rFonts w:ascii="Arial" w:cs="Arial" w:eastAsia="Arial" w:hAnsi="Arial"/>
                <w:sz w:val="12"/>
                <w:szCs w:val="12"/>
                <w:b w:val="1"/>
                <w:bCs w:val="1"/>
                <w:color w:val="FFFFFF"/>
              </w:rPr>
              <w:t>Underlying</w:t>
            </w:r>
          </w:p>
        </w:tc>
        <w:tc>
          <w:tcPr>
            <w:tcW w:w="640" w:type="dxa"/>
            <w:vAlign w:val="bottom"/>
            <w:shd w:val="clear" w:color="auto" w:fill="007549"/>
          </w:tcPr>
          <w:p>
            <w:pPr>
              <w:jc w:val="center"/>
              <w:spacing w:after="0"/>
              <w:rPr>
                <w:sz w:val="20"/>
                <w:szCs w:val="20"/>
                <w:color w:val="auto"/>
              </w:rPr>
            </w:pPr>
            <w:r>
              <w:rPr>
                <w:rFonts w:ascii="Arial" w:cs="Arial" w:eastAsia="Arial" w:hAnsi="Arial"/>
                <w:sz w:val="12"/>
                <w:szCs w:val="12"/>
                <w:b w:val="1"/>
                <w:bCs w:val="1"/>
                <w:color w:val="FFFFFF"/>
              </w:rPr>
              <w:t>Option</w:t>
            </w:r>
          </w:p>
        </w:tc>
        <w:tc>
          <w:tcPr>
            <w:tcW w:w="840" w:type="dxa"/>
            <w:vAlign w:val="bottom"/>
            <w:shd w:val="clear" w:color="auto" w:fill="007549"/>
          </w:tcPr>
          <w:p>
            <w:pPr>
              <w:jc w:val="center"/>
              <w:spacing w:after="0"/>
              <w:rPr>
                <w:sz w:val="20"/>
                <w:szCs w:val="20"/>
                <w:color w:val="auto"/>
              </w:rPr>
            </w:pPr>
            <w:r>
              <w:rPr>
                <w:rFonts w:ascii="Arial" w:cs="Arial" w:eastAsia="Arial" w:hAnsi="Arial"/>
                <w:sz w:val="12"/>
                <w:szCs w:val="12"/>
                <w:b w:val="1"/>
                <w:bCs w:val="1"/>
                <w:color w:val="FFFFFF"/>
              </w:rPr>
              <w:t>Stock &amp;</w:t>
            </w:r>
          </w:p>
        </w:tc>
        <w:tc>
          <w:tcPr>
            <w:tcW w:w="0" w:type="dxa"/>
            <w:vAlign w:val="bottom"/>
          </w:tcPr>
          <w:p>
            <w:pPr>
              <w:spacing w:after="0"/>
              <w:rPr>
                <w:sz w:val="1"/>
                <w:szCs w:val="1"/>
                <w:color w:val="auto"/>
              </w:rPr>
            </w:pPr>
          </w:p>
        </w:tc>
      </w:tr>
      <w:tr>
        <w:trPr>
          <w:trHeight w:val="133"/>
        </w:trPr>
        <w:tc>
          <w:tcPr>
            <w:tcW w:w="1830" w:type="dxa"/>
            <w:vAlign w:val="bottom"/>
            <w:shd w:val="clear" w:color="auto" w:fill="007549"/>
          </w:tcPr>
          <w:p>
            <w:pPr>
              <w:spacing w:after="0"/>
              <w:rPr>
                <w:sz w:val="11"/>
                <w:szCs w:val="11"/>
                <w:color w:val="auto"/>
              </w:rPr>
            </w:pPr>
          </w:p>
        </w:tc>
        <w:tc>
          <w:tcPr>
            <w:tcW w:w="1190" w:type="dxa"/>
            <w:vAlign w:val="bottom"/>
            <w:shd w:val="clear" w:color="auto" w:fill="007549"/>
          </w:tcPr>
          <w:p>
            <w:pPr>
              <w:spacing w:after="0"/>
              <w:rPr>
                <w:sz w:val="11"/>
                <w:szCs w:val="11"/>
                <w:color w:val="auto"/>
              </w:rPr>
            </w:pPr>
          </w:p>
        </w:tc>
        <w:tc>
          <w:tcPr>
            <w:tcW w:w="74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rPr>
              <w:t>Grant</w:t>
            </w:r>
          </w:p>
        </w:tc>
        <w:tc>
          <w:tcPr>
            <w:tcW w:w="740" w:type="dxa"/>
            <w:vAlign w:val="bottom"/>
            <w:shd w:val="clear" w:color="auto" w:fill="007549"/>
          </w:tcPr>
          <w:p>
            <w:pPr>
              <w:jc w:val="right"/>
              <w:ind w:right="18"/>
              <w:spacing w:after="0" w:line="133" w:lineRule="exact"/>
              <w:rPr>
                <w:sz w:val="20"/>
                <w:szCs w:val="20"/>
                <w:color w:val="auto"/>
              </w:rPr>
            </w:pPr>
            <w:r>
              <w:rPr>
                <w:rFonts w:ascii="Arial" w:cs="Arial" w:eastAsia="Arial" w:hAnsi="Arial"/>
                <w:sz w:val="12"/>
                <w:szCs w:val="12"/>
                <w:b w:val="1"/>
                <w:bCs w:val="1"/>
                <w:color w:val="FFFFFF"/>
              </w:rPr>
              <w:t>Threshold</w:t>
            </w:r>
          </w:p>
        </w:tc>
        <w:tc>
          <w:tcPr>
            <w:tcW w:w="68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rPr>
              <w:t>Target</w:t>
            </w:r>
          </w:p>
        </w:tc>
        <w:tc>
          <w:tcPr>
            <w:tcW w:w="720" w:type="dxa"/>
            <w:vAlign w:val="bottom"/>
            <w:gridSpan w:val="2"/>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rPr>
              <w:t>Maximum</w:t>
            </w:r>
          </w:p>
        </w:tc>
        <w:tc>
          <w:tcPr>
            <w:tcW w:w="740" w:type="dxa"/>
            <w:vAlign w:val="bottom"/>
            <w:shd w:val="clear" w:color="auto" w:fill="007549"/>
          </w:tcPr>
          <w:p>
            <w:pPr>
              <w:jc w:val="right"/>
              <w:ind w:right="18"/>
              <w:spacing w:after="0" w:line="133" w:lineRule="exact"/>
              <w:rPr>
                <w:sz w:val="20"/>
                <w:szCs w:val="20"/>
                <w:color w:val="auto"/>
              </w:rPr>
            </w:pPr>
            <w:r>
              <w:rPr>
                <w:rFonts w:ascii="Arial" w:cs="Arial" w:eastAsia="Arial" w:hAnsi="Arial"/>
                <w:sz w:val="12"/>
                <w:szCs w:val="12"/>
                <w:b w:val="1"/>
                <w:bCs w:val="1"/>
                <w:color w:val="FFFFFF"/>
              </w:rPr>
              <w:t>Threshold</w:t>
            </w:r>
          </w:p>
        </w:tc>
        <w:tc>
          <w:tcPr>
            <w:tcW w:w="1360" w:type="dxa"/>
            <w:vAlign w:val="bottom"/>
            <w:gridSpan w:val="2"/>
            <w:shd w:val="clear" w:color="auto" w:fill="007549"/>
          </w:tcPr>
          <w:p>
            <w:pPr>
              <w:jc w:val="right"/>
              <w:ind w:right="58"/>
              <w:spacing w:after="0" w:line="133" w:lineRule="exact"/>
              <w:rPr>
                <w:sz w:val="20"/>
                <w:szCs w:val="20"/>
                <w:color w:val="auto"/>
              </w:rPr>
            </w:pPr>
            <w:r>
              <w:rPr>
                <w:rFonts w:ascii="Arial" w:cs="Arial" w:eastAsia="Arial" w:hAnsi="Arial"/>
                <w:sz w:val="12"/>
                <w:szCs w:val="12"/>
                <w:b w:val="1"/>
                <w:bCs w:val="1"/>
                <w:color w:val="FFFFFF"/>
              </w:rPr>
              <w:t>Target   Maximum</w:t>
            </w:r>
          </w:p>
        </w:tc>
        <w:tc>
          <w:tcPr>
            <w:tcW w:w="62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rPr>
              <w:t>or Units</w:t>
            </w:r>
          </w:p>
        </w:tc>
        <w:tc>
          <w:tcPr>
            <w:tcW w:w="76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rPr>
              <w:t>Options</w:t>
            </w:r>
          </w:p>
        </w:tc>
        <w:tc>
          <w:tcPr>
            <w:tcW w:w="64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rPr>
              <w:t>Awards</w:t>
            </w:r>
          </w:p>
        </w:tc>
        <w:tc>
          <w:tcPr>
            <w:tcW w:w="84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rPr>
              <w:t>Option</w:t>
            </w:r>
          </w:p>
        </w:tc>
        <w:tc>
          <w:tcPr>
            <w:tcW w:w="0" w:type="dxa"/>
            <w:vAlign w:val="bottom"/>
          </w:tcPr>
          <w:p>
            <w:pPr>
              <w:spacing w:after="0"/>
              <w:rPr>
                <w:sz w:val="1"/>
                <w:szCs w:val="1"/>
                <w:color w:val="auto"/>
              </w:rPr>
            </w:pPr>
          </w:p>
        </w:tc>
      </w:tr>
      <w:tr>
        <w:trPr>
          <w:trHeight w:val="133"/>
        </w:trPr>
        <w:tc>
          <w:tcPr>
            <w:tcW w:w="1830" w:type="dxa"/>
            <w:vAlign w:val="bottom"/>
            <w:shd w:val="clear" w:color="auto" w:fill="007549"/>
          </w:tcPr>
          <w:p>
            <w:pPr>
              <w:ind w:left="80"/>
              <w:spacing w:after="0" w:line="133" w:lineRule="exact"/>
              <w:rPr>
                <w:sz w:val="20"/>
                <w:szCs w:val="20"/>
                <w:color w:val="auto"/>
              </w:rPr>
            </w:pPr>
            <w:r>
              <w:rPr>
                <w:rFonts w:ascii="Arial" w:cs="Arial" w:eastAsia="Arial" w:hAnsi="Arial"/>
                <w:sz w:val="12"/>
                <w:szCs w:val="12"/>
                <w:b w:val="1"/>
                <w:bCs w:val="1"/>
                <w:color w:val="FFFFFF"/>
              </w:rPr>
              <w:t>Name</w:t>
            </w:r>
          </w:p>
        </w:tc>
        <w:tc>
          <w:tcPr>
            <w:tcW w:w="119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w w:val="99"/>
              </w:rPr>
              <w:t>Award Type</w:t>
            </w:r>
          </w:p>
        </w:tc>
        <w:tc>
          <w:tcPr>
            <w:tcW w:w="74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w w:val="99"/>
              </w:rPr>
              <w:t>Date</w:t>
            </w:r>
          </w:p>
        </w:tc>
        <w:tc>
          <w:tcPr>
            <w:tcW w:w="740" w:type="dxa"/>
            <w:vAlign w:val="bottom"/>
            <w:shd w:val="clear" w:color="auto" w:fill="007549"/>
          </w:tcPr>
          <w:p>
            <w:pPr>
              <w:jc w:val="right"/>
              <w:ind w:right="238"/>
              <w:spacing w:after="0" w:line="133" w:lineRule="exact"/>
              <w:rPr>
                <w:sz w:val="20"/>
                <w:szCs w:val="20"/>
                <w:color w:val="auto"/>
              </w:rPr>
            </w:pPr>
            <w:r>
              <w:rPr>
                <w:rFonts w:ascii="Arial" w:cs="Arial" w:eastAsia="Arial" w:hAnsi="Arial"/>
                <w:sz w:val="12"/>
                <w:szCs w:val="12"/>
                <w:b w:val="1"/>
                <w:bCs w:val="1"/>
                <w:color w:val="FFFFFF"/>
              </w:rPr>
              <w:t>($)</w:t>
            </w:r>
          </w:p>
        </w:tc>
        <w:tc>
          <w:tcPr>
            <w:tcW w:w="68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w w:val="95"/>
              </w:rPr>
              <w:t>($)</w:t>
            </w:r>
          </w:p>
        </w:tc>
        <w:tc>
          <w:tcPr>
            <w:tcW w:w="100" w:type="dxa"/>
            <w:vAlign w:val="bottom"/>
            <w:shd w:val="clear" w:color="auto" w:fill="007549"/>
          </w:tcPr>
          <w:p>
            <w:pPr>
              <w:spacing w:after="0"/>
              <w:rPr>
                <w:sz w:val="11"/>
                <w:szCs w:val="11"/>
                <w:color w:val="auto"/>
              </w:rPr>
            </w:pPr>
          </w:p>
        </w:tc>
        <w:tc>
          <w:tcPr>
            <w:tcW w:w="620" w:type="dxa"/>
            <w:vAlign w:val="bottom"/>
            <w:shd w:val="clear" w:color="auto" w:fill="007549"/>
          </w:tcPr>
          <w:p>
            <w:pPr>
              <w:jc w:val="center"/>
              <w:ind w:right="58"/>
              <w:spacing w:after="0" w:line="133" w:lineRule="exact"/>
              <w:rPr>
                <w:sz w:val="20"/>
                <w:szCs w:val="20"/>
                <w:color w:val="auto"/>
              </w:rPr>
            </w:pPr>
            <w:r>
              <w:rPr>
                <w:rFonts w:ascii="Arial" w:cs="Arial" w:eastAsia="Arial" w:hAnsi="Arial"/>
                <w:sz w:val="12"/>
                <w:szCs w:val="12"/>
                <w:b w:val="1"/>
                <w:bCs w:val="1"/>
                <w:color w:val="FFFFFF"/>
                <w:w w:val="95"/>
              </w:rPr>
              <w:t>($)</w:t>
            </w:r>
          </w:p>
        </w:tc>
        <w:tc>
          <w:tcPr>
            <w:tcW w:w="740" w:type="dxa"/>
            <w:vAlign w:val="bottom"/>
            <w:shd w:val="clear" w:color="auto" w:fill="007549"/>
          </w:tcPr>
          <w:p>
            <w:pPr>
              <w:jc w:val="right"/>
              <w:ind w:right="258"/>
              <w:spacing w:after="0" w:line="133" w:lineRule="exact"/>
              <w:rPr>
                <w:sz w:val="20"/>
                <w:szCs w:val="20"/>
                <w:color w:val="auto"/>
              </w:rPr>
            </w:pPr>
            <w:r>
              <w:rPr>
                <w:rFonts w:ascii="Arial" w:cs="Arial" w:eastAsia="Arial" w:hAnsi="Arial"/>
                <w:sz w:val="12"/>
                <w:szCs w:val="12"/>
                <w:b w:val="1"/>
                <w:bCs w:val="1"/>
                <w:color w:val="FFFFFF"/>
              </w:rPr>
              <w:t>(#)</w:t>
            </w:r>
          </w:p>
        </w:tc>
        <w:tc>
          <w:tcPr>
            <w:tcW w:w="760" w:type="dxa"/>
            <w:vAlign w:val="bottom"/>
            <w:shd w:val="clear" w:color="auto" w:fill="007549"/>
          </w:tcPr>
          <w:p>
            <w:pPr>
              <w:jc w:val="center"/>
              <w:ind w:right="138"/>
              <w:spacing w:after="0" w:line="133" w:lineRule="exact"/>
              <w:rPr>
                <w:sz w:val="20"/>
                <w:szCs w:val="20"/>
                <w:color w:val="auto"/>
              </w:rPr>
            </w:pPr>
            <w:r>
              <w:rPr>
                <w:rFonts w:ascii="Arial" w:cs="Arial" w:eastAsia="Arial" w:hAnsi="Arial"/>
                <w:sz w:val="12"/>
                <w:szCs w:val="12"/>
                <w:b w:val="1"/>
                <w:bCs w:val="1"/>
                <w:color w:val="FFFFFF"/>
              </w:rPr>
              <w:t>(#)</w:t>
            </w:r>
          </w:p>
        </w:tc>
        <w:tc>
          <w:tcPr>
            <w:tcW w:w="600" w:type="dxa"/>
            <w:vAlign w:val="bottom"/>
            <w:shd w:val="clear" w:color="auto" w:fill="007549"/>
          </w:tcPr>
          <w:p>
            <w:pPr>
              <w:jc w:val="right"/>
              <w:ind w:right="278"/>
              <w:spacing w:after="0" w:line="133" w:lineRule="exact"/>
              <w:rPr>
                <w:sz w:val="20"/>
                <w:szCs w:val="20"/>
                <w:color w:val="auto"/>
              </w:rPr>
            </w:pPr>
            <w:r>
              <w:rPr>
                <w:rFonts w:ascii="Arial" w:cs="Arial" w:eastAsia="Arial" w:hAnsi="Arial"/>
                <w:sz w:val="12"/>
                <w:szCs w:val="12"/>
                <w:b w:val="1"/>
                <w:bCs w:val="1"/>
                <w:color w:val="FFFFFF"/>
              </w:rPr>
              <w:t>(#)</w:t>
            </w:r>
          </w:p>
        </w:tc>
        <w:tc>
          <w:tcPr>
            <w:tcW w:w="62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w w:val="95"/>
              </w:rPr>
              <w:t>(#)</w:t>
            </w:r>
          </w:p>
        </w:tc>
        <w:tc>
          <w:tcPr>
            <w:tcW w:w="76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w w:val="95"/>
              </w:rPr>
              <w:t>(#)</w:t>
            </w:r>
          </w:p>
        </w:tc>
        <w:tc>
          <w:tcPr>
            <w:tcW w:w="64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w w:val="99"/>
              </w:rPr>
              <w:t>($ / Sh)</w:t>
            </w:r>
          </w:p>
        </w:tc>
        <w:tc>
          <w:tcPr>
            <w:tcW w:w="840" w:type="dxa"/>
            <w:vAlign w:val="bottom"/>
            <w:shd w:val="clear" w:color="auto" w:fill="007549"/>
          </w:tcPr>
          <w:p>
            <w:pPr>
              <w:jc w:val="right"/>
              <w:spacing w:after="0" w:line="133" w:lineRule="exact"/>
              <w:rPr>
                <w:sz w:val="20"/>
                <w:szCs w:val="20"/>
                <w:color w:val="auto"/>
              </w:rPr>
            </w:pPr>
            <w:r>
              <w:rPr>
                <w:rFonts w:ascii="Arial" w:cs="Arial" w:eastAsia="Arial" w:hAnsi="Arial"/>
                <w:sz w:val="12"/>
                <w:szCs w:val="12"/>
                <w:b w:val="1"/>
                <w:bCs w:val="1"/>
                <w:color w:val="FFFFFF"/>
              </w:rPr>
              <w:t>Awards(3)($)</w:t>
            </w:r>
          </w:p>
        </w:tc>
        <w:tc>
          <w:tcPr>
            <w:tcW w:w="0" w:type="dxa"/>
            <w:vAlign w:val="bottom"/>
          </w:tcPr>
          <w:p>
            <w:pPr>
              <w:spacing w:after="0"/>
              <w:rPr>
                <w:sz w:val="1"/>
                <w:szCs w:val="1"/>
                <w:color w:val="auto"/>
              </w:rPr>
            </w:pPr>
          </w:p>
        </w:tc>
      </w:tr>
      <w:tr>
        <w:trPr>
          <w:trHeight w:val="180"/>
        </w:trPr>
        <w:tc>
          <w:tcPr>
            <w:tcW w:w="1830" w:type="dxa"/>
            <w:vAlign w:val="bottom"/>
            <w:shd w:val="clear" w:color="auto" w:fill="007549"/>
          </w:tcPr>
          <w:p>
            <w:pPr>
              <w:ind w:left="80"/>
              <w:spacing w:after="0"/>
              <w:rPr>
                <w:sz w:val="20"/>
                <w:szCs w:val="20"/>
                <w:color w:val="auto"/>
              </w:rPr>
            </w:pPr>
            <w:r>
              <w:rPr>
                <w:rFonts w:ascii="Arial" w:cs="Arial" w:eastAsia="Arial" w:hAnsi="Arial"/>
                <w:sz w:val="12"/>
                <w:szCs w:val="12"/>
                <w:b w:val="1"/>
                <w:bCs w:val="1"/>
                <w:color w:val="FFFFFF"/>
              </w:rPr>
              <w:t>(a)</w:t>
            </w:r>
          </w:p>
        </w:tc>
        <w:tc>
          <w:tcPr>
            <w:tcW w:w="1190" w:type="dxa"/>
            <w:vAlign w:val="bottom"/>
            <w:shd w:val="clear" w:color="auto" w:fill="007549"/>
          </w:tcPr>
          <w:p>
            <w:pPr>
              <w:jc w:val="center"/>
              <w:spacing w:after="0"/>
              <w:rPr>
                <w:sz w:val="20"/>
                <w:szCs w:val="20"/>
                <w:color w:val="auto"/>
              </w:rPr>
            </w:pPr>
            <w:r>
              <w:rPr>
                <w:rFonts w:ascii="Arial" w:cs="Arial" w:eastAsia="Arial" w:hAnsi="Arial"/>
                <w:sz w:val="12"/>
                <w:szCs w:val="12"/>
                <w:b w:val="1"/>
                <w:bCs w:val="1"/>
                <w:color w:val="FFFFFF"/>
              </w:rPr>
              <w:t>(b)</w:t>
            </w:r>
          </w:p>
        </w:tc>
        <w:tc>
          <w:tcPr>
            <w:tcW w:w="740" w:type="dxa"/>
            <w:vAlign w:val="bottom"/>
            <w:shd w:val="clear" w:color="auto" w:fill="007549"/>
          </w:tcPr>
          <w:p>
            <w:pPr>
              <w:jc w:val="center"/>
              <w:spacing w:after="0"/>
              <w:rPr>
                <w:sz w:val="20"/>
                <w:szCs w:val="20"/>
                <w:color w:val="auto"/>
              </w:rPr>
            </w:pPr>
            <w:r>
              <w:rPr>
                <w:rFonts w:ascii="Arial" w:cs="Arial" w:eastAsia="Arial" w:hAnsi="Arial"/>
                <w:sz w:val="12"/>
                <w:szCs w:val="12"/>
                <w:b w:val="1"/>
                <w:bCs w:val="1"/>
                <w:color w:val="FFFFFF"/>
                <w:w w:val="95"/>
              </w:rPr>
              <w:t>(c)</w:t>
            </w:r>
          </w:p>
        </w:tc>
        <w:tc>
          <w:tcPr>
            <w:tcW w:w="740" w:type="dxa"/>
            <w:vAlign w:val="bottom"/>
            <w:shd w:val="clear" w:color="auto" w:fill="007549"/>
          </w:tcPr>
          <w:p>
            <w:pPr>
              <w:jc w:val="right"/>
              <w:ind w:right="238"/>
              <w:spacing w:after="0"/>
              <w:rPr>
                <w:sz w:val="20"/>
                <w:szCs w:val="20"/>
                <w:color w:val="auto"/>
              </w:rPr>
            </w:pPr>
            <w:r>
              <w:rPr>
                <w:rFonts w:ascii="Arial" w:cs="Arial" w:eastAsia="Arial" w:hAnsi="Arial"/>
                <w:sz w:val="12"/>
                <w:szCs w:val="12"/>
                <w:b w:val="1"/>
                <w:bCs w:val="1"/>
                <w:color w:val="FFFFFF"/>
              </w:rPr>
              <w:t>(d)</w:t>
            </w:r>
          </w:p>
        </w:tc>
        <w:tc>
          <w:tcPr>
            <w:tcW w:w="680" w:type="dxa"/>
            <w:vAlign w:val="bottom"/>
            <w:shd w:val="clear" w:color="auto" w:fill="007549"/>
          </w:tcPr>
          <w:p>
            <w:pPr>
              <w:jc w:val="center"/>
              <w:spacing w:after="0"/>
              <w:rPr>
                <w:sz w:val="20"/>
                <w:szCs w:val="20"/>
                <w:color w:val="auto"/>
              </w:rPr>
            </w:pPr>
            <w:r>
              <w:rPr>
                <w:rFonts w:ascii="Arial" w:cs="Arial" w:eastAsia="Arial" w:hAnsi="Arial"/>
                <w:sz w:val="12"/>
                <w:szCs w:val="12"/>
                <w:b w:val="1"/>
                <w:bCs w:val="1"/>
                <w:color w:val="FFFFFF"/>
                <w:w w:val="95"/>
              </w:rPr>
              <w:t>(e)</w:t>
            </w:r>
          </w:p>
        </w:tc>
        <w:tc>
          <w:tcPr>
            <w:tcW w:w="100" w:type="dxa"/>
            <w:vAlign w:val="bottom"/>
            <w:shd w:val="clear" w:color="auto" w:fill="007549"/>
          </w:tcPr>
          <w:p>
            <w:pPr>
              <w:spacing w:after="0"/>
              <w:rPr>
                <w:sz w:val="15"/>
                <w:szCs w:val="15"/>
                <w:color w:val="auto"/>
              </w:rPr>
            </w:pPr>
          </w:p>
        </w:tc>
        <w:tc>
          <w:tcPr>
            <w:tcW w:w="620" w:type="dxa"/>
            <w:vAlign w:val="bottom"/>
            <w:shd w:val="clear" w:color="auto" w:fill="007549"/>
          </w:tcPr>
          <w:p>
            <w:pPr>
              <w:jc w:val="center"/>
              <w:ind w:right="38"/>
              <w:spacing w:after="0"/>
              <w:rPr>
                <w:sz w:val="20"/>
                <w:szCs w:val="20"/>
                <w:color w:val="auto"/>
              </w:rPr>
            </w:pPr>
            <w:r>
              <w:rPr>
                <w:rFonts w:ascii="Arial" w:cs="Arial" w:eastAsia="Arial" w:hAnsi="Arial"/>
                <w:sz w:val="12"/>
                <w:szCs w:val="12"/>
                <w:b w:val="1"/>
                <w:bCs w:val="1"/>
                <w:color w:val="FFFFFF"/>
                <w:w w:val="99"/>
              </w:rPr>
              <w:t>(f)</w:t>
            </w:r>
          </w:p>
        </w:tc>
        <w:tc>
          <w:tcPr>
            <w:tcW w:w="740" w:type="dxa"/>
            <w:vAlign w:val="bottom"/>
            <w:shd w:val="clear" w:color="auto" w:fill="007549"/>
          </w:tcPr>
          <w:p>
            <w:pPr>
              <w:jc w:val="right"/>
              <w:ind w:right="238"/>
              <w:spacing w:after="0"/>
              <w:rPr>
                <w:sz w:val="20"/>
                <w:szCs w:val="20"/>
                <w:color w:val="auto"/>
              </w:rPr>
            </w:pPr>
            <w:r>
              <w:rPr>
                <w:rFonts w:ascii="Arial" w:cs="Arial" w:eastAsia="Arial" w:hAnsi="Arial"/>
                <w:sz w:val="12"/>
                <w:szCs w:val="12"/>
                <w:b w:val="1"/>
                <w:bCs w:val="1"/>
                <w:color w:val="FFFFFF"/>
              </w:rPr>
              <w:t>(g)</w:t>
            </w:r>
          </w:p>
        </w:tc>
        <w:tc>
          <w:tcPr>
            <w:tcW w:w="760" w:type="dxa"/>
            <w:vAlign w:val="bottom"/>
            <w:shd w:val="clear" w:color="auto" w:fill="007549"/>
          </w:tcPr>
          <w:p>
            <w:pPr>
              <w:jc w:val="center"/>
              <w:ind w:right="138"/>
              <w:spacing w:after="0"/>
              <w:rPr>
                <w:sz w:val="20"/>
                <w:szCs w:val="20"/>
                <w:color w:val="auto"/>
              </w:rPr>
            </w:pPr>
            <w:r>
              <w:rPr>
                <w:rFonts w:ascii="Arial" w:cs="Arial" w:eastAsia="Arial" w:hAnsi="Arial"/>
                <w:sz w:val="12"/>
                <w:szCs w:val="12"/>
                <w:b w:val="1"/>
                <w:bCs w:val="1"/>
                <w:color w:val="FFFFFF"/>
              </w:rPr>
              <w:t>(h)</w:t>
            </w:r>
          </w:p>
        </w:tc>
        <w:tc>
          <w:tcPr>
            <w:tcW w:w="600" w:type="dxa"/>
            <w:vAlign w:val="bottom"/>
            <w:shd w:val="clear" w:color="auto" w:fill="007549"/>
          </w:tcPr>
          <w:p>
            <w:pPr>
              <w:jc w:val="right"/>
              <w:ind w:right="298"/>
              <w:spacing w:after="0"/>
              <w:rPr>
                <w:sz w:val="20"/>
                <w:szCs w:val="20"/>
                <w:color w:val="auto"/>
              </w:rPr>
            </w:pPr>
            <w:r>
              <w:rPr>
                <w:rFonts w:ascii="Arial" w:cs="Arial" w:eastAsia="Arial" w:hAnsi="Arial"/>
                <w:sz w:val="12"/>
                <w:szCs w:val="12"/>
                <w:b w:val="1"/>
                <w:bCs w:val="1"/>
                <w:color w:val="FFFFFF"/>
              </w:rPr>
              <w:t>(i)</w:t>
            </w:r>
          </w:p>
        </w:tc>
        <w:tc>
          <w:tcPr>
            <w:tcW w:w="620" w:type="dxa"/>
            <w:vAlign w:val="bottom"/>
            <w:shd w:val="clear" w:color="auto" w:fill="007549"/>
          </w:tcPr>
          <w:p>
            <w:pPr>
              <w:jc w:val="center"/>
              <w:spacing w:after="0"/>
              <w:rPr>
                <w:sz w:val="20"/>
                <w:szCs w:val="20"/>
                <w:color w:val="auto"/>
              </w:rPr>
            </w:pPr>
            <w:r>
              <w:rPr>
                <w:rFonts w:ascii="Arial" w:cs="Arial" w:eastAsia="Arial" w:hAnsi="Arial"/>
                <w:sz w:val="12"/>
                <w:szCs w:val="12"/>
                <w:b w:val="1"/>
                <w:bCs w:val="1"/>
                <w:color w:val="FFFFFF"/>
              </w:rPr>
              <w:t>(j)</w:t>
            </w:r>
          </w:p>
        </w:tc>
        <w:tc>
          <w:tcPr>
            <w:tcW w:w="760" w:type="dxa"/>
            <w:vAlign w:val="bottom"/>
            <w:shd w:val="clear" w:color="auto" w:fill="007549"/>
          </w:tcPr>
          <w:p>
            <w:pPr>
              <w:jc w:val="center"/>
              <w:spacing w:after="0"/>
              <w:rPr>
                <w:sz w:val="20"/>
                <w:szCs w:val="20"/>
                <w:color w:val="auto"/>
              </w:rPr>
            </w:pPr>
            <w:r>
              <w:rPr>
                <w:rFonts w:ascii="Arial" w:cs="Arial" w:eastAsia="Arial" w:hAnsi="Arial"/>
                <w:sz w:val="12"/>
                <w:szCs w:val="12"/>
                <w:b w:val="1"/>
                <w:bCs w:val="1"/>
                <w:color w:val="FFFFFF"/>
                <w:w w:val="95"/>
              </w:rPr>
              <w:t>(k)</w:t>
            </w:r>
          </w:p>
        </w:tc>
        <w:tc>
          <w:tcPr>
            <w:tcW w:w="640" w:type="dxa"/>
            <w:vAlign w:val="bottom"/>
            <w:shd w:val="clear" w:color="auto" w:fill="007549"/>
          </w:tcPr>
          <w:p>
            <w:pPr>
              <w:jc w:val="center"/>
              <w:spacing w:after="0"/>
              <w:rPr>
                <w:sz w:val="20"/>
                <w:szCs w:val="20"/>
                <w:color w:val="auto"/>
              </w:rPr>
            </w:pPr>
            <w:r>
              <w:rPr>
                <w:rFonts w:ascii="Arial" w:cs="Arial" w:eastAsia="Arial" w:hAnsi="Arial"/>
                <w:sz w:val="12"/>
                <w:szCs w:val="12"/>
                <w:b w:val="1"/>
                <w:bCs w:val="1"/>
                <w:color w:val="FFFFFF"/>
              </w:rPr>
              <w:t>(l)</w:t>
            </w:r>
          </w:p>
        </w:tc>
        <w:tc>
          <w:tcPr>
            <w:tcW w:w="840" w:type="dxa"/>
            <w:vAlign w:val="bottom"/>
            <w:shd w:val="clear" w:color="auto" w:fill="007549"/>
          </w:tcPr>
          <w:p>
            <w:pPr>
              <w:jc w:val="center"/>
              <w:spacing w:after="0"/>
              <w:rPr>
                <w:sz w:val="20"/>
                <w:szCs w:val="20"/>
                <w:color w:val="auto"/>
              </w:rPr>
            </w:pPr>
            <w:r>
              <w:rPr>
                <w:rFonts w:ascii="Arial" w:cs="Arial" w:eastAsia="Arial" w:hAnsi="Arial"/>
                <w:sz w:val="12"/>
                <w:szCs w:val="12"/>
                <w:b w:val="1"/>
                <w:bCs w:val="1"/>
                <w:color w:val="FFFFFF"/>
              </w:rPr>
              <w:t>(m)</w:t>
            </w:r>
          </w:p>
        </w:tc>
        <w:tc>
          <w:tcPr>
            <w:tcW w:w="0" w:type="dxa"/>
            <w:vAlign w:val="bottom"/>
          </w:tcPr>
          <w:p>
            <w:pPr>
              <w:spacing w:after="0"/>
              <w:rPr>
                <w:sz w:val="1"/>
                <w:szCs w:val="1"/>
                <w:color w:val="auto"/>
              </w:rPr>
            </w:pPr>
          </w:p>
        </w:tc>
      </w:tr>
      <w:tr>
        <w:trPr>
          <w:trHeight w:val="182"/>
        </w:trPr>
        <w:tc>
          <w:tcPr>
            <w:tcW w:w="1830" w:type="dxa"/>
            <w:vAlign w:val="bottom"/>
            <w:shd w:val="clear" w:color="auto" w:fill="E5E5E5"/>
          </w:tcPr>
          <w:p>
            <w:pPr>
              <w:ind w:left="80"/>
              <w:spacing w:after="0"/>
              <w:rPr>
                <w:sz w:val="20"/>
                <w:szCs w:val="20"/>
                <w:color w:val="auto"/>
              </w:rPr>
            </w:pPr>
            <w:r>
              <w:rPr>
                <w:rFonts w:ascii="Arial" w:cs="Arial" w:eastAsia="Arial" w:hAnsi="Arial"/>
                <w:sz w:val="12"/>
                <w:szCs w:val="12"/>
                <w:b w:val="1"/>
                <w:bCs w:val="1"/>
                <w:color w:val="007549"/>
              </w:rPr>
              <w:t>Hess, John B.</w:t>
            </w:r>
          </w:p>
        </w:tc>
        <w:tc>
          <w:tcPr>
            <w:tcW w:w="1190" w:type="dxa"/>
            <w:vAlign w:val="bottom"/>
            <w:shd w:val="clear" w:color="auto" w:fill="E5E5E5"/>
          </w:tcPr>
          <w:p>
            <w:pPr>
              <w:jc w:val="center"/>
              <w:spacing w:after="0"/>
              <w:rPr>
                <w:sz w:val="20"/>
                <w:szCs w:val="20"/>
                <w:color w:val="auto"/>
              </w:rPr>
            </w:pPr>
            <w:r>
              <w:rPr>
                <w:rFonts w:ascii="Arial" w:cs="Arial" w:eastAsia="Arial" w:hAnsi="Arial"/>
                <w:sz w:val="12"/>
                <w:szCs w:val="12"/>
                <w:color w:val="auto"/>
              </w:rPr>
              <w:t>Performance Shares</w:t>
            </w:r>
          </w:p>
        </w:tc>
        <w:tc>
          <w:tcPr>
            <w:tcW w:w="740" w:type="dxa"/>
            <w:vAlign w:val="bottom"/>
            <w:shd w:val="clear" w:color="auto" w:fill="E5E5E5"/>
          </w:tcPr>
          <w:p>
            <w:pPr>
              <w:ind w:left="120"/>
              <w:spacing w:after="0"/>
              <w:rPr>
                <w:sz w:val="20"/>
                <w:szCs w:val="20"/>
                <w:color w:val="auto"/>
              </w:rPr>
            </w:pPr>
            <w:r>
              <w:rPr>
                <w:rFonts w:ascii="Arial" w:cs="Arial" w:eastAsia="Arial" w:hAnsi="Arial"/>
                <w:sz w:val="12"/>
                <w:szCs w:val="12"/>
                <w:color w:val="auto"/>
              </w:rPr>
              <w:t>06-Mar-17</w:t>
            </w:r>
          </w:p>
        </w:tc>
        <w:tc>
          <w:tcPr>
            <w:tcW w:w="740" w:type="dxa"/>
            <w:vAlign w:val="bottom"/>
            <w:shd w:val="clear" w:color="auto" w:fill="E5E5E5"/>
          </w:tcPr>
          <w:p>
            <w:pPr>
              <w:spacing w:after="0"/>
              <w:rPr>
                <w:sz w:val="15"/>
                <w:szCs w:val="15"/>
                <w:color w:val="auto"/>
              </w:rPr>
            </w:pPr>
          </w:p>
        </w:tc>
        <w:tc>
          <w:tcPr>
            <w:tcW w:w="68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620" w:type="dxa"/>
            <w:vAlign w:val="bottom"/>
            <w:shd w:val="clear" w:color="auto" w:fill="E5E5E5"/>
          </w:tcPr>
          <w:p>
            <w:pPr>
              <w:spacing w:after="0"/>
              <w:rPr>
                <w:sz w:val="15"/>
                <w:szCs w:val="15"/>
                <w:color w:val="auto"/>
              </w:rPr>
            </w:pPr>
          </w:p>
        </w:tc>
        <w:tc>
          <w:tcPr>
            <w:tcW w:w="740" w:type="dxa"/>
            <w:vAlign w:val="bottom"/>
            <w:shd w:val="clear" w:color="auto" w:fill="E5E5E5"/>
          </w:tcPr>
          <w:p>
            <w:pPr>
              <w:jc w:val="right"/>
              <w:ind w:right="18"/>
              <w:spacing w:after="0"/>
              <w:rPr>
                <w:sz w:val="20"/>
                <w:szCs w:val="20"/>
                <w:color w:val="auto"/>
              </w:rPr>
            </w:pPr>
            <w:r>
              <w:rPr>
                <w:rFonts w:ascii="Arial" w:cs="Arial" w:eastAsia="Arial" w:hAnsi="Arial"/>
                <w:sz w:val="12"/>
                <w:szCs w:val="12"/>
                <w:color w:val="auto"/>
              </w:rPr>
              <w:t>56,612</w:t>
            </w:r>
          </w:p>
        </w:tc>
        <w:tc>
          <w:tcPr>
            <w:tcW w:w="760" w:type="dxa"/>
            <w:vAlign w:val="bottom"/>
            <w:shd w:val="clear" w:color="auto" w:fill="E5E5E5"/>
          </w:tcPr>
          <w:p>
            <w:pPr>
              <w:jc w:val="right"/>
              <w:ind w:right="158"/>
              <w:spacing w:after="0"/>
              <w:rPr>
                <w:sz w:val="20"/>
                <w:szCs w:val="20"/>
                <w:color w:val="auto"/>
              </w:rPr>
            </w:pPr>
            <w:r>
              <w:rPr>
                <w:rFonts w:ascii="Arial" w:cs="Arial" w:eastAsia="Arial" w:hAnsi="Arial"/>
                <w:sz w:val="12"/>
                <w:szCs w:val="12"/>
                <w:color w:val="auto"/>
              </w:rPr>
              <w:t>113,224</w:t>
            </w:r>
          </w:p>
        </w:tc>
        <w:tc>
          <w:tcPr>
            <w:tcW w:w="600" w:type="dxa"/>
            <w:vAlign w:val="bottom"/>
            <w:shd w:val="clear" w:color="auto" w:fill="E5E5E5"/>
          </w:tcPr>
          <w:p>
            <w:pPr>
              <w:jc w:val="right"/>
              <w:ind w:right="38"/>
              <w:spacing w:after="0"/>
              <w:rPr>
                <w:sz w:val="20"/>
                <w:szCs w:val="20"/>
                <w:color w:val="auto"/>
              </w:rPr>
            </w:pPr>
            <w:r>
              <w:rPr>
                <w:rFonts w:ascii="Arial" w:cs="Arial" w:eastAsia="Arial" w:hAnsi="Arial"/>
                <w:sz w:val="12"/>
                <w:szCs w:val="12"/>
                <w:color w:val="auto"/>
              </w:rPr>
              <w:t>226,448</w:t>
            </w:r>
          </w:p>
        </w:tc>
        <w:tc>
          <w:tcPr>
            <w:tcW w:w="62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640" w:type="dxa"/>
            <w:vAlign w:val="bottom"/>
            <w:shd w:val="clear" w:color="auto" w:fill="E5E5E5"/>
          </w:tcPr>
          <w:p>
            <w:pPr>
              <w:spacing w:after="0"/>
              <w:rPr>
                <w:sz w:val="15"/>
                <w:szCs w:val="15"/>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2"/>
                <w:szCs w:val="12"/>
                <w:color w:val="auto"/>
              </w:rPr>
              <w:t>5,985,021</w:t>
            </w:r>
          </w:p>
        </w:tc>
        <w:tc>
          <w:tcPr>
            <w:tcW w:w="0" w:type="dxa"/>
            <w:vAlign w:val="bottom"/>
          </w:tcPr>
          <w:p>
            <w:pPr>
              <w:spacing w:after="0"/>
              <w:rPr>
                <w:sz w:val="1"/>
                <w:szCs w:val="1"/>
                <w:color w:val="auto"/>
              </w:rPr>
            </w:pPr>
          </w:p>
        </w:tc>
      </w:tr>
      <w:tr>
        <w:trPr>
          <w:trHeight w:val="160"/>
        </w:trPr>
        <w:tc>
          <w:tcPr>
            <w:tcW w:w="1830" w:type="dxa"/>
            <w:vAlign w:val="bottom"/>
            <w:shd w:val="clear" w:color="auto" w:fill="E5E5E5"/>
          </w:tcPr>
          <w:p>
            <w:pPr>
              <w:spacing w:after="0"/>
              <w:rPr>
                <w:sz w:val="13"/>
                <w:szCs w:val="13"/>
                <w:color w:val="auto"/>
              </w:rPr>
            </w:pPr>
          </w:p>
        </w:tc>
        <w:tc>
          <w:tcPr>
            <w:tcW w:w="1190" w:type="dxa"/>
            <w:vAlign w:val="bottom"/>
            <w:shd w:val="clear" w:color="auto" w:fill="E5E5E5"/>
          </w:tcPr>
          <w:p>
            <w:pPr>
              <w:jc w:val="center"/>
              <w:spacing w:after="0"/>
              <w:rPr>
                <w:sz w:val="20"/>
                <w:szCs w:val="20"/>
                <w:color w:val="auto"/>
              </w:rPr>
            </w:pPr>
            <w:r>
              <w:rPr>
                <w:rFonts w:ascii="Arial" w:cs="Arial" w:eastAsia="Arial" w:hAnsi="Arial"/>
                <w:sz w:val="12"/>
                <w:szCs w:val="12"/>
                <w:color w:val="auto"/>
              </w:rPr>
              <w:t>Stock Options</w:t>
            </w:r>
          </w:p>
        </w:tc>
        <w:tc>
          <w:tcPr>
            <w:tcW w:w="740" w:type="dxa"/>
            <w:vAlign w:val="bottom"/>
            <w:shd w:val="clear" w:color="auto" w:fill="E5E5E5"/>
          </w:tcPr>
          <w:p>
            <w:pPr>
              <w:ind w:left="120"/>
              <w:spacing w:after="0"/>
              <w:rPr>
                <w:sz w:val="20"/>
                <w:szCs w:val="20"/>
                <w:color w:val="auto"/>
              </w:rPr>
            </w:pPr>
            <w:r>
              <w:rPr>
                <w:rFonts w:ascii="Arial" w:cs="Arial" w:eastAsia="Arial" w:hAnsi="Arial"/>
                <w:sz w:val="12"/>
                <w:szCs w:val="12"/>
                <w:color w:val="auto"/>
              </w:rPr>
              <w:t>06-Mar-17</w:t>
            </w:r>
          </w:p>
        </w:tc>
        <w:tc>
          <w:tcPr>
            <w:tcW w:w="740" w:type="dxa"/>
            <w:vAlign w:val="bottom"/>
            <w:shd w:val="clear" w:color="auto" w:fill="E5E5E5"/>
          </w:tcPr>
          <w:p>
            <w:pPr>
              <w:spacing w:after="0"/>
              <w:rPr>
                <w:sz w:val="13"/>
                <w:szCs w:val="13"/>
                <w:color w:val="auto"/>
              </w:rPr>
            </w:pPr>
          </w:p>
        </w:tc>
        <w:tc>
          <w:tcPr>
            <w:tcW w:w="68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620" w:type="dxa"/>
            <w:vAlign w:val="bottom"/>
            <w:shd w:val="clear" w:color="auto" w:fill="E5E5E5"/>
          </w:tcPr>
          <w:p>
            <w:pPr>
              <w:spacing w:after="0"/>
              <w:rPr>
                <w:sz w:val="13"/>
                <w:szCs w:val="13"/>
                <w:color w:val="auto"/>
              </w:rPr>
            </w:pPr>
          </w:p>
        </w:tc>
        <w:tc>
          <w:tcPr>
            <w:tcW w:w="740" w:type="dxa"/>
            <w:vAlign w:val="bottom"/>
            <w:shd w:val="clear" w:color="auto" w:fill="E5E5E5"/>
          </w:tcPr>
          <w:p>
            <w:pPr>
              <w:spacing w:after="0"/>
              <w:rPr>
                <w:sz w:val="13"/>
                <w:szCs w:val="13"/>
                <w:color w:val="auto"/>
              </w:rPr>
            </w:pPr>
          </w:p>
        </w:tc>
        <w:tc>
          <w:tcPr>
            <w:tcW w:w="760" w:type="dxa"/>
            <w:vAlign w:val="bottom"/>
            <w:shd w:val="clear" w:color="auto" w:fill="E5E5E5"/>
          </w:tcPr>
          <w:p>
            <w:pPr>
              <w:spacing w:after="0"/>
              <w:rPr>
                <w:sz w:val="13"/>
                <w:szCs w:val="13"/>
                <w:color w:val="auto"/>
              </w:rPr>
            </w:pPr>
          </w:p>
        </w:tc>
        <w:tc>
          <w:tcPr>
            <w:tcW w:w="600" w:type="dxa"/>
            <w:vAlign w:val="bottom"/>
            <w:shd w:val="clear" w:color="auto" w:fill="E5E5E5"/>
          </w:tcPr>
          <w:p>
            <w:pPr>
              <w:spacing w:after="0"/>
              <w:rPr>
                <w:sz w:val="13"/>
                <w:szCs w:val="13"/>
                <w:color w:val="auto"/>
              </w:rPr>
            </w:pPr>
          </w:p>
        </w:tc>
        <w:tc>
          <w:tcPr>
            <w:tcW w:w="620" w:type="dxa"/>
            <w:vAlign w:val="bottom"/>
            <w:shd w:val="clear" w:color="auto" w:fill="E5E5E5"/>
          </w:tcPr>
          <w:p>
            <w:pPr>
              <w:spacing w:after="0"/>
              <w:rPr>
                <w:sz w:val="13"/>
                <w:szCs w:val="13"/>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2"/>
                <w:szCs w:val="12"/>
                <w:color w:val="auto"/>
              </w:rPr>
              <w:t>176,775</w:t>
            </w:r>
          </w:p>
        </w:tc>
        <w:tc>
          <w:tcPr>
            <w:tcW w:w="640" w:type="dxa"/>
            <w:vAlign w:val="bottom"/>
            <w:shd w:val="clear" w:color="auto" w:fill="E5E5E5"/>
          </w:tcPr>
          <w:p>
            <w:pPr>
              <w:jc w:val="right"/>
              <w:spacing w:after="0"/>
              <w:rPr>
                <w:sz w:val="20"/>
                <w:szCs w:val="20"/>
                <w:color w:val="auto"/>
              </w:rPr>
            </w:pPr>
            <w:r>
              <w:rPr>
                <w:rFonts w:ascii="Arial" w:cs="Arial" w:eastAsia="Arial" w:hAnsi="Arial"/>
                <w:sz w:val="12"/>
                <w:szCs w:val="12"/>
                <w:color w:val="auto"/>
              </w:rPr>
              <w:t>51.03</w:t>
            </w:r>
          </w:p>
        </w:tc>
        <w:tc>
          <w:tcPr>
            <w:tcW w:w="840" w:type="dxa"/>
            <w:vAlign w:val="bottom"/>
            <w:shd w:val="clear" w:color="auto" w:fill="E5E5E5"/>
          </w:tcPr>
          <w:p>
            <w:pPr>
              <w:jc w:val="right"/>
              <w:spacing w:after="0"/>
              <w:rPr>
                <w:sz w:val="20"/>
                <w:szCs w:val="20"/>
                <w:color w:val="auto"/>
              </w:rPr>
            </w:pPr>
            <w:r>
              <w:rPr>
                <w:rFonts w:ascii="Arial" w:cs="Arial" w:eastAsia="Arial" w:hAnsi="Arial"/>
                <w:sz w:val="12"/>
                <w:szCs w:val="12"/>
                <w:color w:val="auto"/>
              </w:rPr>
              <w:t>2,565,005</w:t>
            </w:r>
          </w:p>
        </w:tc>
        <w:tc>
          <w:tcPr>
            <w:tcW w:w="0" w:type="dxa"/>
            <w:vAlign w:val="bottom"/>
          </w:tcPr>
          <w:p>
            <w:pPr>
              <w:spacing w:after="0"/>
              <w:rPr>
                <w:sz w:val="1"/>
                <w:szCs w:val="1"/>
                <w:color w:val="auto"/>
              </w:rPr>
            </w:pPr>
          </w:p>
        </w:tc>
      </w:tr>
      <w:tr>
        <w:trPr>
          <w:trHeight w:val="177"/>
        </w:trPr>
        <w:tc>
          <w:tcPr>
            <w:tcW w:w="1830" w:type="dxa"/>
            <w:vAlign w:val="bottom"/>
            <w:shd w:val="clear" w:color="auto" w:fill="E5E5E5"/>
          </w:tcPr>
          <w:p>
            <w:pPr>
              <w:spacing w:after="0"/>
              <w:rPr>
                <w:sz w:val="15"/>
                <w:szCs w:val="15"/>
                <w:color w:val="auto"/>
              </w:rPr>
            </w:pPr>
          </w:p>
        </w:tc>
        <w:tc>
          <w:tcPr>
            <w:tcW w:w="1190" w:type="dxa"/>
            <w:vAlign w:val="bottom"/>
            <w:shd w:val="clear" w:color="auto" w:fill="E5E5E5"/>
          </w:tcPr>
          <w:p>
            <w:pPr>
              <w:jc w:val="center"/>
              <w:spacing w:after="0"/>
              <w:rPr>
                <w:sz w:val="20"/>
                <w:szCs w:val="20"/>
                <w:color w:val="auto"/>
              </w:rPr>
            </w:pPr>
            <w:r>
              <w:rPr>
                <w:rFonts w:ascii="Arial" w:cs="Arial" w:eastAsia="Arial" w:hAnsi="Arial"/>
                <w:sz w:val="12"/>
                <w:szCs w:val="12"/>
                <w:color w:val="auto"/>
              </w:rPr>
              <w:t>AIP</w:t>
            </w:r>
          </w:p>
        </w:tc>
        <w:tc>
          <w:tcPr>
            <w:tcW w:w="740" w:type="dxa"/>
            <w:vAlign w:val="bottom"/>
            <w:shd w:val="clear" w:color="auto" w:fill="E5E5E5"/>
          </w:tcPr>
          <w:p>
            <w:pPr>
              <w:spacing w:after="0"/>
              <w:rPr>
                <w:sz w:val="15"/>
                <w:szCs w:val="15"/>
                <w:color w:val="auto"/>
              </w:rPr>
            </w:pPr>
          </w:p>
        </w:tc>
        <w:tc>
          <w:tcPr>
            <w:tcW w:w="740" w:type="dxa"/>
            <w:vAlign w:val="bottom"/>
            <w:shd w:val="clear" w:color="auto" w:fill="E5E5E5"/>
          </w:tcPr>
          <w:p>
            <w:pPr>
              <w:jc w:val="right"/>
              <w:ind w:right="18"/>
              <w:spacing w:after="0"/>
              <w:rPr>
                <w:sz w:val="20"/>
                <w:szCs w:val="20"/>
                <w:color w:val="auto"/>
              </w:rPr>
            </w:pPr>
            <w:r>
              <w:rPr>
                <w:rFonts w:ascii="Arial" w:cs="Arial" w:eastAsia="Arial" w:hAnsi="Arial"/>
                <w:sz w:val="12"/>
                <w:szCs w:val="12"/>
                <w:color w:val="auto"/>
              </w:rPr>
              <w:t>1,125,000</w:t>
            </w:r>
          </w:p>
        </w:tc>
        <w:tc>
          <w:tcPr>
            <w:tcW w:w="680" w:type="dxa"/>
            <w:vAlign w:val="bottom"/>
            <w:shd w:val="clear" w:color="auto" w:fill="E5E5E5"/>
          </w:tcPr>
          <w:p>
            <w:pPr>
              <w:jc w:val="right"/>
              <w:spacing w:after="0"/>
              <w:rPr>
                <w:sz w:val="20"/>
                <w:szCs w:val="20"/>
                <w:color w:val="auto"/>
              </w:rPr>
            </w:pPr>
            <w:r>
              <w:rPr>
                <w:rFonts w:ascii="Arial" w:cs="Arial" w:eastAsia="Arial" w:hAnsi="Arial"/>
                <w:sz w:val="12"/>
                <w:szCs w:val="12"/>
                <w:color w:val="auto"/>
              </w:rPr>
              <w:t>2,250,000</w:t>
            </w:r>
          </w:p>
        </w:tc>
        <w:tc>
          <w:tcPr>
            <w:tcW w:w="100" w:type="dxa"/>
            <w:vAlign w:val="bottom"/>
            <w:shd w:val="clear" w:color="auto" w:fill="E5E5E5"/>
          </w:tcPr>
          <w:p>
            <w:pPr>
              <w:spacing w:after="0"/>
              <w:rPr>
                <w:sz w:val="15"/>
                <w:szCs w:val="15"/>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2"/>
                <w:szCs w:val="12"/>
                <w:color w:val="auto"/>
              </w:rPr>
              <w:t>3,937,500</w:t>
            </w:r>
          </w:p>
        </w:tc>
        <w:tc>
          <w:tcPr>
            <w:tcW w:w="74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600" w:type="dxa"/>
            <w:vAlign w:val="bottom"/>
            <w:shd w:val="clear" w:color="auto" w:fill="E5E5E5"/>
          </w:tcPr>
          <w:p>
            <w:pPr>
              <w:spacing w:after="0"/>
              <w:rPr>
                <w:sz w:val="15"/>
                <w:szCs w:val="15"/>
                <w:color w:val="auto"/>
              </w:rPr>
            </w:pPr>
          </w:p>
        </w:tc>
        <w:tc>
          <w:tcPr>
            <w:tcW w:w="62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64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30" w:type="dxa"/>
            <w:vAlign w:val="bottom"/>
          </w:tcPr>
          <w:p>
            <w:pPr>
              <w:ind w:left="80"/>
              <w:spacing w:after="0"/>
              <w:rPr>
                <w:sz w:val="20"/>
                <w:szCs w:val="20"/>
                <w:color w:val="auto"/>
              </w:rPr>
            </w:pPr>
            <w:r>
              <w:rPr>
                <w:rFonts w:ascii="Arial" w:cs="Arial" w:eastAsia="Arial" w:hAnsi="Arial"/>
                <w:sz w:val="12"/>
                <w:szCs w:val="12"/>
                <w:b w:val="1"/>
                <w:bCs w:val="1"/>
                <w:color w:val="007549"/>
              </w:rPr>
              <w:t>Hill, Gregory P.</w:t>
            </w:r>
          </w:p>
        </w:tc>
        <w:tc>
          <w:tcPr>
            <w:tcW w:w="1190" w:type="dxa"/>
            <w:vAlign w:val="bottom"/>
          </w:tcPr>
          <w:p>
            <w:pPr>
              <w:jc w:val="center"/>
              <w:spacing w:after="0"/>
              <w:rPr>
                <w:sz w:val="20"/>
                <w:szCs w:val="20"/>
                <w:color w:val="auto"/>
              </w:rPr>
            </w:pPr>
            <w:r>
              <w:rPr>
                <w:rFonts w:ascii="Arial" w:cs="Arial" w:eastAsia="Arial" w:hAnsi="Arial"/>
                <w:sz w:val="12"/>
                <w:szCs w:val="12"/>
                <w:color w:val="auto"/>
              </w:rPr>
              <w:t>Performance Shares</w:t>
            </w:r>
          </w:p>
        </w:tc>
        <w:tc>
          <w:tcPr>
            <w:tcW w:w="740" w:type="dxa"/>
            <w:vAlign w:val="bottom"/>
          </w:tcPr>
          <w:p>
            <w:pPr>
              <w:ind w:left="120"/>
              <w:spacing w:after="0"/>
              <w:rPr>
                <w:sz w:val="20"/>
                <w:szCs w:val="20"/>
                <w:color w:val="auto"/>
              </w:rPr>
            </w:pPr>
            <w:r>
              <w:rPr>
                <w:rFonts w:ascii="Arial" w:cs="Arial" w:eastAsia="Arial" w:hAnsi="Arial"/>
                <w:sz w:val="12"/>
                <w:szCs w:val="12"/>
                <w:color w:val="auto"/>
              </w:rPr>
              <w:t>06-Mar-17</w:t>
            </w: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jc w:val="right"/>
              <w:ind w:right="18"/>
              <w:spacing w:after="0"/>
              <w:rPr>
                <w:sz w:val="20"/>
                <w:szCs w:val="20"/>
                <w:color w:val="auto"/>
              </w:rPr>
            </w:pPr>
            <w:r>
              <w:rPr>
                <w:rFonts w:ascii="Arial" w:cs="Arial" w:eastAsia="Arial" w:hAnsi="Arial"/>
                <w:sz w:val="12"/>
                <w:szCs w:val="12"/>
                <w:color w:val="auto"/>
              </w:rPr>
              <w:t>26,816</w:t>
            </w:r>
          </w:p>
        </w:tc>
        <w:tc>
          <w:tcPr>
            <w:tcW w:w="760" w:type="dxa"/>
            <w:vAlign w:val="bottom"/>
          </w:tcPr>
          <w:p>
            <w:pPr>
              <w:jc w:val="right"/>
              <w:ind w:right="158"/>
              <w:spacing w:after="0"/>
              <w:rPr>
                <w:sz w:val="20"/>
                <w:szCs w:val="20"/>
                <w:color w:val="auto"/>
              </w:rPr>
            </w:pPr>
            <w:r>
              <w:rPr>
                <w:rFonts w:ascii="Arial" w:cs="Arial" w:eastAsia="Arial" w:hAnsi="Arial"/>
                <w:sz w:val="12"/>
                <w:szCs w:val="12"/>
                <w:color w:val="auto"/>
              </w:rPr>
              <w:t>53,632</w:t>
            </w:r>
          </w:p>
        </w:tc>
        <w:tc>
          <w:tcPr>
            <w:tcW w:w="600" w:type="dxa"/>
            <w:vAlign w:val="bottom"/>
          </w:tcPr>
          <w:p>
            <w:pPr>
              <w:jc w:val="right"/>
              <w:ind w:right="38"/>
              <w:spacing w:after="0"/>
              <w:rPr>
                <w:sz w:val="20"/>
                <w:szCs w:val="20"/>
                <w:color w:val="auto"/>
              </w:rPr>
            </w:pPr>
            <w:r>
              <w:rPr>
                <w:rFonts w:ascii="Arial" w:cs="Arial" w:eastAsia="Arial" w:hAnsi="Arial"/>
                <w:sz w:val="12"/>
                <w:szCs w:val="12"/>
                <w:color w:val="auto"/>
              </w:rPr>
              <w:t>95,342</w:t>
            </w: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2,834,988</w:t>
            </w:r>
          </w:p>
        </w:tc>
        <w:tc>
          <w:tcPr>
            <w:tcW w:w="0" w:type="dxa"/>
            <w:vAlign w:val="bottom"/>
          </w:tcPr>
          <w:p>
            <w:pPr>
              <w:spacing w:after="0"/>
              <w:rPr>
                <w:sz w:val="1"/>
                <w:szCs w:val="1"/>
                <w:color w:val="auto"/>
              </w:rPr>
            </w:pPr>
          </w:p>
        </w:tc>
      </w:tr>
      <w:tr>
        <w:trPr>
          <w:trHeight w:val="160"/>
        </w:trPr>
        <w:tc>
          <w:tcPr>
            <w:tcW w:w="1830" w:type="dxa"/>
            <w:vAlign w:val="bottom"/>
          </w:tcPr>
          <w:p>
            <w:pPr>
              <w:spacing w:after="0"/>
              <w:rPr>
                <w:sz w:val="13"/>
                <w:szCs w:val="13"/>
                <w:color w:val="auto"/>
              </w:rPr>
            </w:pPr>
          </w:p>
        </w:tc>
        <w:tc>
          <w:tcPr>
            <w:tcW w:w="1190" w:type="dxa"/>
            <w:vAlign w:val="bottom"/>
          </w:tcPr>
          <w:p>
            <w:pPr>
              <w:jc w:val="center"/>
              <w:spacing w:after="0"/>
              <w:rPr>
                <w:sz w:val="20"/>
                <w:szCs w:val="20"/>
                <w:color w:val="auto"/>
              </w:rPr>
            </w:pPr>
            <w:r>
              <w:rPr>
                <w:rFonts w:ascii="Arial" w:cs="Arial" w:eastAsia="Arial" w:hAnsi="Arial"/>
                <w:sz w:val="12"/>
                <w:szCs w:val="12"/>
                <w:color w:val="auto"/>
              </w:rPr>
              <w:t>Restricted Stock</w:t>
            </w:r>
          </w:p>
        </w:tc>
        <w:tc>
          <w:tcPr>
            <w:tcW w:w="740" w:type="dxa"/>
            <w:vAlign w:val="bottom"/>
          </w:tcPr>
          <w:p>
            <w:pPr>
              <w:ind w:left="120"/>
              <w:spacing w:after="0"/>
              <w:rPr>
                <w:sz w:val="20"/>
                <w:szCs w:val="20"/>
                <w:color w:val="auto"/>
              </w:rPr>
            </w:pPr>
            <w:r>
              <w:rPr>
                <w:rFonts w:ascii="Arial" w:cs="Arial" w:eastAsia="Arial" w:hAnsi="Arial"/>
                <w:sz w:val="12"/>
                <w:szCs w:val="12"/>
                <w:color w:val="auto"/>
              </w:rPr>
              <w:t>06-Mar-17</w:t>
            </w: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18,519</w:t>
            </w: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945,025</w:t>
            </w:r>
          </w:p>
        </w:tc>
        <w:tc>
          <w:tcPr>
            <w:tcW w:w="0" w:type="dxa"/>
            <w:vAlign w:val="bottom"/>
          </w:tcPr>
          <w:p>
            <w:pPr>
              <w:spacing w:after="0"/>
              <w:rPr>
                <w:sz w:val="1"/>
                <w:szCs w:val="1"/>
                <w:color w:val="auto"/>
              </w:rPr>
            </w:pPr>
          </w:p>
        </w:tc>
      </w:tr>
      <w:tr>
        <w:trPr>
          <w:trHeight w:val="160"/>
        </w:trPr>
        <w:tc>
          <w:tcPr>
            <w:tcW w:w="1830" w:type="dxa"/>
            <w:vAlign w:val="bottom"/>
          </w:tcPr>
          <w:p>
            <w:pPr>
              <w:spacing w:after="0"/>
              <w:rPr>
                <w:sz w:val="13"/>
                <w:szCs w:val="13"/>
                <w:color w:val="auto"/>
              </w:rPr>
            </w:pPr>
          </w:p>
        </w:tc>
        <w:tc>
          <w:tcPr>
            <w:tcW w:w="1190" w:type="dxa"/>
            <w:vAlign w:val="bottom"/>
          </w:tcPr>
          <w:p>
            <w:pPr>
              <w:jc w:val="center"/>
              <w:spacing w:after="0"/>
              <w:rPr>
                <w:sz w:val="20"/>
                <w:szCs w:val="20"/>
                <w:color w:val="auto"/>
              </w:rPr>
            </w:pPr>
            <w:r>
              <w:rPr>
                <w:rFonts w:ascii="Arial" w:cs="Arial" w:eastAsia="Arial" w:hAnsi="Arial"/>
                <w:sz w:val="12"/>
                <w:szCs w:val="12"/>
                <w:color w:val="auto"/>
              </w:rPr>
              <w:t>Stock Options</w:t>
            </w:r>
          </w:p>
        </w:tc>
        <w:tc>
          <w:tcPr>
            <w:tcW w:w="740" w:type="dxa"/>
            <w:vAlign w:val="bottom"/>
          </w:tcPr>
          <w:p>
            <w:pPr>
              <w:ind w:left="120"/>
              <w:spacing w:after="0"/>
              <w:rPr>
                <w:sz w:val="20"/>
                <w:szCs w:val="20"/>
                <w:color w:val="auto"/>
              </w:rPr>
            </w:pPr>
            <w:r>
              <w:rPr>
                <w:rFonts w:ascii="Arial" w:cs="Arial" w:eastAsia="Arial" w:hAnsi="Arial"/>
                <w:sz w:val="12"/>
                <w:szCs w:val="12"/>
                <w:color w:val="auto"/>
              </w:rPr>
              <w:t>06-Mar-17</w:t>
            </w: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65,127</w:t>
            </w:r>
          </w:p>
        </w:tc>
        <w:tc>
          <w:tcPr>
            <w:tcW w:w="640" w:type="dxa"/>
            <w:vAlign w:val="bottom"/>
          </w:tcPr>
          <w:p>
            <w:pPr>
              <w:jc w:val="right"/>
              <w:spacing w:after="0"/>
              <w:rPr>
                <w:sz w:val="20"/>
                <w:szCs w:val="20"/>
                <w:color w:val="auto"/>
              </w:rPr>
            </w:pPr>
            <w:r>
              <w:rPr>
                <w:rFonts w:ascii="Arial" w:cs="Arial" w:eastAsia="Arial" w:hAnsi="Arial"/>
                <w:sz w:val="12"/>
                <w:szCs w:val="12"/>
                <w:color w:val="auto"/>
              </w:rPr>
              <w:t>51.03</w:t>
            </w:r>
          </w:p>
        </w:tc>
        <w:tc>
          <w:tcPr>
            <w:tcW w:w="840" w:type="dxa"/>
            <w:vAlign w:val="bottom"/>
          </w:tcPr>
          <w:p>
            <w:pPr>
              <w:jc w:val="right"/>
              <w:spacing w:after="0"/>
              <w:rPr>
                <w:sz w:val="20"/>
                <w:szCs w:val="20"/>
                <w:color w:val="auto"/>
              </w:rPr>
            </w:pPr>
            <w:r>
              <w:rPr>
                <w:rFonts w:ascii="Arial" w:cs="Arial" w:eastAsia="Arial" w:hAnsi="Arial"/>
                <w:sz w:val="12"/>
                <w:szCs w:val="12"/>
                <w:color w:val="auto"/>
              </w:rPr>
              <w:t>944,993</w:t>
            </w:r>
          </w:p>
        </w:tc>
        <w:tc>
          <w:tcPr>
            <w:tcW w:w="0" w:type="dxa"/>
            <w:vAlign w:val="bottom"/>
          </w:tcPr>
          <w:p>
            <w:pPr>
              <w:spacing w:after="0"/>
              <w:rPr>
                <w:sz w:val="1"/>
                <w:szCs w:val="1"/>
                <w:color w:val="auto"/>
              </w:rPr>
            </w:pPr>
          </w:p>
        </w:tc>
      </w:tr>
      <w:tr>
        <w:trPr>
          <w:trHeight w:val="168"/>
        </w:trPr>
        <w:tc>
          <w:tcPr>
            <w:tcW w:w="1830" w:type="dxa"/>
            <w:vAlign w:val="bottom"/>
          </w:tcPr>
          <w:p>
            <w:pPr>
              <w:spacing w:after="0"/>
              <w:rPr>
                <w:sz w:val="14"/>
                <w:szCs w:val="14"/>
                <w:color w:val="auto"/>
              </w:rPr>
            </w:pPr>
          </w:p>
        </w:tc>
        <w:tc>
          <w:tcPr>
            <w:tcW w:w="1190" w:type="dxa"/>
            <w:vAlign w:val="bottom"/>
          </w:tcPr>
          <w:p>
            <w:pPr>
              <w:jc w:val="center"/>
              <w:spacing w:after="0"/>
              <w:rPr>
                <w:sz w:val="20"/>
                <w:szCs w:val="20"/>
                <w:color w:val="auto"/>
              </w:rPr>
            </w:pPr>
            <w:r>
              <w:rPr>
                <w:rFonts w:ascii="Arial" w:cs="Arial" w:eastAsia="Arial" w:hAnsi="Arial"/>
                <w:sz w:val="12"/>
                <w:szCs w:val="12"/>
                <w:color w:val="auto"/>
              </w:rPr>
              <w:t>AIP</w:t>
            </w:r>
          </w:p>
        </w:tc>
        <w:tc>
          <w:tcPr>
            <w:tcW w:w="740" w:type="dxa"/>
            <w:vAlign w:val="bottom"/>
          </w:tcPr>
          <w:p>
            <w:pPr>
              <w:spacing w:after="0"/>
              <w:rPr>
                <w:sz w:val="14"/>
                <w:szCs w:val="14"/>
                <w:color w:val="auto"/>
              </w:rPr>
            </w:pPr>
          </w:p>
        </w:tc>
        <w:tc>
          <w:tcPr>
            <w:tcW w:w="740" w:type="dxa"/>
            <w:vAlign w:val="bottom"/>
          </w:tcPr>
          <w:p>
            <w:pPr>
              <w:jc w:val="right"/>
              <w:ind w:right="18"/>
              <w:spacing w:after="0"/>
              <w:rPr>
                <w:sz w:val="20"/>
                <w:szCs w:val="20"/>
                <w:color w:val="auto"/>
              </w:rPr>
            </w:pPr>
            <w:r>
              <w:rPr>
                <w:rFonts w:ascii="Arial" w:cs="Arial" w:eastAsia="Arial" w:hAnsi="Arial"/>
                <w:sz w:val="12"/>
                <w:szCs w:val="12"/>
                <w:color w:val="auto"/>
              </w:rPr>
              <w:t>715,000</w:t>
            </w:r>
          </w:p>
        </w:tc>
        <w:tc>
          <w:tcPr>
            <w:tcW w:w="680" w:type="dxa"/>
            <w:vAlign w:val="bottom"/>
          </w:tcPr>
          <w:p>
            <w:pPr>
              <w:jc w:val="right"/>
              <w:spacing w:after="0"/>
              <w:rPr>
                <w:sz w:val="20"/>
                <w:szCs w:val="20"/>
                <w:color w:val="auto"/>
              </w:rPr>
            </w:pPr>
            <w:r>
              <w:rPr>
                <w:rFonts w:ascii="Arial" w:cs="Arial" w:eastAsia="Arial" w:hAnsi="Arial"/>
                <w:sz w:val="12"/>
                <w:szCs w:val="12"/>
                <w:color w:val="auto"/>
              </w:rPr>
              <w:t>1,430,000</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2,502,500</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830" w:type="dxa"/>
            <w:vAlign w:val="bottom"/>
            <w:shd w:val="clear" w:color="auto" w:fill="E5E5E5"/>
          </w:tcPr>
          <w:p>
            <w:pPr>
              <w:ind w:left="80"/>
              <w:spacing w:after="0"/>
              <w:rPr>
                <w:sz w:val="20"/>
                <w:szCs w:val="20"/>
                <w:color w:val="auto"/>
              </w:rPr>
            </w:pPr>
            <w:r>
              <w:rPr>
                <w:rFonts w:ascii="Arial" w:cs="Arial" w:eastAsia="Arial" w:hAnsi="Arial"/>
                <w:sz w:val="12"/>
                <w:szCs w:val="12"/>
                <w:b w:val="1"/>
                <w:bCs w:val="1"/>
                <w:color w:val="007549"/>
              </w:rPr>
              <w:t>Goodell, Timothy B.</w:t>
            </w:r>
          </w:p>
        </w:tc>
        <w:tc>
          <w:tcPr>
            <w:tcW w:w="1190" w:type="dxa"/>
            <w:vAlign w:val="bottom"/>
            <w:shd w:val="clear" w:color="auto" w:fill="E5E5E5"/>
          </w:tcPr>
          <w:p>
            <w:pPr>
              <w:jc w:val="center"/>
              <w:spacing w:after="0"/>
              <w:rPr>
                <w:sz w:val="20"/>
                <w:szCs w:val="20"/>
                <w:color w:val="auto"/>
              </w:rPr>
            </w:pPr>
            <w:r>
              <w:rPr>
                <w:rFonts w:ascii="Arial" w:cs="Arial" w:eastAsia="Arial" w:hAnsi="Arial"/>
                <w:sz w:val="12"/>
                <w:szCs w:val="12"/>
                <w:color w:val="auto"/>
              </w:rPr>
              <w:t>Performance Shares</w:t>
            </w:r>
          </w:p>
        </w:tc>
        <w:tc>
          <w:tcPr>
            <w:tcW w:w="740" w:type="dxa"/>
            <w:vAlign w:val="bottom"/>
            <w:shd w:val="clear" w:color="auto" w:fill="E5E5E5"/>
          </w:tcPr>
          <w:p>
            <w:pPr>
              <w:ind w:left="120"/>
              <w:spacing w:after="0"/>
              <w:rPr>
                <w:sz w:val="20"/>
                <w:szCs w:val="20"/>
                <w:color w:val="auto"/>
              </w:rPr>
            </w:pPr>
            <w:r>
              <w:rPr>
                <w:rFonts w:ascii="Arial" w:cs="Arial" w:eastAsia="Arial" w:hAnsi="Arial"/>
                <w:sz w:val="12"/>
                <w:szCs w:val="12"/>
                <w:color w:val="auto"/>
              </w:rPr>
              <w:t>06-Mar-17</w:t>
            </w:r>
          </w:p>
        </w:tc>
        <w:tc>
          <w:tcPr>
            <w:tcW w:w="74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620" w:type="dxa"/>
            <w:vAlign w:val="bottom"/>
            <w:shd w:val="clear" w:color="auto" w:fill="E5E5E5"/>
          </w:tcPr>
          <w:p>
            <w:pPr>
              <w:spacing w:after="0"/>
              <w:rPr>
                <w:sz w:val="16"/>
                <w:szCs w:val="16"/>
                <w:color w:val="auto"/>
              </w:rPr>
            </w:pPr>
          </w:p>
        </w:tc>
        <w:tc>
          <w:tcPr>
            <w:tcW w:w="740" w:type="dxa"/>
            <w:vAlign w:val="bottom"/>
            <w:shd w:val="clear" w:color="auto" w:fill="E5E5E5"/>
          </w:tcPr>
          <w:p>
            <w:pPr>
              <w:jc w:val="right"/>
              <w:ind w:right="18"/>
              <w:spacing w:after="0"/>
              <w:rPr>
                <w:sz w:val="20"/>
                <w:szCs w:val="20"/>
                <w:color w:val="auto"/>
              </w:rPr>
            </w:pPr>
            <w:r>
              <w:rPr>
                <w:rFonts w:ascii="Arial" w:cs="Arial" w:eastAsia="Arial" w:hAnsi="Arial"/>
                <w:sz w:val="12"/>
                <w:szCs w:val="12"/>
                <w:color w:val="auto"/>
              </w:rPr>
              <w:t>11,351</w:t>
            </w:r>
          </w:p>
        </w:tc>
        <w:tc>
          <w:tcPr>
            <w:tcW w:w="760" w:type="dxa"/>
            <w:vAlign w:val="bottom"/>
            <w:shd w:val="clear" w:color="auto" w:fill="E5E5E5"/>
          </w:tcPr>
          <w:p>
            <w:pPr>
              <w:jc w:val="right"/>
              <w:ind w:right="158"/>
              <w:spacing w:after="0"/>
              <w:rPr>
                <w:sz w:val="20"/>
                <w:szCs w:val="20"/>
                <w:color w:val="auto"/>
              </w:rPr>
            </w:pPr>
            <w:r>
              <w:rPr>
                <w:rFonts w:ascii="Arial" w:cs="Arial" w:eastAsia="Arial" w:hAnsi="Arial"/>
                <w:sz w:val="12"/>
                <w:szCs w:val="12"/>
                <w:color w:val="auto"/>
              </w:rPr>
              <w:t>22,701</w:t>
            </w:r>
          </w:p>
        </w:tc>
        <w:tc>
          <w:tcPr>
            <w:tcW w:w="600" w:type="dxa"/>
            <w:vAlign w:val="bottom"/>
            <w:shd w:val="clear" w:color="auto" w:fill="E5E5E5"/>
          </w:tcPr>
          <w:p>
            <w:pPr>
              <w:jc w:val="right"/>
              <w:ind w:right="38"/>
              <w:spacing w:after="0"/>
              <w:rPr>
                <w:sz w:val="20"/>
                <w:szCs w:val="20"/>
                <w:color w:val="auto"/>
              </w:rPr>
            </w:pPr>
            <w:r>
              <w:rPr>
                <w:rFonts w:ascii="Arial" w:cs="Arial" w:eastAsia="Arial" w:hAnsi="Arial"/>
                <w:sz w:val="12"/>
                <w:szCs w:val="12"/>
                <w:color w:val="auto"/>
              </w:rPr>
              <w:t>45,402</w:t>
            </w:r>
          </w:p>
        </w:tc>
        <w:tc>
          <w:tcPr>
            <w:tcW w:w="62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64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2"/>
                <w:szCs w:val="12"/>
                <w:color w:val="auto"/>
              </w:rPr>
              <w:t>1,199,975</w:t>
            </w:r>
          </w:p>
        </w:tc>
        <w:tc>
          <w:tcPr>
            <w:tcW w:w="0" w:type="dxa"/>
            <w:vAlign w:val="bottom"/>
          </w:tcPr>
          <w:p>
            <w:pPr>
              <w:spacing w:after="0"/>
              <w:rPr>
                <w:sz w:val="1"/>
                <w:szCs w:val="1"/>
                <w:color w:val="auto"/>
              </w:rPr>
            </w:pPr>
          </w:p>
        </w:tc>
      </w:tr>
      <w:tr>
        <w:trPr>
          <w:trHeight w:val="160"/>
        </w:trPr>
        <w:tc>
          <w:tcPr>
            <w:tcW w:w="1830" w:type="dxa"/>
            <w:vAlign w:val="bottom"/>
            <w:shd w:val="clear" w:color="auto" w:fill="E5E5E5"/>
          </w:tcPr>
          <w:p>
            <w:pPr>
              <w:spacing w:after="0"/>
              <w:rPr>
                <w:sz w:val="13"/>
                <w:szCs w:val="13"/>
                <w:color w:val="auto"/>
              </w:rPr>
            </w:pPr>
          </w:p>
        </w:tc>
        <w:tc>
          <w:tcPr>
            <w:tcW w:w="1190" w:type="dxa"/>
            <w:vAlign w:val="bottom"/>
            <w:shd w:val="clear" w:color="auto" w:fill="E5E5E5"/>
          </w:tcPr>
          <w:p>
            <w:pPr>
              <w:jc w:val="center"/>
              <w:spacing w:after="0"/>
              <w:rPr>
                <w:sz w:val="20"/>
                <w:szCs w:val="20"/>
                <w:color w:val="auto"/>
              </w:rPr>
            </w:pPr>
            <w:r>
              <w:rPr>
                <w:rFonts w:ascii="Arial" w:cs="Arial" w:eastAsia="Arial" w:hAnsi="Arial"/>
                <w:sz w:val="12"/>
                <w:szCs w:val="12"/>
                <w:color w:val="auto"/>
              </w:rPr>
              <w:t>Restricted Stock</w:t>
            </w:r>
          </w:p>
        </w:tc>
        <w:tc>
          <w:tcPr>
            <w:tcW w:w="740" w:type="dxa"/>
            <w:vAlign w:val="bottom"/>
            <w:shd w:val="clear" w:color="auto" w:fill="E5E5E5"/>
          </w:tcPr>
          <w:p>
            <w:pPr>
              <w:ind w:left="120"/>
              <w:spacing w:after="0"/>
              <w:rPr>
                <w:sz w:val="20"/>
                <w:szCs w:val="20"/>
                <w:color w:val="auto"/>
              </w:rPr>
            </w:pPr>
            <w:r>
              <w:rPr>
                <w:rFonts w:ascii="Arial" w:cs="Arial" w:eastAsia="Arial" w:hAnsi="Arial"/>
                <w:sz w:val="12"/>
                <w:szCs w:val="12"/>
                <w:color w:val="auto"/>
              </w:rPr>
              <w:t>06-Mar-17</w:t>
            </w:r>
          </w:p>
        </w:tc>
        <w:tc>
          <w:tcPr>
            <w:tcW w:w="740" w:type="dxa"/>
            <w:vAlign w:val="bottom"/>
            <w:shd w:val="clear" w:color="auto" w:fill="E5E5E5"/>
          </w:tcPr>
          <w:p>
            <w:pPr>
              <w:spacing w:after="0"/>
              <w:rPr>
                <w:sz w:val="13"/>
                <w:szCs w:val="13"/>
                <w:color w:val="auto"/>
              </w:rPr>
            </w:pPr>
          </w:p>
        </w:tc>
        <w:tc>
          <w:tcPr>
            <w:tcW w:w="68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620" w:type="dxa"/>
            <w:vAlign w:val="bottom"/>
            <w:shd w:val="clear" w:color="auto" w:fill="E5E5E5"/>
          </w:tcPr>
          <w:p>
            <w:pPr>
              <w:spacing w:after="0"/>
              <w:rPr>
                <w:sz w:val="13"/>
                <w:szCs w:val="13"/>
                <w:color w:val="auto"/>
              </w:rPr>
            </w:pPr>
          </w:p>
        </w:tc>
        <w:tc>
          <w:tcPr>
            <w:tcW w:w="740" w:type="dxa"/>
            <w:vAlign w:val="bottom"/>
            <w:shd w:val="clear" w:color="auto" w:fill="E5E5E5"/>
          </w:tcPr>
          <w:p>
            <w:pPr>
              <w:spacing w:after="0"/>
              <w:rPr>
                <w:sz w:val="13"/>
                <w:szCs w:val="13"/>
                <w:color w:val="auto"/>
              </w:rPr>
            </w:pPr>
          </w:p>
        </w:tc>
        <w:tc>
          <w:tcPr>
            <w:tcW w:w="760" w:type="dxa"/>
            <w:vAlign w:val="bottom"/>
            <w:shd w:val="clear" w:color="auto" w:fill="E5E5E5"/>
          </w:tcPr>
          <w:p>
            <w:pPr>
              <w:spacing w:after="0"/>
              <w:rPr>
                <w:sz w:val="13"/>
                <w:szCs w:val="13"/>
                <w:color w:val="auto"/>
              </w:rPr>
            </w:pPr>
          </w:p>
        </w:tc>
        <w:tc>
          <w:tcPr>
            <w:tcW w:w="600" w:type="dxa"/>
            <w:vAlign w:val="bottom"/>
            <w:shd w:val="clear" w:color="auto" w:fill="E5E5E5"/>
          </w:tcPr>
          <w:p>
            <w:pPr>
              <w:spacing w:after="0"/>
              <w:rPr>
                <w:sz w:val="13"/>
                <w:szCs w:val="13"/>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2"/>
                <w:szCs w:val="12"/>
                <w:color w:val="auto"/>
              </w:rPr>
              <w:t>7,839</w:t>
            </w:r>
          </w:p>
        </w:tc>
        <w:tc>
          <w:tcPr>
            <w:tcW w:w="760" w:type="dxa"/>
            <w:vAlign w:val="bottom"/>
            <w:shd w:val="clear" w:color="auto" w:fill="E5E5E5"/>
          </w:tcPr>
          <w:p>
            <w:pPr>
              <w:spacing w:after="0"/>
              <w:rPr>
                <w:sz w:val="13"/>
                <w:szCs w:val="13"/>
                <w:color w:val="auto"/>
              </w:rPr>
            </w:pPr>
          </w:p>
        </w:tc>
        <w:tc>
          <w:tcPr>
            <w:tcW w:w="640" w:type="dxa"/>
            <w:vAlign w:val="bottom"/>
            <w:shd w:val="clear" w:color="auto" w:fill="E5E5E5"/>
          </w:tcPr>
          <w:p>
            <w:pPr>
              <w:spacing w:after="0"/>
              <w:rPr>
                <w:sz w:val="13"/>
                <w:szCs w:val="13"/>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2"/>
                <w:szCs w:val="12"/>
                <w:color w:val="auto"/>
              </w:rPr>
              <w:t>400,024</w:t>
            </w:r>
          </w:p>
        </w:tc>
        <w:tc>
          <w:tcPr>
            <w:tcW w:w="0" w:type="dxa"/>
            <w:vAlign w:val="bottom"/>
          </w:tcPr>
          <w:p>
            <w:pPr>
              <w:spacing w:after="0"/>
              <w:rPr>
                <w:sz w:val="1"/>
                <w:szCs w:val="1"/>
                <w:color w:val="auto"/>
              </w:rPr>
            </w:pPr>
          </w:p>
        </w:tc>
      </w:tr>
      <w:tr>
        <w:trPr>
          <w:trHeight w:val="160"/>
        </w:trPr>
        <w:tc>
          <w:tcPr>
            <w:tcW w:w="1830" w:type="dxa"/>
            <w:vAlign w:val="bottom"/>
            <w:shd w:val="clear" w:color="auto" w:fill="E5E5E5"/>
          </w:tcPr>
          <w:p>
            <w:pPr>
              <w:spacing w:after="0"/>
              <w:rPr>
                <w:sz w:val="13"/>
                <w:szCs w:val="13"/>
                <w:color w:val="auto"/>
              </w:rPr>
            </w:pPr>
          </w:p>
        </w:tc>
        <w:tc>
          <w:tcPr>
            <w:tcW w:w="1190" w:type="dxa"/>
            <w:vAlign w:val="bottom"/>
            <w:shd w:val="clear" w:color="auto" w:fill="E5E5E5"/>
          </w:tcPr>
          <w:p>
            <w:pPr>
              <w:jc w:val="center"/>
              <w:spacing w:after="0"/>
              <w:rPr>
                <w:sz w:val="20"/>
                <w:szCs w:val="20"/>
                <w:color w:val="auto"/>
              </w:rPr>
            </w:pPr>
            <w:r>
              <w:rPr>
                <w:rFonts w:ascii="Arial" w:cs="Arial" w:eastAsia="Arial" w:hAnsi="Arial"/>
                <w:sz w:val="12"/>
                <w:szCs w:val="12"/>
                <w:color w:val="auto"/>
              </w:rPr>
              <w:t>Stock Options</w:t>
            </w:r>
          </w:p>
        </w:tc>
        <w:tc>
          <w:tcPr>
            <w:tcW w:w="740" w:type="dxa"/>
            <w:vAlign w:val="bottom"/>
            <w:shd w:val="clear" w:color="auto" w:fill="E5E5E5"/>
          </w:tcPr>
          <w:p>
            <w:pPr>
              <w:ind w:left="120"/>
              <w:spacing w:after="0"/>
              <w:rPr>
                <w:sz w:val="20"/>
                <w:szCs w:val="20"/>
                <w:color w:val="auto"/>
              </w:rPr>
            </w:pPr>
            <w:r>
              <w:rPr>
                <w:rFonts w:ascii="Arial" w:cs="Arial" w:eastAsia="Arial" w:hAnsi="Arial"/>
                <w:sz w:val="12"/>
                <w:szCs w:val="12"/>
                <w:color w:val="auto"/>
              </w:rPr>
              <w:t>06-Mar-17</w:t>
            </w:r>
          </w:p>
        </w:tc>
        <w:tc>
          <w:tcPr>
            <w:tcW w:w="740" w:type="dxa"/>
            <w:vAlign w:val="bottom"/>
            <w:shd w:val="clear" w:color="auto" w:fill="E5E5E5"/>
          </w:tcPr>
          <w:p>
            <w:pPr>
              <w:spacing w:after="0"/>
              <w:rPr>
                <w:sz w:val="13"/>
                <w:szCs w:val="13"/>
                <w:color w:val="auto"/>
              </w:rPr>
            </w:pPr>
          </w:p>
        </w:tc>
        <w:tc>
          <w:tcPr>
            <w:tcW w:w="68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620" w:type="dxa"/>
            <w:vAlign w:val="bottom"/>
            <w:shd w:val="clear" w:color="auto" w:fill="E5E5E5"/>
          </w:tcPr>
          <w:p>
            <w:pPr>
              <w:spacing w:after="0"/>
              <w:rPr>
                <w:sz w:val="13"/>
                <w:szCs w:val="13"/>
                <w:color w:val="auto"/>
              </w:rPr>
            </w:pPr>
          </w:p>
        </w:tc>
        <w:tc>
          <w:tcPr>
            <w:tcW w:w="740" w:type="dxa"/>
            <w:vAlign w:val="bottom"/>
            <w:shd w:val="clear" w:color="auto" w:fill="E5E5E5"/>
          </w:tcPr>
          <w:p>
            <w:pPr>
              <w:spacing w:after="0"/>
              <w:rPr>
                <w:sz w:val="13"/>
                <w:szCs w:val="13"/>
                <w:color w:val="auto"/>
              </w:rPr>
            </w:pPr>
          </w:p>
        </w:tc>
        <w:tc>
          <w:tcPr>
            <w:tcW w:w="760" w:type="dxa"/>
            <w:vAlign w:val="bottom"/>
            <w:shd w:val="clear" w:color="auto" w:fill="E5E5E5"/>
          </w:tcPr>
          <w:p>
            <w:pPr>
              <w:spacing w:after="0"/>
              <w:rPr>
                <w:sz w:val="13"/>
                <w:szCs w:val="13"/>
                <w:color w:val="auto"/>
              </w:rPr>
            </w:pPr>
          </w:p>
        </w:tc>
        <w:tc>
          <w:tcPr>
            <w:tcW w:w="600" w:type="dxa"/>
            <w:vAlign w:val="bottom"/>
            <w:shd w:val="clear" w:color="auto" w:fill="E5E5E5"/>
          </w:tcPr>
          <w:p>
            <w:pPr>
              <w:spacing w:after="0"/>
              <w:rPr>
                <w:sz w:val="13"/>
                <w:szCs w:val="13"/>
                <w:color w:val="auto"/>
              </w:rPr>
            </w:pPr>
          </w:p>
        </w:tc>
        <w:tc>
          <w:tcPr>
            <w:tcW w:w="620" w:type="dxa"/>
            <w:vAlign w:val="bottom"/>
            <w:shd w:val="clear" w:color="auto" w:fill="E5E5E5"/>
          </w:tcPr>
          <w:p>
            <w:pPr>
              <w:spacing w:after="0"/>
              <w:rPr>
                <w:sz w:val="13"/>
                <w:szCs w:val="13"/>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2"/>
                <w:szCs w:val="12"/>
                <w:color w:val="auto"/>
              </w:rPr>
              <w:t>27,567</w:t>
            </w:r>
          </w:p>
        </w:tc>
        <w:tc>
          <w:tcPr>
            <w:tcW w:w="640" w:type="dxa"/>
            <w:vAlign w:val="bottom"/>
            <w:shd w:val="clear" w:color="auto" w:fill="E5E5E5"/>
          </w:tcPr>
          <w:p>
            <w:pPr>
              <w:jc w:val="right"/>
              <w:spacing w:after="0"/>
              <w:rPr>
                <w:sz w:val="20"/>
                <w:szCs w:val="20"/>
                <w:color w:val="auto"/>
              </w:rPr>
            </w:pPr>
            <w:r>
              <w:rPr>
                <w:rFonts w:ascii="Arial" w:cs="Arial" w:eastAsia="Arial" w:hAnsi="Arial"/>
                <w:sz w:val="12"/>
                <w:szCs w:val="12"/>
                <w:color w:val="auto"/>
              </w:rPr>
              <w:t>51.03</w:t>
            </w:r>
          </w:p>
        </w:tc>
        <w:tc>
          <w:tcPr>
            <w:tcW w:w="840" w:type="dxa"/>
            <w:vAlign w:val="bottom"/>
            <w:shd w:val="clear" w:color="auto" w:fill="E5E5E5"/>
          </w:tcPr>
          <w:p>
            <w:pPr>
              <w:jc w:val="right"/>
              <w:spacing w:after="0"/>
              <w:rPr>
                <w:sz w:val="20"/>
                <w:szCs w:val="20"/>
                <w:color w:val="auto"/>
              </w:rPr>
            </w:pPr>
            <w:r>
              <w:rPr>
                <w:rFonts w:ascii="Arial" w:cs="Arial" w:eastAsia="Arial" w:hAnsi="Arial"/>
                <w:sz w:val="12"/>
                <w:szCs w:val="12"/>
                <w:color w:val="auto"/>
              </w:rPr>
              <w:t>399,997</w:t>
            </w:r>
          </w:p>
        </w:tc>
        <w:tc>
          <w:tcPr>
            <w:tcW w:w="0" w:type="dxa"/>
            <w:vAlign w:val="bottom"/>
          </w:tcPr>
          <w:p>
            <w:pPr>
              <w:spacing w:after="0"/>
              <w:rPr>
                <w:sz w:val="1"/>
                <w:szCs w:val="1"/>
                <w:color w:val="auto"/>
              </w:rPr>
            </w:pPr>
          </w:p>
        </w:tc>
      </w:tr>
      <w:tr>
        <w:trPr>
          <w:trHeight w:val="177"/>
        </w:trPr>
        <w:tc>
          <w:tcPr>
            <w:tcW w:w="1830" w:type="dxa"/>
            <w:vAlign w:val="bottom"/>
            <w:shd w:val="clear" w:color="auto" w:fill="E5E5E5"/>
          </w:tcPr>
          <w:p>
            <w:pPr>
              <w:spacing w:after="0"/>
              <w:rPr>
                <w:sz w:val="15"/>
                <w:szCs w:val="15"/>
                <w:color w:val="auto"/>
              </w:rPr>
            </w:pPr>
          </w:p>
        </w:tc>
        <w:tc>
          <w:tcPr>
            <w:tcW w:w="1190" w:type="dxa"/>
            <w:vAlign w:val="bottom"/>
            <w:shd w:val="clear" w:color="auto" w:fill="E5E5E5"/>
          </w:tcPr>
          <w:p>
            <w:pPr>
              <w:jc w:val="center"/>
              <w:spacing w:after="0"/>
              <w:rPr>
                <w:sz w:val="20"/>
                <w:szCs w:val="20"/>
                <w:color w:val="auto"/>
              </w:rPr>
            </w:pPr>
            <w:r>
              <w:rPr>
                <w:rFonts w:ascii="Arial" w:cs="Arial" w:eastAsia="Arial" w:hAnsi="Arial"/>
                <w:sz w:val="12"/>
                <w:szCs w:val="12"/>
                <w:color w:val="auto"/>
              </w:rPr>
              <w:t>AIP</w:t>
            </w:r>
          </w:p>
        </w:tc>
        <w:tc>
          <w:tcPr>
            <w:tcW w:w="740" w:type="dxa"/>
            <w:vAlign w:val="bottom"/>
            <w:shd w:val="clear" w:color="auto" w:fill="E5E5E5"/>
          </w:tcPr>
          <w:p>
            <w:pPr>
              <w:spacing w:after="0"/>
              <w:rPr>
                <w:sz w:val="15"/>
                <w:szCs w:val="15"/>
                <w:color w:val="auto"/>
              </w:rPr>
            </w:pPr>
          </w:p>
        </w:tc>
        <w:tc>
          <w:tcPr>
            <w:tcW w:w="740" w:type="dxa"/>
            <w:vAlign w:val="bottom"/>
            <w:shd w:val="clear" w:color="auto" w:fill="E5E5E5"/>
          </w:tcPr>
          <w:p>
            <w:pPr>
              <w:jc w:val="right"/>
              <w:ind w:right="18"/>
              <w:spacing w:after="0"/>
              <w:rPr>
                <w:sz w:val="20"/>
                <w:szCs w:val="20"/>
                <w:color w:val="auto"/>
              </w:rPr>
            </w:pPr>
            <w:r>
              <w:rPr>
                <w:rFonts w:ascii="Arial" w:cs="Arial" w:eastAsia="Arial" w:hAnsi="Arial"/>
                <w:sz w:val="12"/>
                <w:szCs w:val="12"/>
                <w:color w:val="auto"/>
              </w:rPr>
              <w:t>350,000</w:t>
            </w:r>
          </w:p>
        </w:tc>
        <w:tc>
          <w:tcPr>
            <w:tcW w:w="680" w:type="dxa"/>
            <w:vAlign w:val="bottom"/>
            <w:shd w:val="clear" w:color="auto" w:fill="E5E5E5"/>
          </w:tcPr>
          <w:p>
            <w:pPr>
              <w:jc w:val="right"/>
              <w:spacing w:after="0"/>
              <w:rPr>
                <w:sz w:val="20"/>
                <w:szCs w:val="20"/>
                <w:color w:val="auto"/>
              </w:rPr>
            </w:pPr>
            <w:r>
              <w:rPr>
                <w:rFonts w:ascii="Arial" w:cs="Arial" w:eastAsia="Arial" w:hAnsi="Arial"/>
                <w:sz w:val="12"/>
                <w:szCs w:val="12"/>
                <w:color w:val="auto"/>
              </w:rPr>
              <w:t>700,000</w:t>
            </w:r>
          </w:p>
        </w:tc>
        <w:tc>
          <w:tcPr>
            <w:tcW w:w="100" w:type="dxa"/>
            <w:vAlign w:val="bottom"/>
            <w:shd w:val="clear" w:color="auto" w:fill="E5E5E5"/>
          </w:tcPr>
          <w:p>
            <w:pPr>
              <w:spacing w:after="0"/>
              <w:rPr>
                <w:sz w:val="15"/>
                <w:szCs w:val="15"/>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2"/>
                <w:szCs w:val="12"/>
                <w:color w:val="auto"/>
              </w:rPr>
              <w:t>1,225,000</w:t>
            </w:r>
          </w:p>
        </w:tc>
        <w:tc>
          <w:tcPr>
            <w:tcW w:w="74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600" w:type="dxa"/>
            <w:vAlign w:val="bottom"/>
            <w:shd w:val="clear" w:color="auto" w:fill="E5E5E5"/>
          </w:tcPr>
          <w:p>
            <w:pPr>
              <w:spacing w:after="0"/>
              <w:rPr>
                <w:sz w:val="15"/>
                <w:szCs w:val="15"/>
                <w:color w:val="auto"/>
              </w:rPr>
            </w:pPr>
          </w:p>
        </w:tc>
        <w:tc>
          <w:tcPr>
            <w:tcW w:w="62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64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30" w:type="dxa"/>
            <w:vAlign w:val="bottom"/>
          </w:tcPr>
          <w:p>
            <w:pPr>
              <w:ind w:left="80"/>
              <w:spacing w:after="0"/>
              <w:rPr>
                <w:sz w:val="20"/>
                <w:szCs w:val="20"/>
                <w:color w:val="auto"/>
              </w:rPr>
            </w:pPr>
            <w:r>
              <w:rPr>
                <w:rFonts w:ascii="Arial" w:cs="Arial" w:eastAsia="Arial" w:hAnsi="Arial"/>
                <w:sz w:val="12"/>
                <w:szCs w:val="12"/>
                <w:b w:val="1"/>
                <w:bCs w:val="1"/>
                <w:color w:val="007549"/>
              </w:rPr>
              <w:t>Rielly, John P.</w:t>
            </w:r>
          </w:p>
        </w:tc>
        <w:tc>
          <w:tcPr>
            <w:tcW w:w="1190" w:type="dxa"/>
            <w:vAlign w:val="bottom"/>
          </w:tcPr>
          <w:p>
            <w:pPr>
              <w:jc w:val="center"/>
              <w:spacing w:after="0"/>
              <w:rPr>
                <w:sz w:val="20"/>
                <w:szCs w:val="20"/>
                <w:color w:val="auto"/>
              </w:rPr>
            </w:pPr>
            <w:r>
              <w:rPr>
                <w:rFonts w:ascii="Arial" w:cs="Arial" w:eastAsia="Arial" w:hAnsi="Arial"/>
                <w:sz w:val="12"/>
                <w:szCs w:val="12"/>
                <w:color w:val="auto"/>
              </w:rPr>
              <w:t>Performance Shares</w:t>
            </w:r>
          </w:p>
        </w:tc>
        <w:tc>
          <w:tcPr>
            <w:tcW w:w="740" w:type="dxa"/>
            <w:vAlign w:val="bottom"/>
          </w:tcPr>
          <w:p>
            <w:pPr>
              <w:ind w:left="120"/>
              <w:spacing w:after="0"/>
              <w:rPr>
                <w:sz w:val="20"/>
                <w:szCs w:val="20"/>
                <w:color w:val="auto"/>
              </w:rPr>
            </w:pPr>
            <w:r>
              <w:rPr>
                <w:rFonts w:ascii="Arial" w:cs="Arial" w:eastAsia="Arial" w:hAnsi="Arial"/>
                <w:sz w:val="12"/>
                <w:szCs w:val="12"/>
                <w:color w:val="auto"/>
              </w:rPr>
              <w:t>06-Mar-17</w:t>
            </w: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jc w:val="right"/>
              <w:ind w:right="18"/>
              <w:spacing w:after="0"/>
              <w:rPr>
                <w:sz w:val="20"/>
                <w:szCs w:val="20"/>
                <w:color w:val="auto"/>
              </w:rPr>
            </w:pPr>
            <w:r>
              <w:rPr>
                <w:rFonts w:ascii="Arial" w:cs="Arial" w:eastAsia="Arial" w:hAnsi="Arial"/>
                <w:sz w:val="12"/>
                <w:szCs w:val="12"/>
                <w:color w:val="auto"/>
              </w:rPr>
              <w:t>11,351</w:t>
            </w:r>
          </w:p>
        </w:tc>
        <w:tc>
          <w:tcPr>
            <w:tcW w:w="760" w:type="dxa"/>
            <w:vAlign w:val="bottom"/>
          </w:tcPr>
          <w:p>
            <w:pPr>
              <w:jc w:val="right"/>
              <w:ind w:right="158"/>
              <w:spacing w:after="0"/>
              <w:rPr>
                <w:sz w:val="20"/>
                <w:szCs w:val="20"/>
                <w:color w:val="auto"/>
              </w:rPr>
            </w:pPr>
            <w:r>
              <w:rPr>
                <w:rFonts w:ascii="Arial" w:cs="Arial" w:eastAsia="Arial" w:hAnsi="Arial"/>
                <w:sz w:val="12"/>
                <w:szCs w:val="12"/>
                <w:color w:val="auto"/>
              </w:rPr>
              <w:t>22,701</w:t>
            </w:r>
          </w:p>
        </w:tc>
        <w:tc>
          <w:tcPr>
            <w:tcW w:w="600" w:type="dxa"/>
            <w:vAlign w:val="bottom"/>
          </w:tcPr>
          <w:p>
            <w:pPr>
              <w:jc w:val="right"/>
              <w:ind w:right="38"/>
              <w:spacing w:after="0"/>
              <w:rPr>
                <w:sz w:val="20"/>
                <w:szCs w:val="20"/>
                <w:color w:val="auto"/>
              </w:rPr>
            </w:pPr>
            <w:r>
              <w:rPr>
                <w:rFonts w:ascii="Arial" w:cs="Arial" w:eastAsia="Arial" w:hAnsi="Arial"/>
                <w:sz w:val="12"/>
                <w:szCs w:val="12"/>
                <w:color w:val="auto"/>
              </w:rPr>
              <w:t>45,402</w:t>
            </w: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1,199,975</w:t>
            </w:r>
          </w:p>
        </w:tc>
        <w:tc>
          <w:tcPr>
            <w:tcW w:w="0" w:type="dxa"/>
            <w:vAlign w:val="bottom"/>
          </w:tcPr>
          <w:p>
            <w:pPr>
              <w:spacing w:after="0"/>
              <w:rPr>
                <w:sz w:val="1"/>
                <w:szCs w:val="1"/>
                <w:color w:val="auto"/>
              </w:rPr>
            </w:pPr>
          </w:p>
        </w:tc>
      </w:tr>
      <w:tr>
        <w:trPr>
          <w:trHeight w:val="160"/>
        </w:trPr>
        <w:tc>
          <w:tcPr>
            <w:tcW w:w="1830" w:type="dxa"/>
            <w:vAlign w:val="bottom"/>
          </w:tcPr>
          <w:p>
            <w:pPr>
              <w:spacing w:after="0"/>
              <w:rPr>
                <w:sz w:val="13"/>
                <w:szCs w:val="13"/>
                <w:color w:val="auto"/>
              </w:rPr>
            </w:pPr>
          </w:p>
        </w:tc>
        <w:tc>
          <w:tcPr>
            <w:tcW w:w="1190" w:type="dxa"/>
            <w:vAlign w:val="bottom"/>
          </w:tcPr>
          <w:p>
            <w:pPr>
              <w:jc w:val="center"/>
              <w:spacing w:after="0"/>
              <w:rPr>
                <w:sz w:val="20"/>
                <w:szCs w:val="20"/>
                <w:color w:val="auto"/>
              </w:rPr>
            </w:pPr>
            <w:r>
              <w:rPr>
                <w:rFonts w:ascii="Arial" w:cs="Arial" w:eastAsia="Arial" w:hAnsi="Arial"/>
                <w:sz w:val="12"/>
                <w:szCs w:val="12"/>
                <w:color w:val="auto"/>
              </w:rPr>
              <w:t>Restricted Stock</w:t>
            </w:r>
          </w:p>
        </w:tc>
        <w:tc>
          <w:tcPr>
            <w:tcW w:w="740" w:type="dxa"/>
            <w:vAlign w:val="bottom"/>
          </w:tcPr>
          <w:p>
            <w:pPr>
              <w:ind w:left="120"/>
              <w:spacing w:after="0"/>
              <w:rPr>
                <w:sz w:val="20"/>
                <w:szCs w:val="20"/>
                <w:color w:val="auto"/>
              </w:rPr>
            </w:pPr>
            <w:r>
              <w:rPr>
                <w:rFonts w:ascii="Arial" w:cs="Arial" w:eastAsia="Arial" w:hAnsi="Arial"/>
                <w:sz w:val="12"/>
                <w:szCs w:val="12"/>
                <w:color w:val="auto"/>
              </w:rPr>
              <w:t>06-Mar-17</w:t>
            </w: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7,839</w:t>
            </w: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400,024</w:t>
            </w:r>
          </w:p>
        </w:tc>
        <w:tc>
          <w:tcPr>
            <w:tcW w:w="0" w:type="dxa"/>
            <w:vAlign w:val="bottom"/>
          </w:tcPr>
          <w:p>
            <w:pPr>
              <w:spacing w:after="0"/>
              <w:rPr>
                <w:sz w:val="1"/>
                <w:szCs w:val="1"/>
                <w:color w:val="auto"/>
              </w:rPr>
            </w:pPr>
          </w:p>
        </w:tc>
      </w:tr>
      <w:tr>
        <w:trPr>
          <w:trHeight w:val="160"/>
        </w:trPr>
        <w:tc>
          <w:tcPr>
            <w:tcW w:w="1830" w:type="dxa"/>
            <w:vAlign w:val="bottom"/>
          </w:tcPr>
          <w:p>
            <w:pPr>
              <w:spacing w:after="0"/>
              <w:rPr>
                <w:sz w:val="13"/>
                <w:szCs w:val="13"/>
                <w:color w:val="auto"/>
              </w:rPr>
            </w:pPr>
          </w:p>
        </w:tc>
        <w:tc>
          <w:tcPr>
            <w:tcW w:w="1190" w:type="dxa"/>
            <w:vAlign w:val="bottom"/>
          </w:tcPr>
          <w:p>
            <w:pPr>
              <w:jc w:val="center"/>
              <w:spacing w:after="0"/>
              <w:rPr>
                <w:sz w:val="20"/>
                <w:szCs w:val="20"/>
                <w:color w:val="auto"/>
              </w:rPr>
            </w:pPr>
            <w:r>
              <w:rPr>
                <w:rFonts w:ascii="Arial" w:cs="Arial" w:eastAsia="Arial" w:hAnsi="Arial"/>
                <w:sz w:val="12"/>
                <w:szCs w:val="12"/>
                <w:color w:val="auto"/>
              </w:rPr>
              <w:t>Stock Options</w:t>
            </w:r>
          </w:p>
        </w:tc>
        <w:tc>
          <w:tcPr>
            <w:tcW w:w="740" w:type="dxa"/>
            <w:vAlign w:val="bottom"/>
          </w:tcPr>
          <w:p>
            <w:pPr>
              <w:ind w:left="120"/>
              <w:spacing w:after="0"/>
              <w:rPr>
                <w:sz w:val="20"/>
                <w:szCs w:val="20"/>
                <w:color w:val="auto"/>
              </w:rPr>
            </w:pPr>
            <w:r>
              <w:rPr>
                <w:rFonts w:ascii="Arial" w:cs="Arial" w:eastAsia="Arial" w:hAnsi="Arial"/>
                <w:sz w:val="12"/>
                <w:szCs w:val="12"/>
                <w:color w:val="auto"/>
              </w:rPr>
              <w:t>06-Mar-17</w:t>
            </w: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27,567</w:t>
            </w:r>
          </w:p>
        </w:tc>
        <w:tc>
          <w:tcPr>
            <w:tcW w:w="640" w:type="dxa"/>
            <w:vAlign w:val="bottom"/>
          </w:tcPr>
          <w:p>
            <w:pPr>
              <w:jc w:val="right"/>
              <w:spacing w:after="0"/>
              <w:rPr>
                <w:sz w:val="20"/>
                <w:szCs w:val="20"/>
                <w:color w:val="auto"/>
              </w:rPr>
            </w:pPr>
            <w:r>
              <w:rPr>
                <w:rFonts w:ascii="Arial" w:cs="Arial" w:eastAsia="Arial" w:hAnsi="Arial"/>
                <w:sz w:val="12"/>
                <w:szCs w:val="12"/>
                <w:color w:val="auto"/>
              </w:rPr>
              <w:t>51.03</w:t>
            </w:r>
          </w:p>
        </w:tc>
        <w:tc>
          <w:tcPr>
            <w:tcW w:w="840" w:type="dxa"/>
            <w:vAlign w:val="bottom"/>
          </w:tcPr>
          <w:p>
            <w:pPr>
              <w:jc w:val="right"/>
              <w:spacing w:after="0"/>
              <w:rPr>
                <w:sz w:val="20"/>
                <w:szCs w:val="20"/>
                <w:color w:val="auto"/>
              </w:rPr>
            </w:pPr>
            <w:r>
              <w:rPr>
                <w:rFonts w:ascii="Arial" w:cs="Arial" w:eastAsia="Arial" w:hAnsi="Arial"/>
                <w:sz w:val="12"/>
                <w:szCs w:val="12"/>
                <w:color w:val="auto"/>
              </w:rPr>
              <w:t>399,997</w:t>
            </w:r>
          </w:p>
        </w:tc>
        <w:tc>
          <w:tcPr>
            <w:tcW w:w="0" w:type="dxa"/>
            <w:vAlign w:val="bottom"/>
          </w:tcPr>
          <w:p>
            <w:pPr>
              <w:spacing w:after="0"/>
              <w:rPr>
                <w:sz w:val="1"/>
                <w:szCs w:val="1"/>
                <w:color w:val="auto"/>
              </w:rPr>
            </w:pPr>
          </w:p>
        </w:tc>
      </w:tr>
      <w:tr>
        <w:trPr>
          <w:trHeight w:val="168"/>
        </w:trPr>
        <w:tc>
          <w:tcPr>
            <w:tcW w:w="1830" w:type="dxa"/>
            <w:vAlign w:val="bottom"/>
          </w:tcPr>
          <w:p>
            <w:pPr>
              <w:spacing w:after="0"/>
              <w:rPr>
                <w:sz w:val="14"/>
                <w:szCs w:val="14"/>
                <w:color w:val="auto"/>
              </w:rPr>
            </w:pPr>
          </w:p>
        </w:tc>
        <w:tc>
          <w:tcPr>
            <w:tcW w:w="1190" w:type="dxa"/>
            <w:vAlign w:val="bottom"/>
          </w:tcPr>
          <w:p>
            <w:pPr>
              <w:jc w:val="center"/>
              <w:spacing w:after="0"/>
              <w:rPr>
                <w:sz w:val="20"/>
                <w:szCs w:val="20"/>
                <w:color w:val="auto"/>
              </w:rPr>
            </w:pPr>
            <w:r>
              <w:rPr>
                <w:rFonts w:ascii="Arial" w:cs="Arial" w:eastAsia="Arial" w:hAnsi="Arial"/>
                <w:sz w:val="12"/>
                <w:szCs w:val="12"/>
                <w:color w:val="auto"/>
              </w:rPr>
              <w:t>AIP</w:t>
            </w:r>
          </w:p>
        </w:tc>
        <w:tc>
          <w:tcPr>
            <w:tcW w:w="740" w:type="dxa"/>
            <w:vAlign w:val="bottom"/>
          </w:tcPr>
          <w:p>
            <w:pPr>
              <w:spacing w:after="0"/>
              <w:rPr>
                <w:sz w:val="14"/>
                <w:szCs w:val="14"/>
                <w:color w:val="auto"/>
              </w:rPr>
            </w:pPr>
          </w:p>
        </w:tc>
        <w:tc>
          <w:tcPr>
            <w:tcW w:w="740" w:type="dxa"/>
            <w:vAlign w:val="bottom"/>
          </w:tcPr>
          <w:p>
            <w:pPr>
              <w:jc w:val="right"/>
              <w:ind w:right="18"/>
              <w:spacing w:after="0"/>
              <w:rPr>
                <w:sz w:val="20"/>
                <w:szCs w:val="20"/>
                <w:color w:val="auto"/>
              </w:rPr>
            </w:pPr>
            <w:r>
              <w:rPr>
                <w:rFonts w:ascii="Arial" w:cs="Arial" w:eastAsia="Arial" w:hAnsi="Arial"/>
                <w:sz w:val="12"/>
                <w:szCs w:val="12"/>
                <w:color w:val="auto"/>
              </w:rPr>
              <w:t>350,000</w:t>
            </w:r>
          </w:p>
        </w:tc>
        <w:tc>
          <w:tcPr>
            <w:tcW w:w="680" w:type="dxa"/>
            <w:vAlign w:val="bottom"/>
          </w:tcPr>
          <w:p>
            <w:pPr>
              <w:jc w:val="right"/>
              <w:spacing w:after="0"/>
              <w:rPr>
                <w:sz w:val="20"/>
                <w:szCs w:val="20"/>
                <w:color w:val="auto"/>
              </w:rPr>
            </w:pPr>
            <w:r>
              <w:rPr>
                <w:rFonts w:ascii="Arial" w:cs="Arial" w:eastAsia="Arial" w:hAnsi="Arial"/>
                <w:sz w:val="12"/>
                <w:szCs w:val="12"/>
                <w:color w:val="auto"/>
              </w:rPr>
              <w:t>700,000</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1,225,000</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830" w:type="dxa"/>
            <w:vAlign w:val="bottom"/>
            <w:shd w:val="clear" w:color="auto" w:fill="E5E5E5"/>
          </w:tcPr>
          <w:p>
            <w:pPr>
              <w:ind w:left="80"/>
              <w:spacing w:after="0"/>
              <w:rPr>
                <w:sz w:val="20"/>
                <w:szCs w:val="20"/>
                <w:color w:val="auto"/>
              </w:rPr>
            </w:pPr>
            <w:r>
              <w:rPr>
                <w:rFonts w:ascii="Arial" w:cs="Arial" w:eastAsia="Arial" w:hAnsi="Arial"/>
                <w:sz w:val="12"/>
                <w:szCs w:val="12"/>
                <w:b w:val="1"/>
                <w:bCs w:val="1"/>
                <w:color w:val="007549"/>
              </w:rPr>
              <w:t>Turner, Michael R.</w:t>
            </w:r>
          </w:p>
        </w:tc>
        <w:tc>
          <w:tcPr>
            <w:tcW w:w="1190" w:type="dxa"/>
            <w:vAlign w:val="bottom"/>
            <w:shd w:val="clear" w:color="auto" w:fill="E5E5E5"/>
          </w:tcPr>
          <w:p>
            <w:pPr>
              <w:jc w:val="center"/>
              <w:spacing w:after="0"/>
              <w:rPr>
                <w:sz w:val="20"/>
                <w:szCs w:val="20"/>
                <w:color w:val="auto"/>
              </w:rPr>
            </w:pPr>
            <w:r>
              <w:rPr>
                <w:rFonts w:ascii="Arial" w:cs="Arial" w:eastAsia="Arial" w:hAnsi="Arial"/>
                <w:sz w:val="12"/>
                <w:szCs w:val="12"/>
                <w:color w:val="auto"/>
              </w:rPr>
              <w:t>Performance Shares</w:t>
            </w:r>
          </w:p>
        </w:tc>
        <w:tc>
          <w:tcPr>
            <w:tcW w:w="740" w:type="dxa"/>
            <w:vAlign w:val="bottom"/>
            <w:shd w:val="clear" w:color="auto" w:fill="E5E5E5"/>
          </w:tcPr>
          <w:p>
            <w:pPr>
              <w:ind w:left="120"/>
              <w:spacing w:after="0"/>
              <w:rPr>
                <w:sz w:val="20"/>
                <w:szCs w:val="20"/>
                <w:color w:val="auto"/>
              </w:rPr>
            </w:pPr>
            <w:r>
              <w:rPr>
                <w:rFonts w:ascii="Arial" w:cs="Arial" w:eastAsia="Arial" w:hAnsi="Arial"/>
                <w:sz w:val="12"/>
                <w:szCs w:val="12"/>
                <w:color w:val="auto"/>
              </w:rPr>
              <w:t>06-Mar-17</w:t>
            </w:r>
          </w:p>
        </w:tc>
        <w:tc>
          <w:tcPr>
            <w:tcW w:w="74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620" w:type="dxa"/>
            <w:vAlign w:val="bottom"/>
            <w:shd w:val="clear" w:color="auto" w:fill="E5E5E5"/>
          </w:tcPr>
          <w:p>
            <w:pPr>
              <w:spacing w:after="0"/>
              <w:rPr>
                <w:sz w:val="16"/>
                <w:szCs w:val="16"/>
                <w:color w:val="auto"/>
              </w:rPr>
            </w:pPr>
          </w:p>
        </w:tc>
        <w:tc>
          <w:tcPr>
            <w:tcW w:w="740" w:type="dxa"/>
            <w:vAlign w:val="bottom"/>
            <w:shd w:val="clear" w:color="auto" w:fill="E5E5E5"/>
          </w:tcPr>
          <w:p>
            <w:pPr>
              <w:jc w:val="right"/>
              <w:ind w:right="18"/>
              <w:spacing w:after="0"/>
              <w:rPr>
                <w:sz w:val="20"/>
                <w:szCs w:val="20"/>
                <w:color w:val="auto"/>
              </w:rPr>
            </w:pPr>
            <w:r>
              <w:rPr>
                <w:rFonts w:ascii="Arial" w:cs="Arial" w:eastAsia="Arial" w:hAnsi="Arial"/>
                <w:sz w:val="12"/>
                <w:szCs w:val="12"/>
                <w:color w:val="auto"/>
              </w:rPr>
              <w:t>8,797</w:t>
            </w:r>
          </w:p>
        </w:tc>
        <w:tc>
          <w:tcPr>
            <w:tcW w:w="760" w:type="dxa"/>
            <w:vAlign w:val="bottom"/>
            <w:shd w:val="clear" w:color="auto" w:fill="E5E5E5"/>
          </w:tcPr>
          <w:p>
            <w:pPr>
              <w:jc w:val="right"/>
              <w:ind w:right="158"/>
              <w:spacing w:after="0"/>
              <w:rPr>
                <w:sz w:val="20"/>
                <w:szCs w:val="20"/>
                <w:color w:val="auto"/>
              </w:rPr>
            </w:pPr>
            <w:r>
              <w:rPr>
                <w:rFonts w:ascii="Arial" w:cs="Arial" w:eastAsia="Arial" w:hAnsi="Arial"/>
                <w:sz w:val="12"/>
                <w:szCs w:val="12"/>
                <w:color w:val="auto"/>
              </w:rPr>
              <w:t>17,594</w:t>
            </w:r>
          </w:p>
        </w:tc>
        <w:tc>
          <w:tcPr>
            <w:tcW w:w="600" w:type="dxa"/>
            <w:vAlign w:val="bottom"/>
            <w:shd w:val="clear" w:color="auto" w:fill="E5E5E5"/>
          </w:tcPr>
          <w:p>
            <w:pPr>
              <w:jc w:val="right"/>
              <w:ind w:right="38"/>
              <w:spacing w:after="0"/>
              <w:rPr>
                <w:sz w:val="20"/>
                <w:szCs w:val="20"/>
                <w:color w:val="auto"/>
              </w:rPr>
            </w:pPr>
            <w:r>
              <w:rPr>
                <w:rFonts w:ascii="Arial" w:cs="Arial" w:eastAsia="Arial" w:hAnsi="Arial"/>
                <w:sz w:val="12"/>
                <w:szCs w:val="12"/>
                <w:color w:val="auto"/>
              </w:rPr>
              <w:t>35,188</w:t>
            </w:r>
          </w:p>
        </w:tc>
        <w:tc>
          <w:tcPr>
            <w:tcW w:w="62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64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2"/>
                <w:szCs w:val="12"/>
                <w:color w:val="auto"/>
              </w:rPr>
              <w:t>930,019</w:t>
            </w:r>
          </w:p>
        </w:tc>
        <w:tc>
          <w:tcPr>
            <w:tcW w:w="0" w:type="dxa"/>
            <w:vAlign w:val="bottom"/>
          </w:tcPr>
          <w:p>
            <w:pPr>
              <w:spacing w:after="0"/>
              <w:rPr>
                <w:sz w:val="1"/>
                <w:szCs w:val="1"/>
                <w:color w:val="auto"/>
              </w:rPr>
            </w:pPr>
          </w:p>
        </w:tc>
      </w:tr>
      <w:tr>
        <w:trPr>
          <w:trHeight w:val="160"/>
        </w:trPr>
        <w:tc>
          <w:tcPr>
            <w:tcW w:w="1830" w:type="dxa"/>
            <w:vAlign w:val="bottom"/>
            <w:shd w:val="clear" w:color="auto" w:fill="E5E5E5"/>
          </w:tcPr>
          <w:p>
            <w:pPr>
              <w:spacing w:after="0"/>
              <w:rPr>
                <w:sz w:val="13"/>
                <w:szCs w:val="13"/>
                <w:color w:val="auto"/>
              </w:rPr>
            </w:pPr>
          </w:p>
        </w:tc>
        <w:tc>
          <w:tcPr>
            <w:tcW w:w="1190" w:type="dxa"/>
            <w:vAlign w:val="bottom"/>
            <w:shd w:val="clear" w:color="auto" w:fill="E5E5E5"/>
          </w:tcPr>
          <w:p>
            <w:pPr>
              <w:jc w:val="center"/>
              <w:spacing w:after="0"/>
              <w:rPr>
                <w:sz w:val="20"/>
                <w:szCs w:val="20"/>
                <w:color w:val="auto"/>
              </w:rPr>
            </w:pPr>
            <w:r>
              <w:rPr>
                <w:rFonts w:ascii="Arial" w:cs="Arial" w:eastAsia="Arial" w:hAnsi="Arial"/>
                <w:sz w:val="12"/>
                <w:szCs w:val="12"/>
                <w:color w:val="auto"/>
              </w:rPr>
              <w:t>Restricted Stock</w:t>
            </w:r>
          </w:p>
        </w:tc>
        <w:tc>
          <w:tcPr>
            <w:tcW w:w="740" w:type="dxa"/>
            <w:vAlign w:val="bottom"/>
            <w:shd w:val="clear" w:color="auto" w:fill="E5E5E5"/>
          </w:tcPr>
          <w:p>
            <w:pPr>
              <w:ind w:left="120"/>
              <w:spacing w:after="0"/>
              <w:rPr>
                <w:sz w:val="20"/>
                <w:szCs w:val="20"/>
                <w:color w:val="auto"/>
              </w:rPr>
            </w:pPr>
            <w:r>
              <w:rPr>
                <w:rFonts w:ascii="Arial" w:cs="Arial" w:eastAsia="Arial" w:hAnsi="Arial"/>
                <w:sz w:val="12"/>
                <w:szCs w:val="12"/>
                <w:color w:val="auto"/>
              </w:rPr>
              <w:t>06-Mar-17</w:t>
            </w:r>
          </w:p>
        </w:tc>
        <w:tc>
          <w:tcPr>
            <w:tcW w:w="740" w:type="dxa"/>
            <w:vAlign w:val="bottom"/>
            <w:shd w:val="clear" w:color="auto" w:fill="E5E5E5"/>
          </w:tcPr>
          <w:p>
            <w:pPr>
              <w:spacing w:after="0"/>
              <w:rPr>
                <w:sz w:val="13"/>
                <w:szCs w:val="13"/>
                <w:color w:val="auto"/>
              </w:rPr>
            </w:pPr>
          </w:p>
        </w:tc>
        <w:tc>
          <w:tcPr>
            <w:tcW w:w="68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620" w:type="dxa"/>
            <w:vAlign w:val="bottom"/>
            <w:shd w:val="clear" w:color="auto" w:fill="E5E5E5"/>
          </w:tcPr>
          <w:p>
            <w:pPr>
              <w:spacing w:after="0"/>
              <w:rPr>
                <w:sz w:val="13"/>
                <w:szCs w:val="13"/>
                <w:color w:val="auto"/>
              </w:rPr>
            </w:pPr>
          </w:p>
        </w:tc>
        <w:tc>
          <w:tcPr>
            <w:tcW w:w="740" w:type="dxa"/>
            <w:vAlign w:val="bottom"/>
            <w:shd w:val="clear" w:color="auto" w:fill="E5E5E5"/>
          </w:tcPr>
          <w:p>
            <w:pPr>
              <w:spacing w:after="0"/>
              <w:rPr>
                <w:sz w:val="13"/>
                <w:szCs w:val="13"/>
                <w:color w:val="auto"/>
              </w:rPr>
            </w:pPr>
          </w:p>
        </w:tc>
        <w:tc>
          <w:tcPr>
            <w:tcW w:w="760" w:type="dxa"/>
            <w:vAlign w:val="bottom"/>
            <w:shd w:val="clear" w:color="auto" w:fill="E5E5E5"/>
          </w:tcPr>
          <w:p>
            <w:pPr>
              <w:spacing w:after="0"/>
              <w:rPr>
                <w:sz w:val="13"/>
                <w:szCs w:val="13"/>
                <w:color w:val="auto"/>
              </w:rPr>
            </w:pPr>
          </w:p>
        </w:tc>
        <w:tc>
          <w:tcPr>
            <w:tcW w:w="600" w:type="dxa"/>
            <w:vAlign w:val="bottom"/>
            <w:shd w:val="clear" w:color="auto" w:fill="E5E5E5"/>
          </w:tcPr>
          <w:p>
            <w:pPr>
              <w:spacing w:after="0"/>
              <w:rPr>
                <w:sz w:val="13"/>
                <w:szCs w:val="13"/>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2"/>
                <w:szCs w:val="12"/>
                <w:color w:val="auto"/>
              </w:rPr>
              <w:t>6,075</w:t>
            </w:r>
          </w:p>
        </w:tc>
        <w:tc>
          <w:tcPr>
            <w:tcW w:w="760" w:type="dxa"/>
            <w:vAlign w:val="bottom"/>
            <w:shd w:val="clear" w:color="auto" w:fill="E5E5E5"/>
          </w:tcPr>
          <w:p>
            <w:pPr>
              <w:spacing w:after="0"/>
              <w:rPr>
                <w:sz w:val="13"/>
                <w:szCs w:val="13"/>
                <w:color w:val="auto"/>
              </w:rPr>
            </w:pPr>
          </w:p>
        </w:tc>
        <w:tc>
          <w:tcPr>
            <w:tcW w:w="640" w:type="dxa"/>
            <w:vAlign w:val="bottom"/>
            <w:shd w:val="clear" w:color="auto" w:fill="E5E5E5"/>
          </w:tcPr>
          <w:p>
            <w:pPr>
              <w:spacing w:after="0"/>
              <w:rPr>
                <w:sz w:val="13"/>
                <w:szCs w:val="13"/>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2"/>
                <w:szCs w:val="12"/>
                <w:color w:val="auto"/>
              </w:rPr>
              <w:t>310,007</w:t>
            </w:r>
          </w:p>
        </w:tc>
        <w:tc>
          <w:tcPr>
            <w:tcW w:w="0" w:type="dxa"/>
            <w:vAlign w:val="bottom"/>
          </w:tcPr>
          <w:p>
            <w:pPr>
              <w:spacing w:after="0"/>
              <w:rPr>
                <w:sz w:val="1"/>
                <w:szCs w:val="1"/>
                <w:color w:val="auto"/>
              </w:rPr>
            </w:pPr>
          </w:p>
        </w:tc>
      </w:tr>
      <w:tr>
        <w:trPr>
          <w:trHeight w:val="160"/>
        </w:trPr>
        <w:tc>
          <w:tcPr>
            <w:tcW w:w="1830" w:type="dxa"/>
            <w:vAlign w:val="bottom"/>
            <w:shd w:val="clear" w:color="auto" w:fill="E5E5E5"/>
          </w:tcPr>
          <w:p>
            <w:pPr>
              <w:spacing w:after="0"/>
              <w:rPr>
                <w:sz w:val="13"/>
                <w:szCs w:val="13"/>
                <w:color w:val="auto"/>
              </w:rPr>
            </w:pPr>
          </w:p>
        </w:tc>
        <w:tc>
          <w:tcPr>
            <w:tcW w:w="1190" w:type="dxa"/>
            <w:vAlign w:val="bottom"/>
            <w:shd w:val="clear" w:color="auto" w:fill="E5E5E5"/>
          </w:tcPr>
          <w:p>
            <w:pPr>
              <w:jc w:val="center"/>
              <w:spacing w:after="0"/>
              <w:rPr>
                <w:sz w:val="20"/>
                <w:szCs w:val="20"/>
                <w:color w:val="auto"/>
              </w:rPr>
            </w:pPr>
            <w:r>
              <w:rPr>
                <w:rFonts w:ascii="Arial" w:cs="Arial" w:eastAsia="Arial" w:hAnsi="Arial"/>
                <w:sz w:val="12"/>
                <w:szCs w:val="12"/>
                <w:color w:val="auto"/>
              </w:rPr>
              <w:t>Stock Options</w:t>
            </w:r>
          </w:p>
        </w:tc>
        <w:tc>
          <w:tcPr>
            <w:tcW w:w="740" w:type="dxa"/>
            <w:vAlign w:val="bottom"/>
            <w:shd w:val="clear" w:color="auto" w:fill="E5E5E5"/>
          </w:tcPr>
          <w:p>
            <w:pPr>
              <w:ind w:left="120"/>
              <w:spacing w:after="0"/>
              <w:rPr>
                <w:sz w:val="20"/>
                <w:szCs w:val="20"/>
                <w:color w:val="auto"/>
              </w:rPr>
            </w:pPr>
            <w:r>
              <w:rPr>
                <w:rFonts w:ascii="Arial" w:cs="Arial" w:eastAsia="Arial" w:hAnsi="Arial"/>
                <w:sz w:val="12"/>
                <w:szCs w:val="12"/>
                <w:color w:val="auto"/>
              </w:rPr>
              <w:t>06-Mar-17</w:t>
            </w:r>
          </w:p>
        </w:tc>
        <w:tc>
          <w:tcPr>
            <w:tcW w:w="740" w:type="dxa"/>
            <w:vAlign w:val="bottom"/>
            <w:shd w:val="clear" w:color="auto" w:fill="E5E5E5"/>
          </w:tcPr>
          <w:p>
            <w:pPr>
              <w:spacing w:after="0"/>
              <w:rPr>
                <w:sz w:val="13"/>
                <w:szCs w:val="13"/>
                <w:color w:val="auto"/>
              </w:rPr>
            </w:pPr>
          </w:p>
        </w:tc>
        <w:tc>
          <w:tcPr>
            <w:tcW w:w="680" w:type="dxa"/>
            <w:vAlign w:val="bottom"/>
            <w:shd w:val="clear" w:color="auto" w:fill="E5E5E5"/>
          </w:tcPr>
          <w:p>
            <w:pPr>
              <w:spacing w:after="0"/>
              <w:rPr>
                <w:sz w:val="13"/>
                <w:szCs w:val="13"/>
                <w:color w:val="auto"/>
              </w:rPr>
            </w:pPr>
          </w:p>
        </w:tc>
        <w:tc>
          <w:tcPr>
            <w:tcW w:w="100" w:type="dxa"/>
            <w:vAlign w:val="bottom"/>
            <w:shd w:val="clear" w:color="auto" w:fill="E5E5E5"/>
          </w:tcPr>
          <w:p>
            <w:pPr>
              <w:spacing w:after="0"/>
              <w:rPr>
                <w:sz w:val="13"/>
                <w:szCs w:val="13"/>
                <w:color w:val="auto"/>
              </w:rPr>
            </w:pPr>
          </w:p>
        </w:tc>
        <w:tc>
          <w:tcPr>
            <w:tcW w:w="620" w:type="dxa"/>
            <w:vAlign w:val="bottom"/>
            <w:shd w:val="clear" w:color="auto" w:fill="E5E5E5"/>
          </w:tcPr>
          <w:p>
            <w:pPr>
              <w:spacing w:after="0"/>
              <w:rPr>
                <w:sz w:val="13"/>
                <w:szCs w:val="13"/>
                <w:color w:val="auto"/>
              </w:rPr>
            </w:pPr>
          </w:p>
        </w:tc>
        <w:tc>
          <w:tcPr>
            <w:tcW w:w="740" w:type="dxa"/>
            <w:vAlign w:val="bottom"/>
            <w:shd w:val="clear" w:color="auto" w:fill="E5E5E5"/>
          </w:tcPr>
          <w:p>
            <w:pPr>
              <w:spacing w:after="0"/>
              <w:rPr>
                <w:sz w:val="13"/>
                <w:szCs w:val="13"/>
                <w:color w:val="auto"/>
              </w:rPr>
            </w:pPr>
          </w:p>
        </w:tc>
        <w:tc>
          <w:tcPr>
            <w:tcW w:w="760" w:type="dxa"/>
            <w:vAlign w:val="bottom"/>
            <w:shd w:val="clear" w:color="auto" w:fill="E5E5E5"/>
          </w:tcPr>
          <w:p>
            <w:pPr>
              <w:spacing w:after="0"/>
              <w:rPr>
                <w:sz w:val="13"/>
                <w:szCs w:val="13"/>
                <w:color w:val="auto"/>
              </w:rPr>
            </w:pPr>
          </w:p>
        </w:tc>
        <w:tc>
          <w:tcPr>
            <w:tcW w:w="600" w:type="dxa"/>
            <w:vAlign w:val="bottom"/>
            <w:shd w:val="clear" w:color="auto" w:fill="E5E5E5"/>
          </w:tcPr>
          <w:p>
            <w:pPr>
              <w:spacing w:after="0"/>
              <w:rPr>
                <w:sz w:val="13"/>
                <w:szCs w:val="13"/>
                <w:color w:val="auto"/>
              </w:rPr>
            </w:pPr>
          </w:p>
        </w:tc>
        <w:tc>
          <w:tcPr>
            <w:tcW w:w="620" w:type="dxa"/>
            <w:vAlign w:val="bottom"/>
            <w:shd w:val="clear" w:color="auto" w:fill="E5E5E5"/>
          </w:tcPr>
          <w:p>
            <w:pPr>
              <w:spacing w:after="0"/>
              <w:rPr>
                <w:sz w:val="13"/>
                <w:szCs w:val="13"/>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2"/>
                <w:szCs w:val="12"/>
                <w:color w:val="auto"/>
              </w:rPr>
              <w:t>21,365</w:t>
            </w:r>
          </w:p>
        </w:tc>
        <w:tc>
          <w:tcPr>
            <w:tcW w:w="640" w:type="dxa"/>
            <w:vAlign w:val="bottom"/>
            <w:shd w:val="clear" w:color="auto" w:fill="E5E5E5"/>
          </w:tcPr>
          <w:p>
            <w:pPr>
              <w:jc w:val="right"/>
              <w:spacing w:after="0"/>
              <w:rPr>
                <w:sz w:val="20"/>
                <w:szCs w:val="20"/>
                <w:color w:val="auto"/>
              </w:rPr>
            </w:pPr>
            <w:r>
              <w:rPr>
                <w:rFonts w:ascii="Arial" w:cs="Arial" w:eastAsia="Arial" w:hAnsi="Arial"/>
                <w:sz w:val="12"/>
                <w:szCs w:val="12"/>
                <w:color w:val="auto"/>
              </w:rPr>
              <w:t>51.03</w:t>
            </w:r>
          </w:p>
        </w:tc>
        <w:tc>
          <w:tcPr>
            <w:tcW w:w="840" w:type="dxa"/>
            <w:vAlign w:val="bottom"/>
            <w:shd w:val="clear" w:color="auto" w:fill="E5E5E5"/>
          </w:tcPr>
          <w:p>
            <w:pPr>
              <w:jc w:val="right"/>
              <w:spacing w:after="0"/>
              <w:rPr>
                <w:sz w:val="20"/>
                <w:szCs w:val="20"/>
                <w:color w:val="auto"/>
              </w:rPr>
            </w:pPr>
            <w:r>
              <w:rPr>
                <w:rFonts w:ascii="Arial" w:cs="Arial" w:eastAsia="Arial" w:hAnsi="Arial"/>
                <w:sz w:val="12"/>
                <w:szCs w:val="12"/>
                <w:color w:val="auto"/>
              </w:rPr>
              <w:t>310,006</w:t>
            </w:r>
          </w:p>
        </w:tc>
        <w:tc>
          <w:tcPr>
            <w:tcW w:w="0" w:type="dxa"/>
            <w:vAlign w:val="bottom"/>
          </w:tcPr>
          <w:p>
            <w:pPr>
              <w:spacing w:after="0"/>
              <w:rPr>
                <w:sz w:val="1"/>
                <w:szCs w:val="1"/>
                <w:color w:val="auto"/>
              </w:rPr>
            </w:pPr>
          </w:p>
        </w:tc>
      </w:tr>
      <w:tr>
        <w:trPr>
          <w:trHeight w:val="170"/>
        </w:trPr>
        <w:tc>
          <w:tcPr>
            <w:tcW w:w="1830" w:type="dxa"/>
            <w:vAlign w:val="bottom"/>
            <w:tcBorders>
              <w:bottom w:val="single" w:sz="8" w:color="007549"/>
            </w:tcBorders>
            <w:shd w:val="clear" w:color="auto" w:fill="E5E5E5"/>
          </w:tcPr>
          <w:p>
            <w:pPr>
              <w:spacing w:after="0"/>
              <w:rPr>
                <w:sz w:val="14"/>
                <w:szCs w:val="14"/>
                <w:color w:val="auto"/>
              </w:rPr>
            </w:pPr>
          </w:p>
        </w:tc>
        <w:tc>
          <w:tcPr>
            <w:tcW w:w="1190" w:type="dxa"/>
            <w:vAlign w:val="bottom"/>
            <w:tcBorders>
              <w:bottom w:val="single" w:sz="8" w:color="007549"/>
            </w:tcBorders>
            <w:shd w:val="clear" w:color="auto" w:fill="E5E5E5"/>
          </w:tcPr>
          <w:p>
            <w:pPr>
              <w:jc w:val="center"/>
              <w:spacing w:after="0"/>
              <w:rPr>
                <w:sz w:val="20"/>
                <w:szCs w:val="20"/>
                <w:color w:val="auto"/>
              </w:rPr>
            </w:pPr>
            <w:r>
              <w:rPr>
                <w:rFonts w:ascii="Arial" w:cs="Arial" w:eastAsia="Arial" w:hAnsi="Arial"/>
                <w:sz w:val="12"/>
                <w:szCs w:val="12"/>
                <w:color w:val="auto"/>
              </w:rPr>
              <w:t>AIP</w:t>
            </w:r>
          </w:p>
        </w:tc>
        <w:tc>
          <w:tcPr>
            <w:tcW w:w="740" w:type="dxa"/>
            <w:vAlign w:val="bottom"/>
            <w:tcBorders>
              <w:bottom w:val="single" w:sz="8" w:color="007549"/>
            </w:tcBorders>
            <w:shd w:val="clear" w:color="auto" w:fill="E5E5E5"/>
          </w:tcPr>
          <w:p>
            <w:pPr>
              <w:spacing w:after="0"/>
              <w:rPr>
                <w:sz w:val="14"/>
                <w:szCs w:val="14"/>
                <w:color w:val="auto"/>
              </w:rPr>
            </w:pPr>
          </w:p>
        </w:tc>
        <w:tc>
          <w:tcPr>
            <w:tcW w:w="740" w:type="dxa"/>
            <w:vAlign w:val="bottom"/>
            <w:tcBorders>
              <w:bottom w:val="single" w:sz="8" w:color="007549"/>
            </w:tcBorders>
            <w:shd w:val="clear" w:color="auto" w:fill="E5E5E5"/>
          </w:tcPr>
          <w:p>
            <w:pPr>
              <w:jc w:val="right"/>
              <w:ind w:right="18"/>
              <w:spacing w:after="0"/>
              <w:rPr>
                <w:sz w:val="20"/>
                <w:szCs w:val="20"/>
                <w:color w:val="auto"/>
              </w:rPr>
            </w:pPr>
            <w:r>
              <w:rPr>
                <w:rFonts w:ascii="Arial" w:cs="Arial" w:eastAsia="Arial" w:hAnsi="Arial"/>
                <w:sz w:val="12"/>
                <w:szCs w:val="12"/>
                <w:color w:val="auto"/>
              </w:rPr>
              <w:t>187,500</w:t>
            </w:r>
          </w:p>
        </w:tc>
        <w:tc>
          <w:tcPr>
            <w:tcW w:w="680" w:type="dxa"/>
            <w:vAlign w:val="bottom"/>
            <w:tcBorders>
              <w:bottom w:val="single" w:sz="8" w:color="007549"/>
            </w:tcBorders>
            <w:shd w:val="clear" w:color="auto" w:fill="E5E5E5"/>
          </w:tcPr>
          <w:p>
            <w:pPr>
              <w:jc w:val="right"/>
              <w:spacing w:after="0"/>
              <w:rPr>
                <w:sz w:val="20"/>
                <w:szCs w:val="20"/>
                <w:color w:val="auto"/>
              </w:rPr>
            </w:pPr>
            <w:r>
              <w:rPr>
                <w:rFonts w:ascii="Arial" w:cs="Arial" w:eastAsia="Arial" w:hAnsi="Arial"/>
                <w:sz w:val="12"/>
                <w:szCs w:val="12"/>
                <w:color w:val="auto"/>
              </w:rPr>
              <w:t>375,000</w:t>
            </w:r>
          </w:p>
        </w:tc>
        <w:tc>
          <w:tcPr>
            <w:tcW w:w="100" w:type="dxa"/>
            <w:vAlign w:val="bottom"/>
            <w:tcBorders>
              <w:bottom w:val="single" w:sz="8" w:color="007549"/>
            </w:tcBorders>
            <w:shd w:val="clear" w:color="auto" w:fill="E5E5E5"/>
          </w:tcPr>
          <w:p>
            <w:pPr>
              <w:spacing w:after="0"/>
              <w:rPr>
                <w:sz w:val="14"/>
                <w:szCs w:val="14"/>
                <w:color w:val="auto"/>
              </w:rPr>
            </w:pPr>
          </w:p>
        </w:tc>
        <w:tc>
          <w:tcPr>
            <w:tcW w:w="620" w:type="dxa"/>
            <w:vAlign w:val="bottom"/>
            <w:tcBorders>
              <w:bottom w:val="single" w:sz="8" w:color="007549"/>
            </w:tcBorders>
            <w:shd w:val="clear" w:color="auto" w:fill="E5E5E5"/>
          </w:tcPr>
          <w:p>
            <w:pPr>
              <w:jc w:val="right"/>
              <w:spacing w:after="0"/>
              <w:rPr>
                <w:sz w:val="20"/>
                <w:szCs w:val="20"/>
                <w:color w:val="auto"/>
              </w:rPr>
            </w:pPr>
            <w:r>
              <w:rPr>
                <w:rFonts w:ascii="Arial" w:cs="Arial" w:eastAsia="Arial" w:hAnsi="Arial"/>
                <w:sz w:val="12"/>
                <w:szCs w:val="12"/>
                <w:color w:val="auto"/>
              </w:rPr>
              <w:t>656,250</w:t>
            </w:r>
          </w:p>
        </w:tc>
        <w:tc>
          <w:tcPr>
            <w:tcW w:w="740" w:type="dxa"/>
            <w:vAlign w:val="bottom"/>
            <w:tcBorders>
              <w:bottom w:val="single" w:sz="8" w:color="007549"/>
            </w:tcBorders>
            <w:shd w:val="clear" w:color="auto" w:fill="E5E5E5"/>
          </w:tcPr>
          <w:p>
            <w:pPr>
              <w:spacing w:after="0"/>
              <w:rPr>
                <w:sz w:val="14"/>
                <w:szCs w:val="14"/>
                <w:color w:val="auto"/>
              </w:rPr>
            </w:pPr>
          </w:p>
        </w:tc>
        <w:tc>
          <w:tcPr>
            <w:tcW w:w="760" w:type="dxa"/>
            <w:vAlign w:val="bottom"/>
            <w:tcBorders>
              <w:bottom w:val="single" w:sz="8" w:color="007549"/>
            </w:tcBorders>
            <w:shd w:val="clear" w:color="auto" w:fill="E5E5E5"/>
          </w:tcPr>
          <w:p>
            <w:pPr>
              <w:spacing w:after="0"/>
              <w:rPr>
                <w:sz w:val="14"/>
                <w:szCs w:val="14"/>
                <w:color w:val="auto"/>
              </w:rPr>
            </w:pPr>
          </w:p>
        </w:tc>
        <w:tc>
          <w:tcPr>
            <w:tcW w:w="600" w:type="dxa"/>
            <w:vAlign w:val="bottom"/>
            <w:tcBorders>
              <w:bottom w:val="single" w:sz="8" w:color="007549"/>
            </w:tcBorders>
            <w:shd w:val="clear" w:color="auto" w:fill="E5E5E5"/>
          </w:tcPr>
          <w:p>
            <w:pPr>
              <w:spacing w:after="0"/>
              <w:rPr>
                <w:sz w:val="14"/>
                <w:szCs w:val="14"/>
                <w:color w:val="auto"/>
              </w:rPr>
            </w:pPr>
          </w:p>
        </w:tc>
        <w:tc>
          <w:tcPr>
            <w:tcW w:w="620" w:type="dxa"/>
            <w:vAlign w:val="bottom"/>
            <w:tcBorders>
              <w:bottom w:val="single" w:sz="8" w:color="007549"/>
            </w:tcBorders>
            <w:shd w:val="clear" w:color="auto" w:fill="E5E5E5"/>
          </w:tcPr>
          <w:p>
            <w:pPr>
              <w:spacing w:after="0"/>
              <w:rPr>
                <w:sz w:val="14"/>
                <w:szCs w:val="14"/>
                <w:color w:val="auto"/>
              </w:rPr>
            </w:pPr>
          </w:p>
        </w:tc>
        <w:tc>
          <w:tcPr>
            <w:tcW w:w="760" w:type="dxa"/>
            <w:vAlign w:val="bottom"/>
            <w:tcBorders>
              <w:bottom w:val="single" w:sz="8" w:color="007549"/>
            </w:tcBorders>
            <w:shd w:val="clear" w:color="auto" w:fill="E5E5E5"/>
          </w:tcPr>
          <w:p>
            <w:pPr>
              <w:spacing w:after="0"/>
              <w:rPr>
                <w:sz w:val="14"/>
                <w:szCs w:val="14"/>
                <w:color w:val="auto"/>
              </w:rPr>
            </w:pPr>
          </w:p>
        </w:tc>
        <w:tc>
          <w:tcPr>
            <w:tcW w:w="640" w:type="dxa"/>
            <w:vAlign w:val="bottom"/>
            <w:tcBorders>
              <w:bottom w:val="single" w:sz="8" w:color="007549"/>
            </w:tcBorders>
            <w:shd w:val="clear" w:color="auto" w:fill="E5E5E5"/>
          </w:tcPr>
          <w:p>
            <w:pPr>
              <w:spacing w:after="0"/>
              <w:rPr>
                <w:sz w:val="14"/>
                <w:szCs w:val="14"/>
                <w:color w:val="auto"/>
              </w:rPr>
            </w:pPr>
          </w:p>
        </w:tc>
        <w:tc>
          <w:tcPr>
            <w:tcW w:w="840" w:type="dxa"/>
            <w:vAlign w:val="bottom"/>
            <w:tcBorders>
              <w:bottom w:val="single" w:sz="8" w:color="007549"/>
            </w:tcBorders>
            <w:shd w:val="clear" w:color="auto" w:fill="E5E5E5"/>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2650490</wp:posOffset>
            </wp:positionH>
            <wp:positionV relativeFrom="paragraph">
              <wp:posOffset>-2348230</wp:posOffset>
            </wp:positionV>
            <wp:extent cx="25196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519680" cy="8255"/>
                    </a:xfrm>
                    <a:prstGeom prst="rect">
                      <a:avLst/>
                    </a:prstGeom>
                    <a:noFill/>
                  </pic:spPr>
                </pic:pic>
              </a:graphicData>
            </a:graphic>
          </wp:anchor>
        </w:drawing>
      </w:r>
    </w:p>
    <w:p>
      <w:pPr>
        <w:jc w:val="both"/>
        <w:ind w:left="600" w:hanging="314"/>
        <w:spacing w:after="0" w:line="242" w:lineRule="auto"/>
        <w:tabs>
          <w:tab w:leader="none" w:pos="6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amount shown in columns (d), (e) and (f) above represent the threshold, target and maximum payouts for the components of the 2017 Annual Incentive Plan (AIP) relating to the attainment of enterprise performance metrics. “Threshold” represents the lowest payout if the threshold level of performance is achieved for every performance metric. “Maximum” represents a payout at 175% of target. The actual amounts paid for 2017 relating to these components are shown in column (g) of the Summary Compensation Table.</w:t>
      </w:r>
    </w:p>
    <w:p>
      <w:pPr>
        <w:spacing w:after="0" w:line="109" w:lineRule="exact"/>
        <w:rPr>
          <w:rFonts w:ascii="Arial" w:cs="Arial" w:eastAsia="Arial" w:hAnsi="Arial"/>
          <w:sz w:val="14"/>
          <w:szCs w:val="14"/>
          <w:color w:val="auto"/>
        </w:rPr>
      </w:pPr>
    </w:p>
    <w:p>
      <w:pPr>
        <w:jc w:val="both"/>
        <w:ind w:left="600" w:hanging="314"/>
        <w:spacing w:after="0" w:line="242" w:lineRule="auto"/>
        <w:tabs>
          <w:tab w:leader="none" w:pos="6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Relates to PSU awards issued under the Amended and Restated 2008 Long-Term Incentive Plan. Actual payout of shares earned will range from 0 to 200% of the units granted based on the relative performance of the company’s TSR over the three-year performance period ending December 31, 2019, compared with that of 12 peer companies in the company’s peer group on page 33 and payouts, if any, will occur following the three-year performance period. “Target” is the number of PSUs awarded in 2017. “Threshold” represents the lowest possible payout if a payout is made (50% of the units grant).</w:t>
      </w:r>
    </w:p>
    <w:p>
      <w:pPr>
        <w:spacing w:after="0" w:line="109" w:lineRule="exact"/>
        <w:rPr>
          <w:rFonts w:ascii="Arial" w:cs="Arial" w:eastAsia="Arial" w:hAnsi="Arial"/>
          <w:sz w:val="14"/>
          <w:szCs w:val="14"/>
          <w:color w:val="auto"/>
        </w:rPr>
      </w:pPr>
    </w:p>
    <w:p>
      <w:pPr>
        <w:jc w:val="both"/>
        <w:ind w:left="600" w:hanging="314"/>
        <w:spacing w:after="0"/>
        <w:tabs>
          <w:tab w:leader="none" w:pos="6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grant date fair value of restricted stock awards is determined by multiplying the number of shares of stock awarded as shown in column (j) by the closing price of the company’s common stock on the date of grant. A discussion of the valuation assumptions is in Note 11, Share-Based Compensation, to our consolidated financial statements included in our annual report on Form 10-K for the year ended December 31, 2017. The grant date fair value of PSUs granted is determined by multiplying the number of units granted as shown in column (h) by the fair value of the award as determined by a Monte Carlo valuation model ($52.86). The grant date fair value of Stock Options granted is determined by multiplying the number of options granted by the Black-Scholes Value. A discussion of the valuation assumptions is in Note 11, Share-Based Compensation, to our consolidated financial statements included in our annual report on Form 10-K for the year ended December 31, 2017.</w:t>
      </w:r>
    </w:p>
    <w:p>
      <w:pPr>
        <w:spacing w:after="0" w:line="159" w:lineRule="exact"/>
        <w:rPr>
          <w:sz w:val="20"/>
          <w:szCs w:val="20"/>
          <w:color w:val="auto"/>
        </w:rPr>
      </w:pPr>
    </w:p>
    <w:p>
      <w:pPr>
        <w:jc w:val="both"/>
        <w:ind w:left="280"/>
        <w:spacing w:after="0" w:line="236" w:lineRule="auto"/>
        <w:rPr>
          <w:sz w:val="20"/>
          <w:szCs w:val="20"/>
          <w:color w:val="auto"/>
        </w:rPr>
      </w:pPr>
      <w:r>
        <w:rPr>
          <w:rFonts w:ascii="Arial" w:cs="Arial" w:eastAsia="Arial" w:hAnsi="Arial"/>
          <w:sz w:val="18"/>
          <w:szCs w:val="18"/>
          <w:color w:val="auto"/>
        </w:rPr>
        <w:t>Equity awards under our long-term incentive plans are discussed in the “Compensation Discussion and Analysis” under the heading “LTI Program Structure.” Non-equity incentive plan awards are discussed in the “Compensation Discussion and Analysis” under the heading “Annual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1820545</wp:posOffset>
            </wp:positionH>
            <wp:positionV relativeFrom="paragraph">
              <wp:posOffset>85725</wp:posOffset>
            </wp:positionV>
            <wp:extent cx="405765" cy="2451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215" w:lineRule="exact"/>
        <w:rPr>
          <w:sz w:val="20"/>
          <w:szCs w:val="20"/>
          <w:color w:val="auto"/>
        </w:rPr>
      </w:pPr>
    </w:p>
    <w:p>
      <w:pPr>
        <w:ind w:left="760" w:hanging="474"/>
        <w:spacing w:after="0"/>
        <w:tabs>
          <w:tab w:leader="none" w:pos="760" w:val="left"/>
        </w:tabs>
        <w:numPr>
          <w:ilvl w:val="0"/>
          <w:numId w:val="65"/>
        </w:numPr>
        <w:rPr>
          <w:rFonts w:ascii="Arial" w:cs="Arial" w:eastAsia="Arial" w:hAnsi="Arial"/>
          <w:sz w:val="14"/>
          <w:szCs w:val="14"/>
          <w:b w:val="1"/>
          <w:bCs w:val="1"/>
          <w:color w:val="007549"/>
        </w:rPr>
      </w:pPr>
      <w:r>
        <w:rPr>
          <w:rFonts w:ascii="Arial" w:cs="Arial" w:eastAsia="Arial" w:hAnsi="Arial"/>
          <w:sz w:val="12"/>
          <w:szCs w:val="12"/>
          <w:b w:val="1"/>
          <w:bCs w:val="1"/>
          <w:color w:val="666666"/>
        </w:rPr>
        <w:t>2018 PROXY STATEMENT</w:t>
      </w:r>
    </w:p>
    <w:p>
      <w:pPr>
        <w:sectPr>
          <w:pgSz w:w="11900" w:h="16838" w:orient="portrait"/>
          <w:cols w:equalWidth="0" w:num="1">
            <w:col w:w="11140"/>
          </w:cols>
          <w:pgMar w:left="240" w:top="454" w:right="5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6020"/>
        <w:spacing w:after="0"/>
        <w:rPr>
          <w:sz w:val="20"/>
          <w:szCs w:val="20"/>
          <w:color w:val="auto"/>
        </w:rPr>
      </w:pPr>
      <w:r>
        <w:rPr>
          <w:rFonts w:ascii="Arial" w:cs="Arial" w:eastAsia="Arial" w:hAnsi="Arial"/>
          <w:sz w:val="16"/>
          <w:szCs w:val="16"/>
          <w:b w:val="1"/>
          <w:bCs w:val="1"/>
          <w:color w:val="007549"/>
        </w:rPr>
        <w:t xml:space="preserve">Executive Compensation </w:t>
      </w:r>
      <w:r>
        <w:rPr>
          <w:rFonts w:ascii="Arial" w:cs="Arial" w:eastAsia="Arial" w:hAnsi="Arial"/>
          <w:sz w:val="16"/>
          <w:szCs w:val="16"/>
          <w:b w:val="1"/>
          <w:bCs w:val="1"/>
          <w:color w:val="000000"/>
        </w:rPr>
        <w:t>+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55245</wp:posOffset>
            </wp:positionV>
            <wp:extent cx="689356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24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007549"/>
        </w:rPr>
        <w:t>OUTSTANDING EQUITY AWARDS AT FISCAL YEAR END</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shows outstanding equity awards held by the NEOs at the end of the last fiscal year.</w:t>
      </w:r>
    </w:p>
    <w:p>
      <w:pPr>
        <w:spacing w:after="0" w:line="233" w:lineRule="exact"/>
        <w:rPr>
          <w:sz w:val="20"/>
          <w:szCs w:val="20"/>
          <w:color w:val="auto"/>
        </w:rPr>
      </w:pPr>
    </w:p>
    <w:tbl>
      <w:tblPr>
        <w:tblLayout w:type="fixed"/>
        <w:tblInd w:w="280" w:type="dxa"/>
        <w:tblCellMar>
          <w:top w:w="0" w:type="dxa"/>
          <w:left w:w="0" w:type="dxa"/>
          <w:bottom w:w="0" w:type="dxa"/>
          <w:right w:w="0" w:type="dxa"/>
        </w:tblCellMar>
      </w:tblPr>
      <w:tr>
        <w:trPr>
          <w:trHeight w:val="182"/>
        </w:trPr>
        <w:tc>
          <w:tcPr>
            <w:tcW w:w="2180" w:type="dxa"/>
            <w:vAlign w:val="bottom"/>
            <w:shd w:val="clear" w:color="auto" w:fill="007549"/>
          </w:tcPr>
          <w:p>
            <w:pPr>
              <w:spacing w:after="0"/>
              <w:rPr>
                <w:sz w:val="15"/>
                <w:szCs w:val="15"/>
                <w:color w:val="auto"/>
              </w:rPr>
            </w:pPr>
          </w:p>
        </w:tc>
        <w:tc>
          <w:tcPr>
            <w:tcW w:w="1480" w:type="dxa"/>
            <w:vAlign w:val="bottom"/>
            <w:shd w:val="clear" w:color="auto" w:fill="007549"/>
          </w:tcPr>
          <w:p>
            <w:pPr>
              <w:spacing w:after="0"/>
              <w:rPr>
                <w:sz w:val="15"/>
                <w:szCs w:val="15"/>
                <w:color w:val="auto"/>
              </w:rPr>
            </w:pPr>
          </w:p>
        </w:tc>
        <w:tc>
          <w:tcPr>
            <w:tcW w:w="1680" w:type="dxa"/>
            <w:vAlign w:val="bottom"/>
            <w:shd w:val="clear" w:color="auto" w:fill="007549"/>
          </w:tcPr>
          <w:p>
            <w:pPr>
              <w:spacing w:after="0"/>
              <w:rPr>
                <w:sz w:val="15"/>
                <w:szCs w:val="15"/>
                <w:color w:val="auto"/>
              </w:rPr>
            </w:pPr>
          </w:p>
        </w:tc>
        <w:tc>
          <w:tcPr>
            <w:tcW w:w="860" w:type="dxa"/>
            <w:vAlign w:val="bottom"/>
            <w:shd w:val="clear" w:color="auto" w:fill="007549"/>
          </w:tcPr>
          <w:p>
            <w:pPr>
              <w:spacing w:after="0"/>
              <w:rPr>
                <w:sz w:val="15"/>
                <w:szCs w:val="15"/>
                <w:color w:val="auto"/>
              </w:rPr>
            </w:pPr>
          </w:p>
        </w:tc>
        <w:tc>
          <w:tcPr>
            <w:tcW w:w="900" w:type="dxa"/>
            <w:vAlign w:val="bottom"/>
            <w:shd w:val="clear" w:color="auto" w:fill="007549"/>
          </w:tcPr>
          <w:p>
            <w:pPr>
              <w:spacing w:after="0"/>
              <w:rPr>
                <w:sz w:val="15"/>
                <w:szCs w:val="15"/>
                <w:color w:val="auto"/>
              </w:rPr>
            </w:pPr>
          </w:p>
        </w:tc>
        <w:tc>
          <w:tcPr>
            <w:tcW w:w="840" w:type="dxa"/>
            <w:vAlign w:val="bottom"/>
            <w:shd w:val="clear" w:color="auto" w:fill="007549"/>
          </w:tcPr>
          <w:p>
            <w:pPr>
              <w:spacing w:after="0"/>
              <w:rPr>
                <w:sz w:val="15"/>
                <w:szCs w:val="15"/>
                <w:color w:val="auto"/>
              </w:rPr>
            </w:pPr>
          </w:p>
        </w:tc>
        <w:tc>
          <w:tcPr>
            <w:tcW w:w="1000" w:type="dxa"/>
            <w:vAlign w:val="bottom"/>
            <w:vMerge w:val="restart"/>
            <w:shd w:val="clear" w:color="auto" w:fill="007549"/>
          </w:tcPr>
          <w:p>
            <w:pPr>
              <w:jc w:val="right"/>
              <w:ind w:right="415"/>
              <w:spacing w:after="0"/>
              <w:rPr>
                <w:sz w:val="20"/>
                <w:szCs w:val="20"/>
                <w:color w:val="auto"/>
              </w:rPr>
            </w:pPr>
            <w:r>
              <w:rPr>
                <w:rFonts w:ascii="Arial" w:cs="Arial" w:eastAsia="Arial" w:hAnsi="Arial"/>
                <w:sz w:val="12"/>
                <w:szCs w:val="12"/>
                <w:b w:val="1"/>
                <w:bCs w:val="1"/>
                <w:color w:val="FFFFFF"/>
              </w:rPr>
              <w:t>Awards</w:t>
            </w:r>
          </w:p>
        </w:tc>
        <w:tc>
          <w:tcPr>
            <w:tcW w:w="1080" w:type="dxa"/>
            <w:vAlign w:val="bottom"/>
            <w:shd w:val="clear" w:color="auto" w:fill="007549"/>
          </w:tcPr>
          <w:p>
            <w:pPr>
              <w:jc w:val="right"/>
              <w:spacing w:after="0"/>
              <w:rPr>
                <w:sz w:val="20"/>
                <w:szCs w:val="20"/>
                <w:color w:val="auto"/>
              </w:rPr>
            </w:pPr>
            <w:r>
              <w:rPr>
                <w:rFonts w:ascii="Arial" w:cs="Arial" w:eastAsia="Arial" w:hAnsi="Arial"/>
                <w:sz w:val="12"/>
                <w:szCs w:val="12"/>
                <w:b w:val="1"/>
                <w:bCs w:val="1"/>
                <w:color w:val="FFFFFF"/>
              </w:rPr>
              <w:t>Stock</w:t>
            </w:r>
          </w:p>
        </w:tc>
        <w:tc>
          <w:tcPr>
            <w:tcW w:w="840" w:type="dxa"/>
            <w:vAlign w:val="bottom"/>
            <w:shd w:val="clear" w:color="auto" w:fill="007549"/>
          </w:tcPr>
          <w:p>
            <w:pPr>
              <w:spacing w:after="0"/>
              <w:rPr>
                <w:sz w:val="15"/>
                <w:szCs w:val="15"/>
                <w:color w:val="auto"/>
              </w:rPr>
            </w:pPr>
          </w:p>
        </w:tc>
        <w:tc>
          <w:tcPr>
            <w:tcW w:w="20" w:type="dxa"/>
            <w:vAlign w:val="bottom"/>
            <w:shd w:val="clear" w:color="auto" w:fill="007549"/>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2180" w:type="dxa"/>
            <w:vAlign w:val="bottom"/>
            <w:shd w:val="clear" w:color="auto" w:fill="007549"/>
          </w:tcPr>
          <w:p>
            <w:pPr>
              <w:spacing w:after="0"/>
              <w:rPr>
                <w:sz w:val="9"/>
                <w:szCs w:val="9"/>
                <w:color w:val="auto"/>
              </w:rPr>
            </w:pPr>
          </w:p>
        </w:tc>
        <w:tc>
          <w:tcPr>
            <w:tcW w:w="1480" w:type="dxa"/>
            <w:vAlign w:val="bottom"/>
            <w:shd w:val="clear" w:color="auto" w:fill="007549"/>
          </w:tcPr>
          <w:p>
            <w:pPr>
              <w:spacing w:after="0"/>
              <w:rPr>
                <w:sz w:val="9"/>
                <w:szCs w:val="9"/>
                <w:color w:val="auto"/>
              </w:rPr>
            </w:pPr>
          </w:p>
        </w:tc>
        <w:tc>
          <w:tcPr>
            <w:tcW w:w="1680" w:type="dxa"/>
            <w:vAlign w:val="bottom"/>
            <w:shd w:val="clear" w:color="auto" w:fill="007549"/>
          </w:tcPr>
          <w:p>
            <w:pPr>
              <w:spacing w:after="0"/>
              <w:rPr>
                <w:sz w:val="9"/>
                <w:szCs w:val="9"/>
                <w:color w:val="auto"/>
              </w:rPr>
            </w:pPr>
          </w:p>
        </w:tc>
        <w:tc>
          <w:tcPr>
            <w:tcW w:w="860" w:type="dxa"/>
            <w:vAlign w:val="bottom"/>
            <w:shd w:val="clear" w:color="auto" w:fill="007549"/>
          </w:tcPr>
          <w:p>
            <w:pPr>
              <w:spacing w:after="0"/>
              <w:rPr>
                <w:sz w:val="9"/>
                <w:szCs w:val="9"/>
                <w:color w:val="auto"/>
              </w:rPr>
            </w:pPr>
          </w:p>
        </w:tc>
        <w:tc>
          <w:tcPr>
            <w:tcW w:w="900" w:type="dxa"/>
            <w:vAlign w:val="bottom"/>
            <w:shd w:val="clear" w:color="auto" w:fill="007549"/>
          </w:tcPr>
          <w:p>
            <w:pPr>
              <w:spacing w:after="0"/>
              <w:rPr>
                <w:sz w:val="9"/>
                <w:szCs w:val="9"/>
                <w:color w:val="auto"/>
              </w:rPr>
            </w:pPr>
          </w:p>
        </w:tc>
        <w:tc>
          <w:tcPr>
            <w:tcW w:w="840" w:type="dxa"/>
            <w:vAlign w:val="bottom"/>
            <w:shd w:val="clear" w:color="auto" w:fill="007549"/>
          </w:tcPr>
          <w:p>
            <w:pPr>
              <w:spacing w:after="0"/>
              <w:rPr>
                <w:sz w:val="9"/>
                <w:szCs w:val="9"/>
                <w:color w:val="auto"/>
              </w:rPr>
            </w:pPr>
          </w:p>
        </w:tc>
        <w:tc>
          <w:tcPr>
            <w:tcW w:w="1000" w:type="dxa"/>
            <w:vAlign w:val="bottom"/>
            <w:vMerge w:val="continue"/>
            <w:shd w:val="clear" w:color="auto" w:fill="007549"/>
          </w:tcPr>
          <w:p>
            <w:pPr>
              <w:spacing w:after="0"/>
              <w:rPr>
                <w:sz w:val="9"/>
                <w:szCs w:val="9"/>
                <w:color w:val="auto"/>
              </w:rPr>
            </w:pPr>
          </w:p>
        </w:tc>
        <w:tc>
          <w:tcPr>
            <w:tcW w:w="1080" w:type="dxa"/>
            <w:vAlign w:val="bottom"/>
            <w:shd w:val="clear" w:color="auto" w:fill="007549"/>
          </w:tcPr>
          <w:p>
            <w:pPr>
              <w:spacing w:after="0"/>
              <w:rPr>
                <w:sz w:val="9"/>
                <w:szCs w:val="9"/>
                <w:color w:val="auto"/>
              </w:rPr>
            </w:pPr>
          </w:p>
        </w:tc>
        <w:tc>
          <w:tcPr>
            <w:tcW w:w="840" w:type="dxa"/>
            <w:vAlign w:val="bottom"/>
            <w:shd w:val="clear" w:color="auto" w:fill="007549"/>
          </w:tcPr>
          <w:p>
            <w:pPr>
              <w:spacing w:after="0"/>
              <w:rPr>
                <w:sz w:val="9"/>
                <w:szCs w:val="9"/>
                <w:color w:val="auto"/>
              </w:rPr>
            </w:pPr>
          </w:p>
        </w:tc>
        <w:tc>
          <w:tcPr>
            <w:tcW w:w="20" w:type="dxa"/>
            <w:vAlign w:val="bottom"/>
            <w:shd w:val="clear" w:color="auto" w:fill="007549"/>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180" w:type="dxa"/>
            <w:vAlign w:val="bottom"/>
            <w:shd w:val="clear" w:color="auto" w:fill="007549"/>
          </w:tcPr>
          <w:p>
            <w:pPr>
              <w:spacing w:after="0"/>
              <w:rPr>
                <w:sz w:val="12"/>
                <w:szCs w:val="12"/>
                <w:color w:val="auto"/>
              </w:rPr>
            </w:pPr>
          </w:p>
        </w:tc>
        <w:tc>
          <w:tcPr>
            <w:tcW w:w="1480" w:type="dxa"/>
            <w:vAlign w:val="bottom"/>
            <w:shd w:val="clear" w:color="auto" w:fill="007549"/>
          </w:tcPr>
          <w:p>
            <w:pPr>
              <w:spacing w:after="0"/>
              <w:rPr>
                <w:sz w:val="12"/>
                <w:szCs w:val="12"/>
                <w:color w:val="auto"/>
              </w:rPr>
            </w:pPr>
          </w:p>
        </w:tc>
        <w:tc>
          <w:tcPr>
            <w:tcW w:w="1680" w:type="dxa"/>
            <w:vAlign w:val="bottom"/>
            <w:shd w:val="clear" w:color="auto" w:fill="007549"/>
          </w:tcPr>
          <w:p>
            <w:pPr>
              <w:spacing w:after="0"/>
              <w:rPr>
                <w:sz w:val="12"/>
                <w:szCs w:val="12"/>
                <w:color w:val="auto"/>
              </w:rPr>
            </w:pPr>
          </w:p>
        </w:tc>
        <w:tc>
          <w:tcPr>
            <w:tcW w:w="860" w:type="dxa"/>
            <w:vAlign w:val="bottom"/>
            <w:shd w:val="clear" w:color="auto" w:fill="007549"/>
          </w:tcPr>
          <w:p>
            <w:pPr>
              <w:spacing w:after="0"/>
              <w:rPr>
                <w:sz w:val="12"/>
                <w:szCs w:val="12"/>
                <w:color w:val="auto"/>
              </w:rPr>
            </w:pPr>
          </w:p>
        </w:tc>
        <w:tc>
          <w:tcPr>
            <w:tcW w:w="900" w:type="dxa"/>
            <w:vAlign w:val="bottom"/>
            <w:shd w:val="clear" w:color="auto" w:fill="007549"/>
          </w:tcPr>
          <w:p>
            <w:pPr>
              <w:spacing w:after="0"/>
              <w:rPr>
                <w:sz w:val="12"/>
                <w:szCs w:val="12"/>
                <w:color w:val="auto"/>
              </w:rPr>
            </w:pPr>
          </w:p>
        </w:tc>
        <w:tc>
          <w:tcPr>
            <w:tcW w:w="1840" w:type="dxa"/>
            <w:vAlign w:val="bottom"/>
            <w:gridSpan w:val="2"/>
            <w:shd w:val="clear" w:color="auto" w:fill="007549"/>
          </w:tcPr>
          <w:p>
            <w:pPr>
              <w:jc w:val="right"/>
              <w:ind w:right="255"/>
              <w:spacing w:after="0"/>
              <w:rPr>
                <w:sz w:val="20"/>
                <w:szCs w:val="20"/>
                <w:color w:val="auto"/>
              </w:rPr>
            </w:pPr>
            <w:r>
              <w:rPr>
                <w:rFonts w:ascii="Arial" w:cs="Arial" w:eastAsia="Arial" w:hAnsi="Arial"/>
                <w:sz w:val="12"/>
                <w:szCs w:val="12"/>
                <w:b w:val="1"/>
                <w:bCs w:val="1"/>
                <w:color w:val="FFFFFF"/>
              </w:rPr>
              <w:t>Restricted Stock</w:t>
            </w:r>
          </w:p>
        </w:tc>
        <w:tc>
          <w:tcPr>
            <w:tcW w:w="1920" w:type="dxa"/>
            <w:vAlign w:val="bottom"/>
            <w:gridSpan w:val="2"/>
            <w:shd w:val="clear" w:color="auto" w:fill="007549"/>
          </w:tcPr>
          <w:p>
            <w:pPr>
              <w:jc w:val="right"/>
              <w:ind w:right="214"/>
              <w:spacing w:after="0"/>
              <w:rPr>
                <w:sz w:val="20"/>
                <w:szCs w:val="20"/>
                <w:color w:val="auto"/>
              </w:rPr>
            </w:pPr>
            <w:r>
              <w:rPr>
                <w:rFonts w:ascii="Arial" w:cs="Arial" w:eastAsia="Arial" w:hAnsi="Arial"/>
                <w:sz w:val="12"/>
                <w:szCs w:val="12"/>
                <w:b w:val="1"/>
                <w:bCs w:val="1"/>
                <w:color w:val="FFFFFF"/>
              </w:rPr>
              <w:t>Performance Share</w:t>
            </w:r>
          </w:p>
        </w:tc>
        <w:tc>
          <w:tcPr>
            <w:tcW w:w="20" w:type="dxa"/>
            <w:vAlign w:val="bottom"/>
            <w:shd w:val="clear" w:color="auto" w:fill="007549"/>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180" w:type="dxa"/>
            <w:vAlign w:val="bottom"/>
            <w:tcBorders>
              <w:bottom w:val="single" w:sz="8" w:color="007549"/>
            </w:tcBorders>
            <w:shd w:val="clear" w:color="auto" w:fill="007549"/>
          </w:tcPr>
          <w:p>
            <w:pPr>
              <w:spacing w:after="0"/>
              <w:rPr>
                <w:sz w:val="13"/>
                <w:szCs w:val="13"/>
                <w:color w:val="auto"/>
              </w:rPr>
            </w:pPr>
          </w:p>
        </w:tc>
        <w:tc>
          <w:tcPr>
            <w:tcW w:w="1480" w:type="dxa"/>
            <w:vAlign w:val="bottom"/>
            <w:tcBorders>
              <w:bottom w:val="single" w:sz="8" w:color="007549"/>
            </w:tcBorders>
            <w:shd w:val="clear" w:color="auto" w:fill="007549"/>
          </w:tcPr>
          <w:p>
            <w:pPr>
              <w:spacing w:after="0"/>
              <w:rPr>
                <w:sz w:val="13"/>
                <w:szCs w:val="13"/>
                <w:color w:val="auto"/>
              </w:rPr>
            </w:pPr>
          </w:p>
        </w:tc>
        <w:tc>
          <w:tcPr>
            <w:tcW w:w="1680" w:type="dxa"/>
            <w:vAlign w:val="bottom"/>
            <w:tcBorders>
              <w:bottom w:val="single" w:sz="8" w:color="007549"/>
            </w:tcBorders>
            <w:shd w:val="clear" w:color="auto" w:fill="007549"/>
          </w:tcPr>
          <w:p>
            <w:pPr>
              <w:jc w:val="right"/>
              <w:ind w:right="131"/>
              <w:spacing w:after="0"/>
              <w:rPr>
                <w:sz w:val="20"/>
                <w:szCs w:val="20"/>
                <w:color w:val="auto"/>
              </w:rPr>
            </w:pPr>
            <w:r>
              <w:rPr>
                <w:rFonts w:ascii="Arial" w:cs="Arial" w:eastAsia="Arial" w:hAnsi="Arial"/>
                <w:sz w:val="12"/>
                <w:szCs w:val="12"/>
                <w:b w:val="1"/>
                <w:bCs w:val="1"/>
                <w:color w:val="FFFFFF"/>
              </w:rPr>
              <w:t>Option Awards</w:t>
            </w:r>
          </w:p>
        </w:tc>
        <w:tc>
          <w:tcPr>
            <w:tcW w:w="860" w:type="dxa"/>
            <w:vAlign w:val="bottom"/>
            <w:tcBorders>
              <w:bottom w:val="single" w:sz="8" w:color="007549"/>
            </w:tcBorders>
            <w:shd w:val="clear" w:color="auto" w:fill="007549"/>
          </w:tcPr>
          <w:p>
            <w:pPr>
              <w:spacing w:after="0"/>
              <w:rPr>
                <w:sz w:val="13"/>
                <w:szCs w:val="13"/>
                <w:color w:val="auto"/>
              </w:rPr>
            </w:pPr>
          </w:p>
        </w:tc>
        <w:tc>
          <w:tcPr>
            <w:tcW w:w="900" w:type="dxa"/>
            <w:vAlign w:val="bottom"/>
            <w:tcBorders>
              <w:bottom w:val="single" w:sz="8" w:color="007549"/>
            </w:tcBorders>
            <w:shd w:val="clear" w:color="auto" w:fill="007549"/>
          </w:tcPr>
          <w:p>
            <w:pPr>
              <w:spacing w:after="0"/>
              <w:rPr>
                <w:sz w:val="13"/>
                <w:szCs w:val="13"/>
                <w:color w:val="auto"/>
              </w:rPr>
            </w:pPr>
          </w:p>
        </w:tc>
        <w:tc>
          <w:tcPr>
            <w:tcW w:w="840" w:type="dxa"/>
            <w:vAlign w:val="bottom"/>
            <w:tcBorders>
              <w:bottom w:val="single" w:sz="8" w:color="007549"/>
            </w:tcBorders>
            <w:shd w:val="clear" w:color="auto" w:fill="007549"/>
          </w:tcPr>
          <w:p>
            <w:pPr>
              <w:spacing w:after="0"/>
              <w:rPr>
                <w:sz w:val="13"/>
                <w:szCs w:val="13"/>
                <w:color w:val="auto"/>
              </w:rPr>
            </w:pPr>
          </w:p>
        </w:tc>
        <w:tc>
          <w:tcPr>
            <w:tcW w:w="1000" w:type="dxa"/>
            <w:vAlign w:val="bottom"/>
            <w:tcBorders>
              <w:bottom w:val="single" w:sz="8" w:color="007549"/>
            </w:tcBorders>
            <w:shd w:val="clear" w:color="auto" w:fill="007549"/>
          </w:tcPr>
          <w:p>
            <w:pPr>
              <w:spacing w:after="0"/>
              <w:rPr>
                <w:sz w:val="13"/>
                <w:szCs w:val="13"/>
                <w:color w:val="auto"/>
              </w:rPr>
            </w:pPr>
          </w:p>
        </w:tc>
        <w:tc>
          <w:tcPr>
            <w:tcW w:w="1080" w:type="dxa"/>
            <w:vAlign w:val="bottom"/>
            <w:tcBorders>
              <w:bottom w:val="single" w:sz="8" w:color="007549"/>
            </w:tcBorders>
            <w:shd w:val="clear" w:color="auto" w:fill="007549"/>
          </w:tcPr>
          <w:p>
            <w:pPr>
              <w:jc w:val="right"/>
              <w:spacing w:after="0"/>
              <w:rPr>
                <w:sz w:val="20"/>
                <w:szCs w:val="20"/>
                <w:color w:val="auto"/>
              </w:rPr>
            </w:pPr>
            <w:r>
              <w:rPr>
                <w:rFonts w:ascii="Arial" w:cs="Arial" w:eastAsia="Arial" w:hAnsi="Arial"/>
                <w:sz w:val="12"/>
                <w:szCs w:val="12"/>
                <w:b w:val="1"/>
                <w:bCs w:val="1"/>
                <w:color w:val="FFFFFF"/>
              </w:rPr>
              <w:t>Units</w:t>
            </w:r>
          </w:p>
        </w:tc>
        <w:tc>
          <w:tcPr>
            <w:tcW w:w="840" w:type="dxa"/>
            <w:vAlign w:val="bottom"/>
            <w:tcBorders>
              <w:bottom w:val="single" w:sz="8" w:color="007549"/>
            </w:tcBorders>
            <w:shd w:val="clear" w:color="auto" w:fill="007549"/>
          </w:tcPr>
          <w:p>
            <w:pPr>
              <w:spacing w:after="0"/>
              <w:rPr>
                <w:sz w:val="13"/>
                <w:szCs w:val="13"/>
                <w:color w:val="auto"/>
              </w:rPr>
            </w:pPr>
          </w:p>
        </w:tc>
        <w:tc>
          <w:tcPr>
            <w:tcW w:w="20" w:type="dxa"/>
            <w:vAlign w:val="bottom"/>
            <w:tcBorders>
              <w:bottom w:val="single" w:sz="8" w:color="007549"/>
            </w:tcBorders>
            <w:shd w:val="clear" w:color="auto" w:fill="007549"/>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180" w:type="dxa"/>
            <w:vAlign w:val="bottom"/>
            <w:shd w:val="clear" w:color="auto" w:fill="007549"/>
          </w:tcPr>
          <w:p>
            <w:pPr>
              <w:spacing w:after="0"/>
              <w:rPr>
                <w:sz w:val="9"/>
                <w:szCs w:val="9"/>
                <w:color w:val="auto"/>
              </w:rPr>
            </w:pPr>
          </w:p>
        </w:tc>
        <w:tc>
          <w:tcPr>
            <w:tcW w:w="1480" w:type="dxa"/>
            <w:vAlign w:val="bottom"/>
            <w:shd w:val="clear" w:color="auto" w:fill="007549"/>
          </w:tcPr>
          <w:p>
            <w:pPr>
              <w:spacing w:after="0"/>
              <w:rPr>
                <w:sz w:val="9"/>
                <w:szCs w:val="9"/>
                <w:color w:val="auto"/>
              </w:rPr>
            </w:pPr>
          </w:p>
        </w:tc>
        <w:tc>
          <w:tcPr>
            <w:tcW w:w="1680" w:type="dxa"/>
            <w:vAlign w:val="bottom"/>
            <w:shd w:val="clear" w:color="auto" w:fill="007549"/>
          </w:tcPr>
          <w:p>
            <w:pPr>
              <w:spacing w:after="0"/>
              <w:rPr>
                <w:sz w:val="9"/>
                <w:szCs w:val="9"/>
                <w:color w:val="auto"/>
              </w:rPr>
            </w:pPr>
          </w:p>
        </w:tc>
        <w:tc>
          <w:tcPr>
            <w:tcW w:w="860" w:type="dxa"/>
            <w:vAlign w:val="bottom"/>
            <w:shd w:val="clear" w:color="auto" w:fill="007549"/>
          </w:tcPr>
          <w:p>
            <w:pPr>
              <w:spacing w:after="0"/>
              <w:rPr>
                <w:sz w:val="9"/>
                <w:szCs w:val="9"/>
                <w:color w:val="auto"/>
              </w:rPr>
            </w:pPr>
          </w:p>
        </w:tc>
        <w:tc>
          <w:tcPr>
            <w:tcW w:w="900" w:type="dxa"/>
            <w:vAlign w:val="bottom"/>
            <w:shd w:val="clear" w:color="auto" w:fill="007549"/>
          </w:tcPr>
          <w:p>
            <w:pPr>
              <w:spacing w:after="0"/>
              <w:rPr>
                <w:sz w:val="9"/>
                <w:szCs w:val="9"/>
                <w:color w:val="auto"/>
              </w:rPr>
            </w:pPr>
          </w:p>
        </w:tc>
        <w:tc>
          <w:tcPr>
            <w:tcW w:w="840" w:type="dxa"/>
            <w:vAlign w:val="bottom"/>
            <w:shd w:val="clear" w:color="auto" w:fill="007549"/>
          </w:tcPr>
          <w:p>
            <w:pPr>
              <w:spacing w:after="0"/>
              <w:rPr>
                <w:sz w:val="9"/>
                <w:szCs w:val="9"/>
                <w:color w:val="auto"/>
              </w:rPr>
            </w:pPr>
          </w:p>
        </w:tc>
        <w:tc>
          <w:tcPr>
            <w:tcW w:w="1000" w:type="dxa"/>
            <w:vAlign w:val="bottom"/>
            <w:shd w:val="clear" w:color="auto" w:fill="007549"/>
          </w:tcPr>
          <w:p>
            <w:pPr>
              <w:spacing w:after="0"/>
              <w:rPr>
                <w:sz w:val="9"/>
                <w:szCs w:val="9"/>
                <w:color w:val="auto"/>
              </w:rPr>
            </w:pPr>
          </w:p>
        </w:tc>
        <w:tc>
          <w:tcPr>
            <w:tcW w:w="1080" w:type="dxa"/>
            <w:vAlign w:val="bottom"/>
            <w:shd w:val="clear" w:color="auto" w:fill="007549"/>
          </w:tcPr>
          <w:p>
            <w:pPr>
              <w:jc w:val="center"/>
              <w:ind w:right="35"/>
              <w:spacing w:after="0" w:line="113" w:lineRule="exact"/>
              <w:rPr>
                <w:sz w:val="20"/>
                <w:szCs w:val="20"/>
                <w:color w:val="auto"/>
              </w:rPr>
            </w:pPr>
            <w:r>
              <w:rPr>
                <w:rFonts w:ascii="Arial" w:cs="Arial" w:eastAsia="Arial" w:hAnsi="Arial"/>
                <w:sz w:val="12"/>
                <w:szCs w:val="12"/>
                <w:b w:val="1"/>
                <w:bCs w:val="1"/>
                <w:color w:val="FFFFFF"/>
              </w:rPr>
              <w:t>Number of</w:t>
            </w:r>
          </w:p>
        </w:tc>
        <w:tc>
          <w:tcPr>
            <w:tcW w:w="840" w:type="dxa"/>
            <w:vAlign w:val="bottom"/>
            <w:shd w:val="clear" w:color="auto" w:fill="007549"/>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180" w:type="dxa"/>
            <w:vAlign w:val="bottom"/>
            <w:shd w:val="clear" w:color="auto" w:fill="007549"/>
          </w:tcPr>
          <w:p>
            <w:pPr>
              <w:spacing w:after="0"/>
              <w:rPr>
                <w:sz w:val="11"/>
                <w:szCs w:val="11"/>
                <w:color w:val="auto"/>
              </w:rPr>
            </w:pPr>
          </w:p>
        </w:tc>
        <w:tc>
          <w:tcPr>
            <w:tcW w:w="1480" w:type="dxa"/>
            <w:vAlign w:val="bottom"/>
            <w:shd w:val="clear" w:color="auto" w:fill="007549"/>
          </w:tcPr>
          <w:p>
            <w:pPr>
              <w:spacing w:after="0"/>
              <w:rPr>
                <w:sz w:val="11"/>
                <w:szCs w:val="11"/>
                <w:color w:val="auto"/>
              </w:rPr>
            </w:pPr>
          </w:p>
        </w:tc>
        <w:tc>
          <w:tcPr>
            <w:tcW w:w="1680" w:type="dxa"/>
            <w:vAlign w:val="bottom"/>
            <w:shd w:val="clear" w:color="auto" w:fill="007549"/>
          </w:tcPr>
          <w:p>
            <w:pPr>
              <w:spacing w:after="0"/>
              <w:rPr>
                <w:sz w:val="11"/>
                <w:szCs w:val="11"/>
                <w:color w:val="auto"/>
              </w:rPr>
            </w:pPr>
          </w:p>
        </w:tc>
        <w:tc>
          <w:tcPr>
            <w:tcW w:w="860" w:type="dxa"/>
            <w:vAlign w:val="bottom"/>
            <w:shd w:val="clear" w:color="auto" w:fill="007549"/>
          </w:tcPr>
          <w:p>
            <w:pPr>
              <w:spacing w:after="0"/>
              <w:rPr>
                <w:sz w:val="11"/>
                <w:szCs w:val="11"/>
                <w:color w:val="auto"/>
              </w:rPr>
            </w:pPr>
          </w:p>
        </w:tc>
        <w:tc>
          <w:tcPr>
            <w:tcW w:w="900" w:type="dxa"/>
            <w:vAlign w:val="bottom"/>
            <w:shd w:val="clear" w:color="auto" w:fill="007549"/>
          </w:tcPr>
          <w:p>
            <w:pPr>
              <w:spacing w:after="0"/>
              <w:rPr>
                <w:sz w:val="11"/>
                <w:szCs w:val="11"/>
                <w:color w:val="auto"/>
              </w:rPr>
            </w:pPr>
          </w:p>
        </w:tc>
        <w:tc>
          <w:tcPr>
            <w:tcW w:w="840" w:type="dxa"/>
            <w:vAlign w:val="bottom"/>
            <w:shd w:val="clear" w:color="auto" w:fill="007549"/>
          </w:tcPr>
          <w:p>
            <w:pPr>
              <w:spacing w:after="0"/>
              <w:rPr>
                <w:sz w:val="11"/>
                <w:szCs w:val="11"/>
                <w:color w:val="auto"/>
              </w:rPr>
            </w:pPr>
          </w:p>
        </w:tc>
        <w:tc>
          <w:tcPr>
            <w:tcW w:w="1000" w:type="dxa"/>
            <w:vAlign w:val="bottom"/>
            <w:shd w:val="clear" w:color="auto" w:fill="007549"/>
          </w:tcPr>
          <w:p>
            <w:pPr>
              <w:spacing w:after="0"/>
              <w:rPr>
                <w:sz w:val="11"/>
                <w:szCs w:val="11"/>
                <w:color w:val="auto"/>
              </w:rPr>
            </w:pPr>
          </w:p>
        </w:tc>
        <w:tc>
          <w:tcPr>
            <w:tcW w:w="1080" w:type="dxa"/>
            <w:vAlign w:val="bottom"/>
            <w:shd w:val="clear" w:color="auto" w:fill="007549"/>
          </w:tcPr>
          <w:p>
            <w:pPr>
              <w:jc w:val="center"/>
              <w:ind w:right="35"/>
              <w:spacing w:after="0" w:line="133" w:lineRule="exact"/>
              <w:rPr>
                <w:sz w:val="20"/>
                <w:szCs w:val="20"/>
                <w:color w:val="auto"/>
              </w:rPr>
            </w:pPr>
            <w:r>
              <w:rPr>
                <w:rFonts w:ascii="Arial" w:cs="Arial" w:eastAsia="Arial" w:hAnsi="Arial"/>
                <w:sz w:val="12"/>
                <w:szCs w:val="12"/>
                <w:b w:val="1"/>
                <w:bCs w:val="1"/>
                <w:color w:val="FFFFFF"/>
              </w:rPr>
              <w:t>Unearned</w:t>
            </w:r>
          </w:p>
        </w:tc>
        <w:tc>
          <w:tcPr>
            <w:tcW w:w="840" w:type="dxa"/>
            <w:vAlign w:val="bottom"/>
            <w:shd w:val="clear" w:color="auto" w:fill="007549"/>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80" w:type="dxa"/>
            <w:vAlign w:val="bottom"/>
            <w:shd w:val="clear" w:color="auto" w:fill="007549"/>
          </w:tcPr>
          <w:p>
            <w:pPr>
              <w:spacing w:after="0"/>
              <w:rPr>
                <w:sz w:val="11"/>
                <w:szCs w:val="11"/>
                <w:color w:val="auto"/>
              </w:rPr>
            </w:pPr>
          </w:p>
        </w:tc>
        <w:tc>
          <w:tcPr>
            <w:tcW w:w="1480" w:type="dxa"/>
            <w:vAlign w:val="bottom"/>
            <w:shd w:val="clear" w:color="auto" w:fill="007549"/>
          </w:tcPr>
          <w:p>
            <w:pPr>
              <w:jc w:val="center"/>
              <w:ind w:left="111"/>
              <w:spacing w:after="0" w:line="133" w:lineRule="exact"/>
              <w:rPr>
                <w:sz w:val="20"/>
                <w:szCs w:val="20"/>
                <w:color w:val="auto"/>
              </w:rPr>
            </w:pPr>
            <w:r>
              <w:rPr>
                <w:rFonts w:ascii="Arial" w:cs="Arial" w:eastAsia="Arial" w:hAnsi="Arial"/>
                <w:sz w:val="12"/>
                <w:szCs w:val="12"/>
                <w:b w:val="1"/>
                <w:bCs w:val="1"/>
                <w:color w:val="FFFFFF"/>
              </w:rPr>
              <w:t>Number of</w:t>
            </w:r>
          </w:p>
        </w:tc>
        <w:tc>
          <w:tcPr>
            <w:tcW w:w="1680" w:type="dxa"/>
            <w:vAlign w:val="bottom"/>
            <w:shd w:val="clear" w:color="auto" w:fill="007549"/>
          </w:tcPr>
          <w:p>
            <w:pPr>
              <w:jc w:val="center"/>
              <w:ind w:left="151"/>
              <w:spacing w:after="0" w:line="133" w:lineRule="exact"/>
              <w:rPr>
                <w:sz w:val="20"/>
                <w:szCs w:val="20"/>
                <w:color w:val="auto"/>
              </w:rPr>
            </w:pPr>
            <w:r>
              <w:rPr>
                <w:rFonts w:ascii="Arial" w:cs="Arial" w:eastAsia="Arial" w:hAnsi="Arial"/>
                <w:sz w:val="12"/>
                <w:szCs w:val="12"/>
                <w:b w:val="1"/>
                <w:bCs w:val="1"/>
                <w:color w:val="FFFFFF"/>
              </w:rPr>
              <w:t>Number of</w:t>
            </w:r>
          </w:p>
        </w:tc>
        <w:tc>
          <w:tcPr>
            <w:tcW w:w="860" w:type="dxa"/>
            <w:vAlign w:val="bottom"/>
            <w:shd w:val="clear" w:color="auto" w:fill="007549"/>
          </w:tcPr>
          <w:p>
            <w:pPr>
              <w:spacing w:after="0"/>
              <w:rPr>
                <w:sz w:val="11"/>
                <w:szCs w:val="11"/>
                <w:color w:val="auto"/>
              </w:rPr>
            </w:pPr>
          </w:p>
        </w:tc>
        <w:tc>
          <w:tcPr>
            <w:tcW w:w="900" w:type="dxa"/>
            <w:vAlign w:val="bottom"/>
            <w:shd w:val="clear" w:color="auto" w:fill="007549"/>
          </w:tcPr>
          <w:p>
            <w:pPr>
              <w:spacing w:after="0"/>
              <w:rPr>
                <w:sz w:val="11"/>
                <w:szCs w:val="11"/>
                <w:color w:val="auto"/>
              </w:rPr>
            </w:pPr>
          </w:p>
        </w:tc>
        <w:tc>
          <w:tcPr>
            <w:tcW w:w="84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rPr>
              <w:t>Number of</w:t>
            </w:r>
          </w:p>
        </w:tc>
        <w:tc>
          <w:tcPr>
            <w:tcW w:w="100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rPr>
              <w:t>Market Value</w:t>
            </w:r>
          </w:p>
        </w:tc>
        <w:tc>
          <w:tcPr>
            <w:tcW w:w="1080" w:type="dxa"/>
            <w:vAlign w:val="bottom"/>
            <w:shd w:val="clear" w:color="auto" w:fill="007549"/>
          </w:tcPr>
          <w:p>
            <w:pPr>
              <w:jc w:val="center"/>
              <w:ind w:right="55"/>
              <w:spacing w:after="0" w:line="133" w:lineRule="exact"/>
              <w:rPr>
                <w:sz w:val="20"/>
                <w:szCs w:val="20"/>
                <w:color w:val="auto"/>
              </w:rPr>
            </w:pPr>
            <w:r>
              <w:rPr>
                <w:rFonts w:ascii="Arial" w:cs="Arial" w:eastAsia="Arial" w:hAnsi="Arial"/>
                <w:sz w:val="12"/>
                <w:szCs w:val="12"/>
                <w:b w:val="1"/>
                <w:bCs w:val="1"/>
                <w:color w:val="FFFFFF"/>
              </w:rPr>
              <w:t>Shares,</w:t>
            </w:r>
          </w:p>
        </w:tc>
        <w:tc>
          <w:tcPr>
            <w:tcW w:w="840" w:type="dxa"/>
            <w:vAlign w:val="bottom"/>
            <w:shd w:val="clear" w:color="auto" w:fill="007549"/>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80" w:type="dxa"/>
            <w:vAlign w:val="bottom"/>
            <w:shd w:val="clear" w:color="auto" w:fill="007549"/>
          </w:tcPr>
          <w:p>
            <w:pPr>
              <w:spacing w:after="0"/>
              <w:rPr>
                <w:sz w:val="11"/>
                <w:szCs w:val="11"/>
                <w:color w:val="auto"/>
              </w:rPr>
            </w:pPr>
          </w:p>
        </w:tc>
        <w:tc>
          <w:tcPr>
            <w:tcW w:w="1480" w:type="dxa"/>
            <w:vAlign w:val="bottom"/>
            <w:shd w:val="clear" w:color="auto" w:fill="007549"/>
          </w:tcPr>
          <w:p>
            <w:pPr>
              <w:jc w:val="center"/>
              <w:ind w:left="111"/>
              <w:spacing w:after="0" w:line="133" w:lineRule="exact"/>
              <w:rPr>
                <w:sz w:val="20"/>
                <w:szCs w:val="20"/>
                <w:color w:val="auto"/>
              </w:rPr>
            </w:pPr>
            <w:r>
              <w:rPr>
                <w:rFonts w:ascii="Arial" w:cs="Arial" w:eastAsia="Arial" w:hAnsi="Arial"/>
                <w:sz w:val="12"/>
                <w:szCs w:val="12"/>
                <w:b w:val="1"/>
                <w:bCs w:val="1"/>
                <w:color w:val="FFFFFF"/>
              </w:rPr>
              <w:t>Securities</w:t>
            </w:r>
          </w:p>
        </w:tc>
        <w:tc>
          <w:tcPr>
            <w:tcW w:w="1680" w:type="dxa"/>
            <w:vAlign w:val="bottom"/>
            <w:shd w:val="clear" w:color="auto" w:fill="007549"/>
          </w:tcPr>
          <w:p>
            <w:pPr>
              <w:jc w:val="center"/>
              <w:ind w:left="151"/>
              <w:spacing w:after="0" w:line="133" w:lineRule="exact"/>
              <w:rPr>
                <w:sz w:val="20"/>
                <w:szCs w:val="20"/>
                <w:color w:val="auto"/>
              </w:rPr>
            </w:pPr>
            <w:r>
              <w:rPr>
                <w:rFonts w:ascii="Arial" w:cs="Arial" w:eastAsia="Arial" w:hAnsi="Arial"/>
                <w:sz w:val="12"/>
                <w:szCs w:val="12"/>
                <w:b w:val="1"/>
                <w:bCs w:val="1"/>
                <w:color w:val="FFFFFF"/>
              </w:rPr>
              <w:t>Securities</w:t>
            </w:r>
          </w:p>
        </w:tc>
        <w:tc>
          <w:tcPr>
            <w:tcW w:w="860" w:type="dxa"/>
            <w:vAlign w:val="bottom"/>
            <w:shd w:val="clear" w:color="auto" w:fill="007549"/>
          </w:tcPr>
          <w:p>
            <w:pPr>
              <w:spacing w:after="0"/>
              <w:rPr>
                <w:sz w:val="11"/>
                <w:szCs w:val="11"/>
                <w:color w:val="auto"/>
              </w:rPr>
            </w:pPr>
          </w:p>
        </w:tc>
        <w:tc>
          <w:tcPr>
            <w:tcW w:w="900" w:type="dxa"/>
            <w:vAlign w:val="bottom"/>
            <w:shd w:val="clear" w:color="auto" w:fill="007549"/>
          </w:tcPr>
          <w:p>
            <w:pPr>
              <w:spacing w:after="0"/>
              <w:rPr>
                <w:sz w:val="11"/>
                <w:szCs w:val="11"/>
                <w:color w:val="auto"/>
              </w:rPr>
            </w:pPr>
          </w:p>
        </w:tc>
        <w:tc>
          <w:tcPr>
            <w:tcW w:w="84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rPr>
              <w:t>Shares or</w:t>
            </w:r>
          </w:p>
        </w:tc>
        <w:tc>
          <w:tcPr>
            <w:tcW w:w="100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rPr>
              <w:t>of Shares or</w:t>
            </w:r>
          </w:p>
        </w:tc>
        <w:tc>
          <w:tcPr>
            <w:tcW w:w="1080" w:type="dxa"/>
            <w:vAlign w:val="bottom"/>
            <w:shd w:val="clear" w:color="auto" w:fill="007549"/>
          </w:tcPr>
          <w:p>
            <w:pPr>
              <w:jc w:val="center"/>
              <w:ind w:right="35"/>
              <w:spacing w:after="0" w:line="133" w:lineRule="exact"/>
              <w:rPr>
                <w:sz w:val="20"/>
                <w:szCs w:val="20"/>
                <w:color w:val="auto"/>
              </w:rPr>
            </w:pPr>
            <w:r>
              <w:rPr>
                <w:rFonts w:ascii="Arial" w:cs="Arial" w:eastAsia="Arial" w:hAnsi="Arial"/>
                <w:sz w:val="12"/>
                <w:szCs w:val="12"/>
                <w:b w:val="1"/>
                <w:bCs w:val="1"/>
                <w:color w:val="FFFFFF"/>
              </w:rPr>
              <w:t>Units or</w:t>
            </w:r>
          </w:p>
        </w:tc>
        <w:tc>
          <w:tcPr>
            <w:tcW w:w="84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rPr>
              <w:t>Market Value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80" w:type="dxa"/>
            <w:vAlign w:val="bottom"/>
            <w:shd w:val="clear" w:color="auto" w:fill="007549"/>
          </w:tcPr>
          <w:p>
            <w:pPr>
              <w:spacing w:after="0"/>
              <w:rPr>
                <w:sz w:val="11"/>
                <w:szCs w:val="11"/>
                <w:color w:val="auto"/>
              </w:rPr>
            </w:pPr>
          </w:p>
        </w:tc>
        <w:tc>
          <w:tcPr>
            <w:tcW w:w="1480" w:type="dxa"/>
            <w:vAlign w:val="bottom"/>
            <w:shd w:val="clear" w:color="auto" w:fill="007549"/>
          </w:tcPr>
          <w:p>
            <w:pPr>
              <w:jc w:val="center"/>
              <w:ind w:left="111"/>
              <w:spacing w:after="0" w:line="133" w:lineRule="exact"/>
              <w:rPr>
                <w:sz w:val="20"/>
                <w:szCs w:val="20"/>
                <w:color w:val="auto"/>
              </w:rPr>
            </w:pPr>
            <w:r>
              <w:rPr>
                <w:rFonts w:ascii="Arial" w:cs="Arial" w:eastAsia="Arial" w:hAnsi="Arial"/>
                <w:sz w:val="12"/>
                <w:szCs w:val="12"/>
                <w:b w:val="1"/>
                <w:bCs w:val="1"/>
                <w:color w:val="FFFFFF"/>
              </w:rPr>
              <w:t>Underlying</w:t>
            </w:r>
          </w:p>
        </w:tc>
        <w:tc>
          <w:tcPr>
            <w:tcW w:w="1680" w:type="dxa"/>
            <w:vAlign w:val="bottom"/>
            <w:shd w:val="clear" w:color="auto" w:fill="007549"/>
          </w:tcPr>
          <w:p>
            <w:pPr>
              <w:jc w:val="center"/>
              <w:ind w:left="151"/>
              <w:spacing w:after="0" w:line="133" w:lineRule="exact"/>
              <w:rPr>
                <w:sz w:val="20"/>
                <w:szCs w:val="20"/>
                <w:color w:val="auto"/>
              </w:rPr>
            </w:pPr>
            <w:r>
              <w:rPr>
                <w:rFonts w:ascii="Arial" w:cs="Arial" w:eastAsia="Arial" w:hAnsi="Arial"/>
                <w:sz w:val="12"/>
                <w:szCs w:val="12"/>
                <w:b w:val="1"/>
                <w:bCs w:val="1"/>
                <w:color w:val="FFFFFF"/>
              </w:rPr>
              <w:t>Underlying</w:t>
            </w:r>
          </w:p>
        </w:tc>
        <w:tc>
          <w:tcPr>
            <w:tcW w:w="860" w:type="dxa"/>
            <w:vAlign w:val="bottom"/>
            <w:shd w:val="clear" w:color="auto" w:fill="007549"/>
          </w:tcPr>
          <w:p>
            <w:pPr>
              <w:spacing w:after="0"/>
              <w:rPr>
                <w:sz w:val="11"/>
                <w:szCs w:val="11"/>
                <w:color w:val="auto"/>
              </w:rPr>
            </w:pPr>
          </w:p>
        </w:tc>
        <w:tc>
          <w:tcPr>
            <w:tcW w:w="900" w:type="dxa"/>
            <w:vAlign w:val="bottom"/>
            <w:shd w:val="clear" w:color="auto" w:fill="007549"/>
          </w:tcPr>
          <w:p>
            <w:pPr>
              <w:spacing w:after="0"/>
              <w:rPr>
                <w:sz w:val="11"/>
                <w:szCs w:val="11"/>
                <w:color w:val="auto"/>
              </w:rPr>
            </w:pPr>
          </w:p>
        </w:tc>
        <w:tc>
          <w:tcPr>
            <w:tcW w:w="84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rPr>
              <w:t>Units of</w:t>
            </w:r>
          </w:p>
        </w:tc>
        <w:tc>
          <w:tcPr>
            <w:tcW w:w="100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rPr>
              <w:t>Units of</w:t>
            </w:r>
          </w:p>
        </w:tc>
        <w:tc>
          <w:tcPr>
            <w:tcW w:w="1080" w:type="dxa"/>
            <w:vAlign w:val="bottom"/>
            <w:shd w:val="clear" w:color="auto" w:fill="007549"/>
          </w:tcPr>
          <w:p>
            <w:pPr>
              <w:jc w:val="center"/>
              <w:ind w:right="55"/>
              <w:spacing w:after="0" w:line="133" w:lineRule="exact"/>
              <w:rPr>
                <w:sz w:val="20"/>
                <w:szCs w:val="20"/>
                <w:color w:val="auto"/>
              </w:rPr>
            </w:pPr>
            <w:r>
              <w:rPr>
                <w:rFonts w:ascii="Arial" w:cs="Arial" w:eastAsia="Arial" w:hAnsi="Arial"/>
                <w:sz w:val="12"/>
                <w:szCs w:val="12"/>
                <w:b w:val="1"/>
                <w:bCs w:val="1"/>
                <w:color w:val="FFFFFF"/>
              </w:rPr>
              <w:t>Other Rights</w:t>
            </w:r>
          </w:p>
        </w:tc>
        <w:tc>
          <w:tcPr>
            <w:tcW w:w="84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rPr>
              <w:t>of Shares or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180" w:type="dxa"/>
            <w:vAlign w:val="bottom"/>
            <w:shd w:val="clear" w:color="auto" w:fill="007549"/>
          </w:tcPr>
          <w:p>
            <w:pPr>
              <w:spacing w:after="0"/>
              <w:rPr>
                <w:sz w:val="12"/>
                <w:szCs w:val="12"/>
                <w:color w:val="auto"/>
              </w:rPr>
            </w:pPr>
          </w:p>
        </w:tc>
        <w:tc>
          <w:tcPr>
            <w:tcW w:w="1480" w:type="dxa"/>
            <w:vAlign w:val="bottom"/>
            <w:shd w:val="clear" w:color="auto" w:fill="007549"/>
          </w:tcPr>
          <w:p>
            <w:pPr>
              <w:jc w:val="center"/>
              <w:ind w:left="111"/>
              <w:spacing w:after="0"/>
              <w:rPr>
                <w:sz w:val="20"/>
                <w:szCs w:val="20"/>
                <w:color w:val="auto"/>
              </w:rPr>
            </w:pPr>
            <w:r>
              <w:rPr>
                <w:rFonts w:ascii="Arial" w:cs="Arial" w:eastAsia="Arial" w:hAnsi="Arial"/>
                <w:sz w:val="12"/>
                <w:szCs w:val="12"/>
                <w:b w:val="1"/>
                <w:bCs w:val="1"/>
                <w:color w:val="FFFFFF"/>
              </w:rPr>
              <w:t>Unexercised</w:t>
            </w:r>
          </w:p>
        </w:tc>
        <w:tc>
          <w:tcPr>
            <w:tcW w:w="1680" w:type="dxa"/>
            <w:vAlign w:val="bottom"/>
            <w:shd w:val="clear" w:color="auto" w:fill="007549"/>
          </w:tcPr>
          <w:p>
            <w:pPr>
              <w:jc w:val="center"/>
              <w:ind w:left="151"/>
              <w:spacing w:after="0"/>
              <w:rPr>
                <w:sz w:val="20"/>
                <w:szCs w:val="20"/>
                <w:color w:val="auto"/>
              </w:rPr>
            </w:pPr>
            <w:r>
              <w:rPr>
                <w:rFonts w:ascii="Arial" w:cs="Arial" w:eastAsia="Arial" w:hAnsi="Arial"/>
                <w:sz w:val="12"/>
                <w:szCs w:val="12"/>
                <w:b w:val="1"/>
                <w:bCs w:val="1"/>
                <w:color w:val="FFFFFF"/>
              </w:rPr>
              <w:t>Unexercised</w:t>
            </w:r>
          </w:p>
        </w:tc>
        <w:tc>
          <w:tcPr>
            <w:tcW w:w="860" w:type="dxa"/>
            <w:vAlign w:val="bottom"/>
            <w:shd w:val="clear" w:color="auto" w:fill="007549"/>
          </w:tcPr>
          <w:p>
            <w:pPr>
              <w:jc w:val="center"/>
              <w:ind w:left="30"/>
              <w:spacing w:after="0"/>
              <w:rPr>
                <w:sz w:val="20"/>
                <w:szCs w:val="20"/>
                <w:color w:val="auto"/>
              </w:rPr>
            </w:pPr>
            <w:r>
              <w:rPr>
                <w:rFonts w:ascii="Arial" w:cs="Arial" w:eastAsia="Arial" w:hAnsi="Arial"/>
                <w:sz w:val="12"/>
                <w:szCs w:val="12"/>
                <w:b w:val="1"/>
                <w:bCs w:val="1"/>
                <w:color w:val="FFFFFF"/>
              </w:rPr>
              <w:t>Option</w:t>
            </w:r>
          </w:p>
        </w:tc>
        <w:tc>
          <w:tcPr>
            <w:tcW w:w="900" w:type="dxa"/>
            <w:vAlign w:val="bottom"/>
            <w:shd w:val="clear" w:color="auto" w:fill="007549"/>
          </w:tcPr>
          <w:p>
            <w:pPr>
              <w:spacing w:after="0"/>
              <w:rPr>
                <w:sz w:val="12"/>
                <w:szCs w:val="12"/>
                <w:color w:val="auto"/>
              </w:rPr>
            </w:pPr>
          </w:p>
        </w:tc>
        <w:tc>
          <w:tcPr>
            <w:tcW w:w="840" w:type="dxa"/>
            <w:vAlign w:val="bottom"/>
            <w:shd w:val="clear" w:color="auto" w:fill="007549"/>
          </w:tcPr>
          <w:p>
            <w:pPr>
              <w:jc w:val="center"/>
              <w:spacing w:after="0"/>
              <w:rPr>
                <w:sz w:val="20"/>
                <w:szCs w:val="20"/>
                <w:color w:val="auto"/>
              </w:rPr>
            </w:pPr>
            <w:r>
              <w:rPr>
                <w:rFonts w:ascii="Arial" w:cs="Arial" w:eastAsia="Arial" w:hAnsi="Arial"/>
                <w:sz w:val="12"/>
                <w:szCs w:val="12"/>
                <w:b w:val="1"/>
                <w:bCs w:val="1"/>
                <w:color w:val="FFFFFF"/>
              </w:rPr>
              <w:t>Stock That</w:t>
            </w:r>
          </w:p>
        </w:tc>
        <w:tc>
          <w:tcPr>
            <w:tcW w:w="1000" w:type="dxa"/>
            <w:vAlign w:val="bottom"/>
            <w:shd w:val="clear" w:color="auto" w:fill="007549"/>
          </w:tcPr>
          <w:p>
            <w:pPr>
              <w:jc w:val="center"/>
              <w:spacing w:after="0"/>
              <w:rPr>
                <w:sz w:val="20"/>
                <w:szCs w:val="20"/>
                <w:color w:val="auto"/>
              </w:rPr>
            </w:pPr>
            <w:r>
              <w:rPr>
                <w:rFonts w:ascii="Arial" w:cs="Arial" w:eastAsia="Arial" w:hAnsi="Arial"/>
                <w:sz w:val="12"/>
                <w:szCs w:val="12"/>
                <w:b w:val="1"/>
                <w:bCs w:val="1"/>
                <w:color w:val="FFFFFF"/>
              </w:rPr>
              <w:t>Stock That</w:t>
            </w:r>
          </w:p>
        </w:tc>
        <w:tc>
          <w:tcPr>
            <w:tcW w:w="1080" w:type="dxa"/>
            <w:vAlign w:val="bottom"/>
            <w:shd w:val="clear" w:color="auto" w:fill="007549"/>
          </w:tcPr>
          <w:p>
            <w:pPr>
              <w:jc w:val="center"/>
              <w:ind w:right="75"/>
              <w:spacing w:after="0"/>
              <w:rPr>
                <w:sz w:val="20"/>
                <w:szCs w:val="20"/>
                <w:color w:val="auto"/>
              </w:rPr>
            </w:pPr>
            <w:r>
              <w:rPr>
                <w:rFonts w:ascii="Arial" w:cs="Arial" w:eastAsia="Arial" w:hAnsi="Arial"/>
                <w:sz w:val="12"/>
                <w:szCs w:val="12"/>
                <w:b w:val="1"/>
                <w:bCs w:val="1"/>
                <w:color w:val="FFFFFF"/>
              </w:rPr>
              <w:t>That Have</w:t>
            </w:r>
          </w:p>
        </w:tc>
        <w:tc>
          <w:tcPr>
            <w:tcW w:w="840" w:type="dxa"/>
            <w:vAlign w:val="bottom"/>
            <w:shd w:val="clear" w:color="auto" w:fill="007549"/>
          </w:tcPr>
          <w:p>
            <w:pPr>
              <w:jc w:val="center"/>
              <w:spacing w:after="0"/>
              <w:rPr>
                <w:sz w:val="20"/>
                <w:szCs w:val="20"/>
                <w:color w:val="auto"/>
              </w:rPr>
            </w:pPr>
            <w:r>
              <w:rPr>
                <w:rFonts w:ascii="Arial" w:cs="Arial" w:eastAsia="Arial" w:hAnsi="Arial"/>
                <w:sz w:val="12"/>
                <w:szCs w:val="12"/>
                <w:b w:val="1"/>
                <w:bCs w:val="1"/>
                <w:color w:val="FFFFFF"/>
              </w:rPr>
              <w:t>Units of Stock</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180" w:type="dxa"/>
            <w:vAlign w:val="bottom"/>
            <w:shd w:val="clear" w:color="auto" w:fill="007549"/>
          </w:tcPr>
          <w:p>
            <w:pPr>
              <w:spacing w:after="0"/>
              <w:rPr>
                <w:sz w:val="11"/>
                <w:szCs w:val="11"/>
                <w:color w:val="auto"/>
              </w:rPr>
            </w:pPr>
          </w:p>
        </w:tc>
        <w:tc>
          <w:tcPr>
            <w:tcW w:w="1480" w:type="dxa"/>
            <w:vAlign w:val="bottom"/>
            <w:shd w:val="clear" w:color="auto" w:fill="007549"/>
          </w:tcPr>
          <w:p>
            <w:pPr>
              <w:jc w:val="center"/>
              <w:ind w:left="111"/>
              <w:spacing w:after="0" w:line="133" w:lineRule="exact"/>
              <w:rPr>
                <w:sz w:val="20"/>
                <w:szCs w:val="20"/>
                <w:color w:val="auto"/>
              </w:rPr>
            </w:pPr>
            <w:r>
              <w:rPr>
                <w:rFonts w:ascii="Arial" w:cs="Arial" w:eastAsia="Arial" w:hAnsi="Arial"/>
                <w:sz w:val="12"/>
                <w:szCs w:val="12"/>
                <w:b w:val="1"/>
                <w:bCs w:val="1"/>
                <w:color w:val="FFFFFF"/>
              </w:rPr>
              <w:t>Options</w:t>
            </w:r>
          </w:p>
        </w:tc>
        <w:tc>
          <w:tcPr>
            <w:tcW w:w="1680" w:type="dxa"/>
            <w:vAlign w:val="bottom"/>
            <w:shd w:val="clear" w:color="auto" w:fill="007549"/>
          </w:tcPr>
          <w:p>
            <w:pPr>
              <w:jc w:val="center"/>
              <w:ind w:left="151"/>
              <w:spacing w:after="0" w:line="133" w:lineRule="exact"/>
              <w:rPr>
                <w:sz w:val="20"/>
                <w:szCs w:val="20"/>
                <w:color w:val="auto"/>
              </w:rPr>
            </w:pPr>
            <w:r>
              <w:rPr>
                <w:rFonts w:ascii="Arial" w:cs="Arial" w:eastAsia="Arial" w:hAnsi="Arial"/>
                <w:sz w:val="12"/>
                <w:szCs w:val="12"/>
                <w:b w:val="1"/>
                <w:bCs w:val="1"/>
                <w:color w:val="FFFFFF"/>
              </w:rPr>
              <w:t>Options</w:t>
            </w:r>
          </w:p>
        </w:tc>
        <w:tc>
          <w:tcPr>
            <w:tcW w:w="860" w:type="dxa"/>
            <w:vAlign w:val="bottom"/>
            <w:shd w:val="clear" w:color="auto" w:fill="007549"/>
          </w:tcPr>
          <w:p>
            <w:pPr>
              <w:jc w:val="center"/>
              <w:ind w:left="10"/>
              <w:spacing w:after="0" w:line="133" w:lineRule="exact"/>
              <w:rPr>
                <w:sz w:val="20"/>
                <w:szCs w:val="20"/>
                <w:color w:val="auto"/>
              </w:rPr>
            </w:pPr>
            <w:r>
              <w:rPr>
                <w:rFonts w:ascii="Arial" w:cs="Arial" w:eastAsia="Arial" w:hAnsi="Arial"/>
                <w:sz w:val="12"/>
                <w:szCs w:val="12"/>
                <w:b w:val="1"/>
                <w:bCs w:val="1"/>
                <w:color w:val="FFFFFF"/>
              </w:rPr>
              <w:t>Exercise</w:t>
            </w:r>
          </w:p>
        </w:tc>
        <w:tc>
          <w:tcPr>
            <w:tcW w:w="90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rPr>
              <w:t>Option</w:t>
            </w:r>
          </w:p>
        </w:tc>
        <w:tc>
          <w:tcPr>
            <w:tcW w:w="84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rPr>
              <w:t>Have Not</w:t>
            </w:r>
          </w:p>
        </w:tc>
        <w:tc>
          <w:tcPr>
            <w:tcW w:w="100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w w:val="99"/>
              </w:rPr>
              <w:t>Have Not</w:t>
            </w:r>
          </w:p>
        </w:tc>
        <w:tc>
          <w:tcPr>
            <w:tcW w:w="1080" w:type="dxa"/>
            <w:vAlign w:val="bottom"/>
            <w:shd w:val="clear" w:color="auto" w:fill="007549"/>
          </w:tcPr>
          <w:p>
            <w:pPr>
              <w:jc w:val="center"/>
              <w:ind w:right="55"/>
              <w:spacing w:after="0" w:line="133" w:lineRule="exact"/>
              <w:rPr>
                <w:sz w:val="20"/>
                <w:szCs w:val="20"/>
                <w:color w:val="auto"/>
              </w:rPr>
            </w:pPr>
            <w:r>
              <w:rPr>
                <w:rFonts w:ascii="Arial" w:cs="Arial" w:eastAsia="Arial" w:hAnsi="Arial"/>
                <w:sz w:val="12"/>
                <w:szCs w:val="12"/>
                <w:b w:val="1"/>
                <w:bCs w:val="1"/>
                <w:color w:val="FFFFFF"/>
                <w:w w:val="99"/>
              </w:rPr>
              <w:t>Not</w:t>
            </w:r>
          </w:p>
        </w:tc>
        <w:tc>
          <w:tcPr>
            <w:tcW w:w="84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rPr>
              <w:t>That Have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80" w:type="dxa"/>
            <w:vAlign w:val="bottom"/>
            <w:shd w:val="clear" w:color="auto" w:fill="007549"/>
          </w:tcPr>
          <w:p>
            <w:pPr>
              <w:spacing w:after="0"/>
              <w:rPr>
                <w:sz w:val="11"/>
                <w:szCs w:val="11"/>
                <w:color w:val="auto"/>
              </w:rPr>
            </w:pPr>
          </w:p>
        </w:tc>
        <w:tc>
          <w:tcPr>
            <w:tcW w:w="1480" w:type="dxa"/>
            <w:vAlign w:val="bottom"/>
            <w:shd w:val="clear" w:color="auto" w:fill="007549"/>
          </w:tcPr>
          <w:p>
            <w:pPr>
              <w:jc w:val="center"/>
              <w:ind w:left="111"/>
              <w:spacing w:after="0" w:line="133" w:lineRule="exact"/>
              <w:rPr>
                <w:sz w:val="20"/>
                <w:szCs w:val="20"/>
                <w:color w:val="auto"/>
              </w:rPr>
            </w:pPr>
            <w:r>
              <w:rPr>
                <w:rFonts w:ascii="Arial" w:cs="Arial" w:eastAsia="Arial" w:hAnsi="Arial"/>
                <w:sz w:val="12"/>
                <w:szCs w:val="12"/>
                <w:b w:val="1"/>
                <w:bCs w:val="1"/>
                <w:color w:val="FFFFFF"/>
              </w:rPr>
              <w:t>Exercisable</w:t>
            </w:r>
          </w:p>
        </w:tc>
        <w:tc>
          <w:tcPr>
            <w:tcW w:w="1680" w:type="dxa"/>
            <w:vAlign w:val="bottom"/>
            <w:shd w:val="clear" w:color="auto" w:fill="007549"/>
          </w:tcPr>
          <w:p>
            <w:pPr>
              <w:jc w:val="center"/>
              <w:ind w:left="151"/>
              <w:spacing w:after="0" w:line="133" w:lineRule="exact"/>
              <w:rPr>
                <w:sz w:val="20"/>
                <w:szCs w:val="20"/>
                <w:color w:val="auto"/>
              </w:rPr>
            </w:pPr>
            <w:r>
              <w:rPr>
                <w:rFonts w:ascii="Arial" w:cs="Arial" w:eastAsia="Arial" w:hAnsi="Arial"/>
                <w:sz w:val="12"/>
                <w:szCs w:val="12"/>
                <w:b w:val="1"/>
                <w:bCs w:val="1"/>
                <w:color w:val="FFFFFF"/>
              </w:rPr>
              <w:t>Unexercisable(4)</w:t>
            </w:r>
          </w:p>
        </w:tc>
        <w:tc>
          <w:tcPr>
            <w:tcW w:w="860" w:type="dxa"/>
            <w:vAlign w:val="bottom"/>
            <w:shd w:val="clear" w:color="auto" w:fill="007549"/>
          </w:tcPr>
          <w:p>
            <w:pPr>
              <w:jc w:val="center"/>
              <w:ind w:left="10"/>
              <w:spacing w:after="0" w:line="133" w:lineRule="exact"/>
              <w:rPr>
                <w:sz w:val="20"/>
                <w:szCs w:val="20"/>
                <w:color w:val="auto"/>
              </w:rPr>
            </w:pPr>
            <w:r>
              <w:rPr>
                <w:rFonts w:ascii="Arial" w:cs="Arial" w:eastAsia="Arial" w:hAnsi="Arial"/>
                <w:sz w:val="12"/>
                <w:szCs w:val="12"/>
                <w:b w:val="1"/>
                <w:bCs w:val="1"/>
                <w:color w:val="FFFFFF"/>
              </w:rPr>
              <w:t>Price</w:t>
            </w:r>
          </w:p>
        </w:tc>
        <w:tc>
          <w:tcPr>
            <w:tcW w:w="90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rPr>
              <w:t>Expiration</w:t>
            </w:r>
          </w:p>
        </w:tc>
        <w:tc>
          <w:tcPr>
            <w:tcW w:w="84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rPr>
              <w:t>Vested</w:t>
            </w:r>
          </w:p>
        </w:tc>
        <w:tc>
          <w:tcPr>
            <w:tcW w:w="100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rPr>
              <w:t>Vested</w:t>
            </w:r>
          </w:p>
        </w:tc>
        <w:tc>
          <w:tcPr>
            <w:tcW w:w="1080" w:type="dxa"/>
            <w:vAlign w:val="bottom"/>
            <w:shd w:val="clear" w:color="auto" w:fill="007549"/>
          </w:tcPr>
          <w:p>
            <w:pPr>
              <w:jc w:val="center"/>
              <w:ind w:right="55"/>
              <w:spacing w:after="0" w:line="133" w:lineRule="exact"/>
              <w:rPr>
                <w:sz w:val="20"/>
                <w:szCs w:val="20"/>
                <w:color w:val="auto"/>
              </w:rPr>
            </w:pPr>
            <w:r>
              <w:rPr>
                <w:rFonts w:ascii="Arial" w:cs="Arial" w:eastAsia="Arial" w:hAnsi="Arial"/>
                <w:sz w:val="12"/>
                <w:szCs w:val="12"/>
                <w:b w:val="1"/>
                <w:bCs w:val="1"/>
                <w:color w:val="FFFFFF"/>
              </w:rPr>
              <w:t>Vested</w:t>
            </w:r>
          </w:p>
        </w:tc>
        <w:tc>
          <w:tcPr>
            <w:tcW w:w="84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rPr>
              <w:t>Not Vested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80" w:type="dxa"/>
            <w:vAlign w:val="bottom"/>
            <w:shd w:val="clear" w:color="auto" w:fill="007549"/>
          </w:tcPr>
          <w:p>
            <w:pPr>
              <w:ind w:left="80"/>
              <w:spacing w:after="0" w:line="133" w:lineRule="exact"/>
              <w:rPr>
                <w:sz w:val="20"/>
                <w:szCs w:val="20"/>
                <w:color w:val="auto"/>
              </w:rPr>
            </w:pPr>
            <w:r>
              <w:rPr>
                <w:rFonts w:ascii="Arial" w:cs="Arial" w:eastAsia="Arial" w:hAnsi="Arial"/>
                <w:sz w:val="12"/>
                <w:szCs w:val="12"/>
                <w:b w:val="1"/>
                <w:bCs w:val="1"/>
                <w:color w:val="FFFFFF"/>
              </w:rPr>
              <w:t>Name</w:t>
            </w:r>
          </w:p>
        </w:tc>
        <w:tc>
          <w:tcPr>
            <w:tcW w:w="1480" w:type="dxa"/>
            <w:vAlign w:val="bottom"/>
            <w:shd w:val="clear" w:color="auto" w:fill="007549"/>
          </w:tcPr>
          <w:p>
            <w:pPr>
              <w:jc w:val="center"/>
              <w:ind w:left="111"/>
              <w:spacing w:after="0" w:line="133" w:lineRule="exact"/>
              <w:rPr>
                <w:sz w:val="20"/>
                <w:szCs w:val="20"/>
                <w:color w:val="auto"/>
              </w:rPr>
            </w:pPr>
            <w:r>
              <w:rPr>
                <w:rFonts w:ascii="Arial" w:cs="Arial" w:eastAsia="Arial" w:hAnsi="Arial"/>
                <w:sz w:val="12"/>
                <w:szCs w:val="12"/>
                <w:b w:val="1"/>
                <w:bCs w:val="1"/>
                <w:color w:val="FFFFFF"/>
                <w:w w:val="95"/>
              </w:rPr>
              <w:t>(#)</w:t>
            </w:r>
          </w:p>
        </w:tc>
        <w:tc>
          <w:tcPr>
            <w:tcW w:w="1680" w:type="dxa"/>
            <w:vAlign w:val="bottom"/>
            <w:shd w:val="clear" w:color="auto" w:fill="007549"/>
          </w:tcPr>
          <w:p>
            <w:pPr>
              <w:jc w:val="right"/>
              <w:ind w:right="591"/>
              <w:spacing w:after="0" w:line="133" w:lineRule="exact"/>
              <w:rPr>
                <w:sz w:val="20"/>
                <w:szCs w:val="20"/>
                <w:color w:val="auto"/>
              </w:rPr>
            </w:pPr>
            <w:r>
              <w:rPr>
                <w:rFonts w:ascii="Arial" w:cs="Arial" w:eastAsia="Arial" w:hAnsi="Arial"/>
                <w:sz w:val="12"/>
                <w:szCs w:val="12"/>
                <w:b w:val="1"/>
                <w:bCs w:val="1"/>
                <w:color w:val="FFFFFF"/>
              </w:rPr>
              <w:t>(#)</w:t>
            </w:r>
          </w:p>
        </w:tc>
        <w:tc>
          <w:tcPr>
            <w:tcW w:w="860" w:type="dxa"/>
            <w:vAlign w:val="bottom"/>
            <w:shd w:val="clear" w:color="auto" w:fill="007549"/>
          </w:tcPr>
          <w:p>
            <w:pPr>
              <w:jc w:val="center"/>
              <w:ind w:left="10"/>
              <w:spacing w:after="0" w:line="133" w:lineRule="exact"/>
              <w:rPr>
                <w:sz w:val="20"/>
                <w:szCs w:val="20"/>
                <w:color w:val="auto"/>
              </w:rPr>
            </w:pPr>
            <w:r>
              <w:rPr>
                <w:rFonts w:ascii="Arial" w:cs="Arial" w:eastAsia="Arial" w:hAnsi="Arial"/>
                <w:sz w:val="12"/>
                <w:szCs w:val="12"/>
                <w:b w:val="1"/>
                <w:bCs w:val="1"/>
                <w:color w:val="FFFFFF"/>
                <w:w w:val="95"/>
              </w:rPr>
              <w:t>($)</w:t>
            </w:r>
          </w:p>
        </w:tc>
        <w:tc>
          <w:tcPr>
            <w:tcW w:w="90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w w:val="99"/>
              </w:rPr>
              <w:t>Date</w:t>
            </w:r>
          </w:p>
        </w:tc>
        <w:tc>
          <w:tcPr>
            <w:tcW w:w="84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rPr>
              <w:t>(#)(9)</w:t>
            </w:r>
          </w:p>
        </w:tc>
        <w:tc>
          <w:tcPr>
            <w:tcW w:w="100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w w:val="99"/>
              </w:rPr>
              <w:t>($)(10)</w:t>
            </w:r>
          </w:p>
        </w:tc>
        <w:tc>
          <w:tcPr>
            <w:tcW w:w="1080" w:type="dxa"/>
            <w:vAlign w:val="bottom"/>
            <w:shd w:val="clear" w:color="auto" w:fill="007549"/>
          </w:tcPr>
          <w:p>
            <w:pPr>
              <w:jc w:val="center"/>
              <w:ind w:right="55"/>
              <w:spacing w:after="0" w:line="133" w:lineRule="exact"/>
              <w:rPr>
                <w:sz w:val="20"/>
                <w:szCs w:val="20"/>
                <w:color w:val="auto"/>
              </w:rPr>
            </w:pPr>
            <w:r>
              <w:rPr>
                <w:rFonts w:ascii="Arial" w:cs="Arial" w:eastAsia="Arial" w:hAnsi="Arial"/>
                <w:sz w:val="12"/>
                <w:szCs w:val="12"/>
                <w:b w:val="1"/>
                <w:bCs w:val="1"/>
                <w:color w:val="FFFFFF"/>
              </w:rPr>
              <w:t>(#)</w:t>
            </w:r>
          </w:p>
        </w:tc>
        <w:tc>
          <w:tcPr>
            <w:tcW w:w="84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w w:val="99"/>
              </w:rPr>
              <w:t>($)(15)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180" w:type="dxa"/>
            <w:vAlign w:val="bottom"/>
            <w:shd w:val="clear" w:color="auto" w:fill="007549"/>
          </w:tcPr>
          <w:p>
            <w:pPr>
              <w:ind w:left="80"/>
              <w:spacing w:after="0"/>
              <w:rPr>
                <w:sz w:val="20"/>
                <w:szCs w:val="20"/>
                <w:color w:val="auto"/>
              </w:rPr>
            </w:pPr>
            <w:r>
              <w:rPr>
                <w:rFonts w:ascii="Arial" w:cs="Arial" w:eastAsia="Arial" w:hAnsi="Arial"/>
                <w:sz w:val="12"/>
                <w:szCs w:val="12"/>
                <w:b w:val="1"/>
                <w:bCs w:val="1"/>
                <w:color w:val="FFFFFF"/>
              </w:rPr>
              <w:t>(a)</w:t>
            </w:r>
          </w:p>
        </w:tc>
        <w:tc>
          <w:tcPr>
            <w:tcW w:w="1480" w:type="dxa"/>
            <w:vAlign w:val="bottom"/>
            <w:shd w:val="clear" w:color="auto" w:fill="007549"/>
          </w:tcPr>
          <w:p>
            <w:pPr>
              <w:jc w:val="center"/>
              <w:ind w:left="131"/>
              <w:spacing w:after="0"/>
              <w:rPr>
                <w:sz w:val="20"/>
                <w:szCs w:val="20"/>
                <w:color w:val="auto"/>
              </w:rPr>
            </w:pPr>
            <w:r>
              <w:rPr>
                <w:rFonts w:ascii="Arial" w:cs="Arial" w:eastAsia="Arial" w:hAnsi="Arial"/>
                <w:sz w:val="12"/>
                <w:szCs w:val="12"/>
                <w:b w:val="1"/>
                <w:bCs w:val="1"/>
                <w:color w:val="FFFFFF"/>
              </w:rPr>
              <w:t>(b)</w:t>
            </w:r>
          </w:p>
        </w:tc>
        <w:tc>
          <w:tcPr>
            <w:tcW w:w="1680" w:type="dxa"/>
            <w:vAlign w:val="bottom"/>
            <w:shd w:val="clear" w:color="auto" w:fill="007549"/>
          </w:tcPr>
          <w:p>
            <w:pPr>
              <w:jc w:val="center"/>
              <w:ind w:left="151"/>
              <w:spacing w:after="0"/>
              <w:rPr>
                <w:sz w:val="20"/>
                <w:szCs w:val="20"/>
                <w:color w:val="auto"/>
              </w:rPr>
            </w:pPr>
            <w:r>
              <w:rPr>
                <w:rFonts w:ascii="Arial" w:cs="Arial" w:eastAsia="Arial" w:hAnsi="Arial"/>
                <w:sz w:val="12"/>
                <w:szCs w:val="12"/>
                <w:b w:val="1"/>
                <w:bCs w:val="1"/>
                <w:color w:val="FFFFFF"/>
                <w:w w:val="95"/>
              </w:rPr>
              <w:t>(c)</w:t>
            </w:r>
          </w:p>
        </w:tc>
        <w:tc>
          <w:tcPr>
            <w:tcW w:w="860" w:type="dxa"/>
            <w:vAlign w:val="bottom"/>
            <w:shd w:val="clear" w:color="auto" w:fill="007549"/>
          </w:tcPr>
          <w:p>
            <w:pPr>
              <w:jc w:val="center"/>
              <w:ind w:left="30"/>
              <w:spacing w:after="0"/>
              <w:rPr>
                <w:sz w:val="20"/>
                <w:szCs w:val="20"/>
                <w:color w:val="auto"/>
              </w:rPr>
            </w:pPr>
            <w:r>
              <w:rPr>
                <w:rFonts w:ascii="Arial" w:cs="Arial" w:eastAsia="Arial" w:hAnsi="Arial"/>
                <w:sz w:val="12"/>
                <w:szCs w:val="12"/>
                <w:b w:val="1"/>
                <w:bCs w:val="1"/>
                <w:color w:val="FFFFFF"/>
              </w:rPr>
              <w:t>(d)</w:t>
            </w:r>
          </w:p>
        </w:tc>
        <w:tc>
          <w:tcPr>
            <w:tcW w:w="900" w:type="dxa"/>
            <w:vAlign w:val="bottom"/>
            <w:shd w:val="clear" w:color="auto" w:fill="007549"/>
          </w:tcPr>
          <w:p>
            <w:pPr>
              <w:jc w:val="center"/>
              <w:spacing w:after="0"/>
              <w:rPr>
                <w:sz w:val="20"/>
                <w:szCs w:val="20"/>
                <w:color w:val="auto"/>
              </w:rPr>
            </w:pPr>
            <w:r>
              <w:rPr>
                <w:rFonts w:ascii="Arial" w:cs="Arial" w:eastAsia="Arial" w:hAnsi="Arial"/>
                <w:sz w:val="12"/>
                <w:szCs w:val="12"/>
                <w:b w:val="1"/>
                <w:bCs w:val="1"/>
                <w:color w:val="FFFFFF"/>
              </w:rPr>
              <w:t>(e)</w:t>
            </w:r>
          </w:p>
        </w:tc>
        <w:tc>
          <w:tcPr>
            <w:tcW w:w="840" w:type="dxa"/>
            <w:vAlign w:val="bottom"/>
            <w:shd w:val="clear" w:color="auto" w:fill="007549"/>
          </w:tcPr>
          <w:p>
            <w:pPr>
              <w:jc w:val="center"/>
              <w:spacing w:after="0"/>
              <w:rPr>
                <w:sz w:val="20"/>
                <w:szCs w:val="20"/>
                <w:color w:val="auto"/>
              </w:rPr>
            </w:pPr>
            <w:r>
              <w:rPr>
                <w:rFonts w:ascii="Arial" w:cs="Arial" w:eastAsia="Arial" w:hAnsi="Arial"/>
                <w:sz w:val="12"/>
                <w:szCs w:val="12"/>
                <w:b w:val="1"/>
                <w:bCs w:val="1"/>
                <w:color w:val="FFFFFF"/>
              </w:rPr>
              <w:t>(f)</w:t>
            </w:r>
          </w:p>
        </w:tc>
        <w:tc>
          <w:tcPr>
            <w:tcW w:w="1000" w:type="dxa"/>
            <w:vAlign w:val="bottom"/>
            <w:shd w:val="clear" w:color="auto" w:fill="007549"/>
          </w:tcPr>
          <w:p>
            <w:pPr>
              <w:jc w:val="center"/>
              <w:spacing w:after="0"/>
              <w:rPr>
                <w:sz w:val="20"/>
                <w:szCs w:val="20"/>
                <w:color w:val="auto"/>
              </w:rPr>
            </w:pPr>
            <w:r>
              <w:rPr>
                <w:rFonts w:ascii="Arial" w:cs="Arial" w:eastAsia="Arial" w:hAnsi="Arial"/>
                <w:sz w:val="12"/>
                <w:szCs w:val="12"/>
                <w:b w:val="1"/>
                <w:bCs w:val="1"/>
                <w:color w:val="FFFFFF"/>
              </w:rPr>
              <w:t>(g)</w:t>
            </w:r>
          </w:p>
        </w:tc>
        <w:tc>
          <w:tcPr>
            <w:tcW w:w="1080" w:type="dxa"/>
            <w:vAlign w:val="bottom"/>
            <w:shd w:val="clear" w:color="auto" w:fill="007549"/>
          </w:tcPr>
          <w:p>
            <w:pPr>
              <w:jc w:val="center"/>
              <w:ind w:right="55"/>
              <w:spacing w:after="0"/>
              <w:rPr>
                <w:sz w:val="20"/>
                <w:szCs w:val="20"/>
                <w:color w:val="auto"/>
              </w:rPr>
            </w:pPr>
            <w:r>
              <w:rPr>
                <w:rFonts w:ascii="Arial" w:cs="Arial" w:eastAsia="Arial" w:hAnsi="Arial"/>
                <w:sz w:val="12"/>
                <w:szCs w:val="12"/>
                <w:b w:val="1"/>
                <w:bCs w:val="1"/>
                <w:color w:val="FFFFFF"/>
              </w:rPr>
              <w:t>(h)</w:t>
            </w:r>
          </w:p>
        </w:tc>
        <w:tc>
          <w:tcPr>
            <w:tcW w:w="840" w:type="dxa"/>
            <w:vAlign w:val="bottom"/>
            <w:shd w:val="clear" w:color="auto" w:fill="007549"/>
          </w:tcPr>
          <w:p>
            <w:pPr>
              <w:jc w:val="center"/>
              <w:spacing w:after="0"/>
              <w:rPr>
                <w:sz w:val="20"/>
                <w:szCs w:val="20"/>
                <w:color w:val="auto"/>
              </w:rPr>
            </w:pPr>
            <w:r>
              <w:rPr>
                <w:rFonts w:ascii="Arial" w:cs="Arial" w:eastAsia="Arial" w:hAnsi="Arial"/>
                <w:sz w:val="12"/>
                <w:szCs w:val="12"/>
                <w:b w:val="1"/>
                <w:bCs w:val="1"/>
                <w:color w:val="FFFFFF"/>
              </w:rPr>
              <w:t>(i)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180" w:type="dxa"/>
            <w:vAlign w:val="bottom"/>
            <w:shd w:val="clear" w:color="auto" w:fill="E5E5E5"/>
          </w:tcPr>
          <w:p>
            <w:pPr>
              <w:ind w:left="80"/>
              <w:spacing w:after="0"/>
              <w:rPr>
                <w:sz w:val="20"/>
                <w:szCs w:val="20"/>
                <w:color w:val="auto"/>
              </w:rPr>
            </w:pPr>
            <w:r>
              <w:rPr>
                <w:rFonts w:ascii="Arial" w:cs="Arial" w:eastAsia="Arial" w:hAnsi="Arial"/>
                <w:sz w:val="14"/>
                <w:szCs w:val="14"/>
                <w:b w:val="1"/>
                <w:bCs w:val="1"/>
                <w:color w:val="007549"/>
              </w:rPr>
              <w:t>Hess, John B</w:t>
            </w:r>
          </w:p>
        </w:tc>
        <w:tc>
          <w:tcPr>
            <w:tcW w:w="1480" w:type="dxa"/>
            <w:vAlign w:val="bottom"/>
            <w:shd w:val="clear" w:color="auto" w:fill="E5E5E5"/>
          </w:tcPr>
          <w:p>
            <w:pPr>
              <w:jc w:val="right"/>
              <w:ind w:right="291"/>
              <w:spacing w:after="0"/>
              <w:rPr>
                <w:sz w:val="20"/>
                <w:szCs w:val="20"/>
                <w:color w:val="auto"/>
              </w:rPr>
            </w:pPr>
            <w:r>
              <w:rPr>
                <w:rFonts w:ascii="Arial" w:cs="Arial" w:eastAsia="Arial" w:hAnsi="Arial"/>
                <w:sz w:val="14"/>
                <w:szCs w:val="14"/>
                <w:color w:val="auto"/>
              </w:rPr>
              <w:t>186,000</w:t>
            </w:r>
          </w:p>
        </w:tc>
        <w:tc>
          <w:tcPr>
            <w:tcW w:w="1680" w:type="dxa"/>
            <w:vAlign w:val="bottom"/>
            <w:shd w:val="clear" w:color="auto" w:fill="E5E5E5"/>
          </w:tcPr>
          <w:p>
            <w:pPr>
              <w:jc w:val="right"/>
              <w:ind w:right="451"/>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ind w:right="70"/>
              <w:spacing w:after="0"/>
              <w:rPr>
                <w:sz w:val="20"/>
                <w:szCs w:val="20"/>
                <w:color w:val="auto"/>
              </w:rPr>
            </w:pPr>
            <w:r>
              <w:rPr>
                <w:rFonts w:ascii="Arial" w:cs="Arial" w:eastAsia="Arial" w:hAnsi="Arial"/>
                <w:sz w:val="14"/>
                <w:szCs w:val="14"/>
                <w:color w:val="auto"/>
              </w:rPr>
              <w:t>81.85</w:t>
            </w:r>
          </w:p>
        </w:tc>
        <w:tc>
          <w:tcPr>
            <w:tcW w:w="900" w:type="dxa"/>
            <w:vAlign w:val="bottom"/>
            <w:shd w:val="clear" w:color="auto" w:fill="E5E5E5"/>
          </w:tcPr>
          <w:p>
            <w:pPr>
              <w:jc w:val="right"/>
              <w:ind w:right="30"/>
              <w:spacing w:after="0"/>
              <w:rPr>
                <w:sz w:val="20"/>
                <w:szCs w:val="20"/>
                <w:color w:val="auto"/>
              </w:rPr>
            </w:pPr>
            <w:r>
              <w:rPr>
                <w:rFonts w:ascii="Arial" w:cs="Arial" w:eastAsia="Arial" w:hAnsi="Arial"/>
                <w:sz w:val="14"/>
                <w:szCs w:val="14"/>
                <w:color w:val="auto"/>
              </w:rPr>
              <w:t>06-Feb-18</w:t>
            </w:r>
          </w:p>
        </w:tc>
        <w:tc>
          <w:tcPr>
            <w:tcW w:w="840" w:type="dxa"/>
            <w:vAlign w:val="bottom"/>
            <w:shd w:val="clear" w:color="auto" w:fill="E5E5E5"/>
          </w:tcPr>
          <w:p>
            <w:pPr>
              <w:jc w:val="right"/>
              <w:ind w:right="15"/>
              <w:spacing w:after="0"/>
              <w:rPr>
                <w:sz w:val="20"/>
                <w:szCs w:val="20"/>
                <w:color w:val="auto"/>
              </w:rPr>
            </w:pPr>
            <w:r>
              <w:rPr>
                <w:rFonts w:ascii="Arial" w:cs="Arial" w:eastAsia="Arial" w:hAnsi="Arial"/>
                <w:sz w:val="14"/>
                <w:szCs w:val="14"/>
                <w:color w:val="auto"/>
              </w:rPr>
              <w:t>25,507(5)</w:t>
            </w:r>
          </w:p>
        </w:tc>
        <w:tc>
          <w:tcPr>
            <w:tcW w:w="1000" w:type="dxa"/>
            <w:vAlign w:val="bottom"/>
            <w:shd w:val="clear" w:color="auto" w:fill="E5E5E5"/>
          </w:tcPr>
          <w:p>
            <w:pPr>
              <w:jc w:val="right"/>
              <w:ind w:right="95"/>
              <w:spacing w:after="0"/>
              <w:rPr>
                <w:sz w:val="20"/>
                <w:szCs w:val="20"/>
                <w:color w:val="auto"/>
              </w:rPr>
            </w:pPr>
            <w:r>
              <w:rPr>
                <w:rFonts w:ascii="Arial" w:cs="Arial" w:eastAsia="Arial" w:hAnsi="Arial"/>
                <w:sz w:val="14"/>
                <w:szCs w:val="14"/>
                <w:color w:val="auto"/>
              </w:rPr>
              <w:t>1,210,817</w:t>
            </w:r>
          </w:p>
        </w:tc>
        <w:tc>
          <w:tcPr>
            <w:tcW w:w="1080" w:type="dxa"/>
            <w:vAlign w:val="bottom"/>
            <w:shd w:val="clear" w:color="auto" w:fill="E5E5E5"/>
          </w:tcPr>
          <w:p>
            <w:pPr>
              <w:jc w:val="right"/>
              <w:ind w:right="95"/>
              <w:spacing w:after="0"/>
              <w:rPr>
                <w:sz w:val="20"/>
                <w:szCs w:val="20"/>
                <w:color w:val="auto"/>
              </w:rPr>
            </w:pPr>
            <w:r>
              <w:rPr>
                <w:rFonts w:ascii="Arial" w:cs="Arial" w:eastAsia="Arial" w:hAnsi="Arial"/>
                <w:sz w:val="14"/>
                <w:szCs w:val="14"/>
                <w:color w:val="auto"/>
              </w:rPr>
              <w:t>299,487(11)</w:t>
            </w: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14,216,648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180" w:type="dxa"/>
            <w:vAlign w:val="bottom"/>
            <w:shd w:val="clear" w:color="auto" w:fill="E5E5E5"/>
          </w:tcPr>
          <w:p>
            <w:pPr>
              <w:spacing w:after="0"/>
              <w:rPr>
                <w:sz w:val="16"/>
                <w:szCs w:val="16"/>
                <w:color w:val="auto"/>
              </w:rPr>
            </w:pPr>
          </w:p>
        </w:tc>
        <w:tc>
          <w:tcPr>
            <w:tcW w:w="1480" w:type="dxa"/>
            <w:vAlign w:val="bottom"/>
            <w:shd w:val="clear" w:color="auto" w:fill="E5E5E5"/>
          </w:tcPr>
          <w:p>
            <w:pPr>
              <w:jc w:val="right"/>
              <w:ind w:right="291"/>
              <w:spacing w:after="0"/>
              <w:rPr>
                <w:sz w:val="20"/>
                <w:szCs w:val="20"/>
                <w:color w:val="auto"/>
              </w:rPr>
            </w:pPr>
            <w:r>
              <w:rPr>
                <w:rFonts w:ascii="Arial" w:cs="Arial" w:eastAsia="Arial" w:hAnsi="Arial"/>
                <w:sz w:val="14"/>
                <w:szCs w:val="14"/>
                <w:color w:val="auto"/>
              </w:rPr>
              <w:t>225,450</w:t>
            </w:r>
          </w:p>
        </w:tc>
        <w:tc>
          <w:tcPr>
            <w:tcW w:w="1680" w:type="dxa"/>
            <w:vAlign w:val="bottom"/>
            <w:shd w:val="clear" w:color="auto" w:fill="E5E5E5"/>
          </w:tcPr>
          <w:p>
            <w:pPr>
              <w:jc w:val="right"/>
              <w:ind w:right="451"/>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ind w:right="70"/>
              <w:spacing w:after="0"/>
              <w:rPr>
                <w:sz w:val="20"/>
                <w:szCs w:val="20"/>
                <w:color w:val="auto"/>
              </w:rPr>
            </w:pPr>
            <w:r>
              <w:rPr>
                <w:rFonts w:ascii="Arial" w:cs="Arial" w:eastAsia="Arial" w:hAnsi="Arial"/>
                <w:sz w:val="14"/>
                <w:szCs w:val="14"/>
                <w:color w:val="auto"/>
              </w:rPr>
              <w:t>56.43</w:t>
            </w:r>
          </w:p>
        </w:tc>
        <w:tc>
          <w:tcPr>
            <w:tcW w:w="900" w:type="dxa"/>
            <w:vAlign w:val="bottom"/>
            <w:shd w:val="clear" w:color="auto" w:fill="E5E5E5"/>
          </w:tcPr>
          <w:p>
            <w:pPr>
              <w:jc w:val="right"/>
              <w:ind w:right="30"/>
              <w:spacing w:after="0"/>
              <w:rPr>
                <w:sz w:val="20"/>
                <w:szCs w:val="20"/>
                <w:color w:val="auto"/>
              </w:rPr>
            </w:pPr>
            <w:r>
              <w:rPr>
                <w:rFonts w:ascii="Arial" w:cs="Arial" w:eastAsia="Arial" w:hAnsi="Arial"/>
                <w:sz w:val="14"/>
                <w:szCs w:val="14"/>
                <w:color w:val="auto"/>
              </w:rPr>
              <w:t>04-Feb-19</w:t>
            </w:r>
          </w:p>
        </w:tc>
        <w:tc>
          <w:tcPr>
            <w:tcW w:w="84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108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80" w:type="dxa"/>
            <w:vAlign w:val="bottom"/>
            <w:shd w:val="clear" w:color="auto" w:fill="E5E5E5"/>
          </w:tcPr>
          <w:p>
            <w:pPr>
              <w:spacing w:after="0"/>
              <w:rPr>
                <w:sz w:val="16"/>
                <w:szCs w:val="16"/>
                <w:color w:val="auto"/>
              </w:rPr>
            </w:pPr>
          </w:p>
        </w:tc>
        <w:tc>
          <w:tcPr>
            <w:tcW w:w="1480" w:type="dxa"/>
            <w:vAlign w:val="bottom"/>
            <w:shd w:val="clear" w:color="auto" w:fill="E5E5E5"/>
          </w:tcPr>
          <w:p>
            <w:pPr>
              <w:jc w:val="right"/>
              <w:ind w:right="291"/>
              <w:spacing w:after="0"/>
              <w:rPr>
                <w:sz w:val="20"/>
                <w:szCs w:val="20"/>
                <w:color w:val="auto"/>
              </w:rPr>
            </w:pPr>
            <w:r>
              <w:rPr>
                <w:rFonts w:ascii="Arial" w:cs="Arial" w:eastAsia="Arial" w:hAnsi="Arial"/>
                <w:sz w:val="14"/>
                <w:szCs w:val="14"/>
                <w:color w:val="auto"/>
              </w:rPr>
              <w:t>208,890</w:t>
            </w:r>
          </w:p>
        </w:tc>
        <w:tc>
          <w:tcPr>
            <w:tcW w:w="1680" w:type="dxa"/>
            <w:vAlign w:val="bottom"/>
            <w:shd w:val="clear" w:color="auto" w:fill="E5E5E5"/>
          </w:tcPr>
          <w:p>
            <w:pPr>
              <w:jc w:val="right"/>
              <w:ind w:right="451"/>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ind w:right="70"/>
              <w:spacing w:after="0"/>
              <w:rPr>
                <w:sz w:val="20"/>
                <w:szCs w:val="20"/>
                <w:color w:val="auto"/>
              </w:rPr>
            </w:pPr>
            <w:r>
              <w:rPr>
                <w:rFonts w:ascii="Arial" w:cs="Arial" w:eastAsia="Arial" w:hAnsi="Arial"/>
                <w:sz w:val="14"/>
                <w:szCs w:val="14"/>
                <w:color w:val="auto"/>
              </w:rPr>
              <w:t>60.07</w:t>
            </w:r>
          </w:p>
        </w:tc>
        <w:tc>
          <w:tcPr>
            <w:tcW w:w="900" w:type="dxa"/>
            <w:vAlign w:val="bottom"/>
            <w:shd w:val="clear" w:color="auto" w:fill="E5E5E5"/>
          </w:tcPr>
          <w:p>
            <w:pPr>
              <w:jc w:val="right"/>
              <w:ind w:right="30"/>
              <w:spacing w:after="0"/>
              <w:rPr>
                <w:sz w:val="20"/>
                <w:szCs w:val="20"/>
                <w:color w:val="auto"/>
              </w:rPr>
            </w:pPr>
            <w:r>
              <w:rPr>
                <w:rFonts w:ascii="Arial" w:cs="Arial" w:eastAsia="Arial" w:hAnsi="Arial"/>
                <w:sz w:val="14"/>
                <w:szCs w:val="14"/>
                <w:color w:val="auto"/>
              </w:rPr>
              <w:t>03-Feb-20</w:t>
            </w:r>
          </w:p>
        </w:tc>
        <w:tc>
          <w:tcPr>
            <w:tcW w:w="84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108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80" w:type="dxa"/>
            <w:vAlign w:val="bottom"/>
            <w:shd w:val="clear" w:color="auto" w:fill="E5E5E5"/>
          </w:tcPr>
          <w:p>
            <w:pPr>
              <w:spacing w:after="0"/>
              <w:rPr>
                <w:sz w:val="16"/>
                <w:szCs w:val="16"/>
                <w:color w:val="auto"/>
              </w:rPr>
            </w:pPr>
          </w:p>
        </w:tc>
        <w:tc>
          <w:tcPr>
            <w:tcW w:w="1480" w:type="dxa"/>
            <w:vAlign w:val="bottom"/>
            <w:shd w:val="clear" w:color="auto" w:fill="E5E5E5"/>
          </w:tcPr>
          <w:p>
            <w:pPr>
              <w:jc w:val="right"/>
              <w:ind w:right="291"/>
              <w:spacing w:after="0"/>
              <w:rPr>
                <w:sz w:val="20"/>
                <w:szCs w:val="20"/>
                <w:color w:val="auto"/>
              </w:rPr>
            </w:pPr>
            <w:r>
              <w:rPr>
                <w:rFonts w:ascii="Arial" w:cs="Arial" w:eastAsia="Arial" w:hAnsi="Arial"/>
                <w:sz w:val="14"/>
                <w:szCs w:val="14"/>
                <w:color w:val="auto"/>
              </w:rPr>
              <w:t>150,930</w:t>
            </w:r>
          </w:p>
        </w:tc>
        <w:tc>
          <w:tcPr>
            <w:tcW w:w="1680" w:type="dxa"/>
            <w:vAlign w:val="bottom"/>
            <w:shd w:val="clear" w:color="auto" w:fill="E5E5E5"/>
          </w:tcPr>
          <w:p>
            <w:pPr>
              <w:jc w:val="right"/>
              <w:ind w:right="451"/>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ind w:right="70"/>
              <w:spacing w:after="0"/>
              <w:rPr>
                <w:sz w:val="20"/>
                <w:szCs w:val="20"/>
                <w:color w:val="auto"/>
              </w:rPr>
            </w:pPr>
            <w:r>
              <w:rPr>
                <w:rFonts w:ascii="Arial" w:cs="Arial" w:eastAsia="Arial" w:hAnsi="Arial"/>
                <w:sz w:val="14"/>
                <w:szCs w:val="14"/>
                <w:color w:val="auto"/>
              </w:rPr>
              <w:t>83.88</w:t>
            </w:r>
          </w:p>
        </w:tc>
        <w:tc>
          <w:tcPr>
            <w:tcW w:w="900" w:type="dxa"/>
            <w:vAlign w:val="bottom"/>
            <w:shd w:val="clear" w:color="auto" w:fill="E5E5E5"/>
          </w:tcPr>
          <w:p>
            <w:pPr>
              <w:jc w:val="right"/>
              <w:ind w:right="30"/>
              <w:spacing w:after="0"/>
              <w:rPr>
                <w:sz w:val="20"/>
                <w:szCs w:val="20"/>
                <w:color w:val="auto"/>
              </w:rPr>
            </w:pPr>
            <w:r>
              <w:rPr>
                <w:rFonts w:ascii="Arial" w:cs="Arial" w:eastAsia="Arial" w:hAnsi="Arial"/>
                <w:sz w:val="14"/>
                <w:szCs w:val="14"/>
                <w:color w:val="auto"/>
              </w:rPr>
              <w:t>02-Feb-21</w:t>
            </w:r>
          </w:p>
        </w:tc>
        <w:tc>
          <w:tcPr>
            <w:tcW w:w="84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108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80" w:type="dxa"/>
            <w:vAlign w:val="bottom"/>
            <w:shd w:val="clear" w:color="auto" w:fill="E5E5E5"/>
          </w:tcPr>
          <w:p>
            <w:pPr>
              <w:spacing w:after="0"/>
              <w:rPr>
                <w:sz w:val="16"/>
                <w:szCs w:val="16"/>
                <w:color w:val="auto"/>
              </w:rPr>
            </w:pPr>
          </w:p>
        </w:tc>
        <w:tc>
          <w:tcPr>
            <w:tcW w:w="1480" w:type="dxa"/>
            <w:vAlign w:val="bottom"/>
            <w:shd w:val="clear" w:color="auto" w:fill="E5E5E5"/>
          </w:tcPr>
          <w:p>
            <w:pPr>
              <w:jc w:val="right"/>
              <w:ind w:right="291"/>
              <w:spacing w:after="0"/>
              <w:rPr>
                <w:sz w:val="20"/>
                <w:szCs w:val="20"/>
                <w:color w:val="auto"/>
              </w:rPr>
            </w:pPr>
            <w:r>
              <w:rPr>
                <w:rFonts w:ascii="Arial" w:cs="Arial" w:eastAsia="Arial" w:hAnsi="Arial"/>
                <w:sz w:val="14"/>
                <w:szCs w:val="14"/>
                <w:color w:val="auto"/>
              </w:rPr>
              <w:t>73,885</w:t>
            </w:r>
          </w:p>
        </w:tc>
        <w:tc>
          <w:tcPr>
            <w:tcW w:w="1680" w:type="dxa"/>
            <w:vAlign w:val="bottom"/>
            <w:shd w:val="clear" w:color="auto" w:fill="E5E5E5"/>
          </w:tcPr>
          <w:p>
            <w:pPr>
              <w:jc w:val="right"/>
              <w:ind w:right="451"/>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ind w:right="70"/>
              <w:spacing w:after="0"/>
              <w:rPr>
                <w:sz w:val="20"/>
                <w:szCs w:val="20"/>
                <w:color w:val="auto"/>
              </w:rPr>
            </w:pPr>
            <w:r>
              <w:rPr>
                <w:rFonts w:ascii="Arial" w:cs="Arial" w:eastAsia="Arial" w:hAnsi="Arial"/>
                <w:sz w:val="14"/>
                <w:szCs w:val="14"/>
                <w:color w:val="auto"/>
              </w:rPr>
              <w:t>80.35</w:t>
            </w:r>
          </w:p>
        </w:tc>
        <w:tc>
          <w:tcPr>
            <w:tcW w:w="900" w:type="dxa"/>
            <w:vAlign w:val="bottom"/>
            <w:shd w:val="clear" w:color="auto" w:fill="E5E5E5"/>
          </w:tcPr>
          <w:p>
            <w:pPr>
              <w:jc w:val="right"/>
              <w:ind w:right="30"/>
              <w:spacing w:after="0"/>
              <w:rPr>
                <w:sz w:val="20"/>
                <w:szCs w:val="20"/>
                <w:color w:val="auto"/>
              </w:rPr>
            </w:pPr>
            <w:r>
              <w:rPr>
                <w:rFonts w:ascii="Arial" w:cs="Arial" w:eastAsia="Arial" w:hAnsi="Arial"/>
                <w:sz w:val="14"/>
                <w:szCs w:val="14"/>
                <w:color w:val="auto"/>
              </w:rPr>
              <w:t>04-Mar-24</w:t>
            </w:r>
          </w:p>
        </w:tc>
        <w:tc>
          <w:tcPr>
            <w:tcW w:w="84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108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80" w:type="dxa"/>
            <w:vAlign w:val="bottom"/>
            <w:shd w:val="clear" w:color="auto" w:fill="E5E5E5"/>
          </w:tcPr>
          <w:p>
            <w:pPr>
              <w:spacing w:after="0"/>
              <w:rPr>
                <w:sz w:val="16"/>
                <w:szCs w:val="16"/>
                <w:color w:val="auto"/>
              </w:rPr>
            </w:pPr>
          </w:p>
        </w:tc>
        <w:tc>
          <w:tcPr>
            <w:tcW w:w="1480" w:type="dxa"/>
            <w:vAlign w:val="bottom"/>
            <w:shd w:val="clear" w:color="auto" w:fill="E5E5E5"/>
          </w:tcPr>
          <w:p>
            <w:pPr>
              <w:jc w:val="right"/>
              <w:ind w:right="291"/>
              <w:spacing w:after="0"/>
              <w:rPr>
                <w:sz w:val="20"/>
                <w:szCs w:val="20"/>
                <w:color w:val="auto"/>
              </w:rPr>
            </w:pPr>
            <w:r>
              <w:rPr>
                <w:rFonts w:ascii="Arial" w:cs="Arial" w:eastAsia="Arial" w:hAnsi="Arial"/>
                <w:sz w:val="14"/>
                <w:szCs w:val="14"/>
                <w:color w:val="auto"/>
              </w:rPr>
              <w:t>60,317</w:t>
            </w:r>
          </w:p>
        </w:tc>
        <w:tc>
          <w:tcPr>
            <w:tcW w:w="1680" w:type="dxa"/>
            <w:vAlign w:val="bottom"/>
            <w:shd w:val="clear" w:color="auto" w:fill="E5E5E5"/>
          </w:tcPr>
          <w:p>
            <w:pPr>
              <w:jc w:val="right"/>
              <w:ind w:right="211"/>
              <w:spacing w:after="0"/>
              <w:rPr>
                <w:sz w:val="20"/>
                <w:szCs w:val="20"/>
                <w:color w:val="auto"/>
              </w:rPr>
            </w:pPr>
            <w:r>
              <w:rPr>
                <w:rFonts w:ascii="Arial" w:cs="Arial" w:eastAsia="Arial" w:hAnsi="Arial"/>
                <w:sz w:val="14"/>
                <w:szCs w:val="14"/>
                <w:color w:val="auto"/>
              </w:rPr>
              <w:t>30,159(1)</w:t>
            </w:r>
          </w:p>
        </w:tc>
        <w:tc>
          <w:tcPr>
            <w:tcW w:w="860" w:type="dxa"/>
            <w:vAlign w:val="bottom"/>
            <w:shd w:val="clear" w:color="auto" w:fill="E5E5E5"/>
          </w:tcPr>
          <w:p>
            <w:pPr>
              <w:jc w:val="right"/>
              <w:ind w:right="70"/>
              <w:spacing w:after="0"/>
              <w:rPr>
                <w:sz w:val="20"/>
                <w:szCs w:val="20"/>
                <w:color w:val="auto"/>
              </w:rPr>
            </w:pPr>
            <w:r>
              <w:rPr>
                <w:rFonts w:ascii="Arial" w:cs="Arial" w:eastAsia="Arial" w:hAnsi="Arial"/>
                <w:sz w:val="14"/>
                <w:szCs w:val="14"/>
                <w:color w:val="auto"/>
              </w:rPr>
              <w:t>74.49</w:t>
            </w:r>
          </w:p>
        </w:tc>
        <w:tc>
          <w:tcPr>
            <w:tcW w:w="900" w:type="dxa"/>
            <w:vAlign w:val="bottom"/>
            <w:shd w:val="clear" w:color="auto" w:fill="E5E5E5"/>
          </w:tcPr>
          <w:p>
            <w:pPr>
              <w:jc w:val="right"/>
              <w:ind w:right="30"/>
              <w:spacing w:after="0"/>
              <w:rPr>
                <w:sz w:val="20"/>
                <w:szCs w:val="20"/>
                <w:color w:val="auto"/>
              </w:rPr>
            </w:pPr>
            <w:r>
              <w:rPr>
                <w:rFonts w:ascii="Arial" w:cs="Arial" w:eastAsia="Arial" w:hAnsi="Arial"/>
                <w:sz w:val="14"/>
                <w:szCs w:val="14"/>
                <w:color w:val="auto"/>
              </w:rPr>
              <w:t>03-Mar-25</w:t>
            </w:r>
          </w:p>
        </w:tc>
        <w:tc>
          <w:tcPr>
            <w:tcW w:w="84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108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80" w:type="dxa"/>
            <w:vAlign w:val="bottom"/>
            <w:shd w:val="clear" w:color="auto" w:fill="E5E5E5"/>
          </w:tcPr>
          <w:p>
            <w:pPr>
              <w:spacing w:after="0"/>
              <w:rPr>
                <w:sz w:val="16"/>
                <w:szCs w:val="16"/>
                <w:color w:val="auto"/>
              </w:rPr>
            </w:pPr>
          </w:p>
        </w:tc>
        <w:tc>
          <w:tcPr>
            <w:tcW w:w="1480" w:type="dxa"/>
            <w:vAlign w:val="bottom"/>
            <w:shd w:val="clear" w:color="auto" w:fill="E5E5E5"/>
          </w:tcPr>
          <w:p>
            <w:pPr>
              <w:jc w:val="right"/>
              <w:ind w:right="291"/>
              <w:spacing w:after="0"/>
              <w:rPr>
                <w:sz w:val="20"/>
                <w:szCs w:val="20"/>
                <w:color w:val="auto"/>
              </w:rPr>
            </w:pPr>
            <w:r>
              <w:rPr>
                <w:rFonts w:ascii="Arial" w:cs="Arial" w:eastAsia="Arial" w:hAnsi="Arial"/>
                <w:sz w:val="14"/>
                <w:szCs w:val="14"/>
                <w:color w:val="auto"/>
              </w:rPr>
              <w:t>71,315</w:t>
            </w:r>
          </w:p>
        </w:tc>
        <w:tc>
          <w:tcPr>
            <w:tcW w:w="1680" w:type="dxa"/>
            <w:vAlign w:val="bottom"/>
            <w:shd w:val="clear" w:color="auto" w:fill="E5E5E5"/>
          </w:tcPr>
          <w:p>
            <w:pPr>
              <w:jc w:val="right"/>
              <w:ind w:right="211"/>
              <w:spacing w:after="0"/>
              <w:rPr>
                <w:sz w:val="20"/>
                <w:szCs w:val="20"/>
                <w:color w:val="auto"/>
              </w:rPr>
            </w:pPr>
            <w:r>
              <w:rPr>
                <w:rFonts w:ascii="Arial" w:cs="Arial" w:eastAsia="Arial" w:hAnsi="Arial"/>
                <w:sz w:val="14"/>
                <w:szCs w:val="14"/>
                <w:color w:val="auto"/>
              </w:rPr>
              <w:t>142,630(2)</w:t>
            </w:r>
          </w:p>
        </w:tc>
        <w:tc>
          <w:tcPr>
            <w:tcW w:w="860" w:type="dxa"/>
            <w:vAlign w:val="bottom"/>
            <w:shd w:val="clear" w:color="auto" w:fill="E5E5E5"/>
          </w:tcPr>
          <w:p>
            <w:pPr>
              <w:jc w:val="right"/>
              <w:ind w:right="70"/>
              <w:spacing w:after="0"/>
              <w:rPr>
                <w:sz w:val="20"/>
                <w:szCs w:val="20"/>
                <w:color w:val="auto"/>
              </w:rPr>
            </w:pPr>
            <w:r>
              <w:rPr>
                <w:rFonts w:ascii="Arial" w:cs="Arial" w:eastAsia="Arial" w:hAnsi="Arial"/>
                <w:sz w:val="14"/>
                <w:szCs w:val="14"/>
                <w:color w:val="auto"/>
              </w:rPr>
              <w:t>44,31</w:t>
            </w:r>
          </w:p>
        </w:tc>
        <w:tc>
          <w:tcPr>
            <w:tcW w:w="900" w:type="dxa"/>
            <w:vAlign w:val="bottom"/>
            <w:shd w:val="clear" w:color="auto" w:fill="E5E5E5"/>
          </w:tcPr>
          <w:p>
            <w:pPr>
              <w:jc w:val="right"/>
              <w:ind w:right="30"/>
              <w:spacing w:after="0"/>
              <w:rPr>
                <w:sz w:val="20"/>
                <w:szCs w:val="20"/>
                <w:color w:val="auto"/>
              </w:rPr>
            </w:pPr>
            <w:r>
              <w:rPr>
                <w:rFonts w:ascii="Arial" w:cs="Arial" w:eastAsia="Arial" w:hAnsi="Arial"/>
                <w:sz w:val="14"/>
                <w:szCs w:val="14"/>
                <w:color w:val="auto"/>
              </w:rPr>
              <w:t>01-Mar-26</w:t>
            </w:r>
          </w:p>
        </w:tc>
        <w:tc>
          <w:tcPr>
            <w:tcW w:w="84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108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180" w:type="dxa"/>
            <w:vAlign w:val="bottom"/>
            <w:shd w:val="clear" w:color="auto" w:fill="E5E5E5"/>
          </w:tcPr>
          <w:p>
            <w:pPr>
              <w:spacing w:after="0"/>
              <w:rPr>
                <w:sz w:val="17"/>
                <w:szCs w:val="17"/>
                <w:color w:val="auto"/>
              </w:rPr>
            </w:pPr>
          </w:p>
        </w:tc>
        <w:tc>
          <w:tcPr>
            <w:tcW w:w="1480" w:type="dxa"/>
            <w:vAlign w:val="bottom"/>
            <w:shd w:val="clear" w:color="auto" w:fill="E5E5E5"/>
          </w:tcPr>
          <w:p>
            <w:pPr>
              <w:jc w:val="right"/>
              <w:ind w:right="371"/>
              <w:spacing w:after="0"/>
              <w:rPr>
                <w:sz w:val="20"/>
                <w:szCs w:val="20"/>
                <w:color w:val="auto"/>
              </w:rPr>
            </w:pPr>
            <w:r>
              <w:rPr>
                <w:rFonts w:ascii="Arial" w:cs="Arial" w:eastAsia="Arial" w:hAnsi="Arial"/>
                <w:sz w:val="14"/>
                <w:szCs w:val="14"/>
                <w:color w:val="auto"/>
              </w:rPr>
              <w:t>—</w:t>
            </w:r>
          </w:p>
        </w:tc>
        <w:tc>
          <w:tcPr>
            <w:tcW w:w="1680" w:type="dxa"/>
            <w:vAlign w:val="bottom"/>
            <w:shd w:val="clear" w:color="auto" w:fill="E5E5E5"/>
          </w:tcPr>
          <w:p>
            <w:pPr>
              <w:jc w:val="right"/>
              <w:ind w:right="211"/>
              <w:spacing w:after="0"/>
              <w:rPr>
                <w:sz w:val="20"/>
                <w:szCs w:val="20"/>
                <w:color w:val="auto"/>
              </w:rPr>
            </w:pPr>
            <w:r>
              <w:rPr>
                <w:rFonts w:ascii="Arial" w:cs="Arial" w:eastAsia="Arial" w:hAnsi="Arial"/>
                <w:sz w:val="14"/>
                <w:szCs w:val="14"/>
                <w:color w:val="auto"/>
              </w:rPr>
              <w:t>176,775(3)</w:t>
            </w:r>
          </w:p>
        </w:tc>
        <w:tc>
          <w:tcPr>
            <w:tcW w:w="860" w:type="dxa"/>
            <w:vAlign w:val="bottom"/>
            <w:shd w:val="clear" w:color="auto" w:fill="E5E5E5"/>
          </w:tcPr>
          <w:p>
            <w:pPr>
              <w:jc w:val="right"/>
              <w:ind w:right="70"/>
              <w:spacing w:after="0"/>
              <w:rPr>
                <w:sz w:val="20"/>
                <w:szCs w:val="20"/>
                <w:color w:val="auto"/>
              </w:rPr>
            </w:pPr>
            <w:r>
              <w:rPr>
                <w:rFonts w:ascii="Arial" w:cs="Arial" w:eastAsia="Arial" w:hAnsi="Arial"/>
                <w:sz w:val="14"/>
                <w:szCs w:val="14"/>
                <w:color w:val="auto"/>
              </w:rPr>
              <w:t>51.03</w:t>
            </w:r>
          </w:p>
        </w:tc>
        <w:tc>
          <w:tcPr>
            <w:tcW w:w="900" w:type="dxa"/>
            <w:vAlign w:val="bottom"/>
            <w:shd w:val="clear" w:color="auto" w:fill="E5E5E5"/>
          </w:tcPr>
          <w:p>
            <w:pPr>
              <w:jc w:val="right"/>
              <w:ind w:right="30"/>
              <w:spacing w:after="0"/>
              <w:rPr>
                <w:sz w:val="20"/>
                <w:szCs w:val="20"/>
                <w:color w:val="auto"/>
              </w:rPr>
            </w:pPr>
            <w:r>
              <w:rPr>
                <w:rFonts w:ascii="Arial" w:cs="Arial" w:eastAsia="Arial" w:hAnsi="Arial"/>
                <w:sz w:val="14"/>
                <w:szCs w:val="14"/>
                <w:color w:val="auto"/>
              </w:rPr>
              <w:t>06-Mar-27</w:t>
            </w:r>
          </w:p>
        </w:tc>
        <w:tc>
          <w:tcPr>
            <w:tcW w:w="840" w:type="dxa"/>
            <w:vAlign w:val="bottom"/>
            <w:shd w:val="clear" w:color="auto" w:fill="E5E5E5"/>
          </w:tcPr>
          <w:p>
            <w:pPr>
              <w:spacing w:after="0"/>
              <w:rPr>
                <w:sz w:val="17"/>
                <w:szCs w:val="17"/>
                <w:color w:val="auto"/>
              </w:rPr>
            </w:pPr>
          </w:p>
        </w:tc>
        <w:tc>
          <w:tcPr>
            <w:tcW w:w="1000" w:type="dxa"/>
            <w:vAlign w:val="bottom"/>
            <w:shd w:val="clear" w:color="auto" w:fill="E5E5E5"/>
          </w:tcPr>
          <w:p>
            <w:pPr>
              <w:spacing w:after="0"/>
              <w:rPr>
                <w:sz w:val="17"/>
                <w:szCs w:val="17"/>
                <w:color w:val="auto"/>
              </w:rPr>
            </w:pPr>
          </w:p>
        </w:tc>
        <w:tc>
          <w:tcPr>
            <w:tcW w:w="108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180" w:type="dxa"/>
            <w:vAlign w:val="bottom"/>
          </w:tcPr>
          <w:p>
            <w:pPr>
              <w:ind w:left="80"/>
              <w:spacing w:after="0"/>
              <w:rPr>
                <w:sz w:val="20"/>
                <w:szCs w:val="20"/>
                <w:color w:val="auto"/>
              </w:rPr>
            </w:pPr>
            <w:r>
              <w:rPr>
                <w:rFonts w:ascii="Arial" w:cs="Arial" w:eastAsia="Arial" w:hAnsi="Arial"/>
                <w:sz w:val="14"/>
                <w:szCs w:val="14"/>
                <w:b w:val="1"/>
                <w:bCs w:val="1"/>
                <w:color w:val="007549"/>
              </w:rPr>
              <w:t>Hill, Gregory P</w:t>
            </w:r>
          </w:p>
        </w:tc>
        <w:tc>
          <w:tcPr>
            <w:tcW w:w="1480" w:type="dxa"/>
            <w:vAlign w:val="bottom"/>
          </w:tcPr>
          <w:p>
            <w:pPr>
              <w:jc w:val="right"/>
              <w:ind w:right="291"/>
              <w:spacing w:after="0"/>
              <w:rPr>
                <w:sz w:val="20"/>
                <w:szCs w:val="20"/>
                <w:color w:val="auto"/>
              </w:rPr>
            </w:pPr>
            <w:r>
              <w:rPr>
                <w:rFonts w:ascii="Arial" w:cs="Arial" w:eastAsia="Arial" w:hAnsi="Arial"/>
                <w:sz w:val="14"/>
                <w:szCs w:val="14"/>
                <w:color w:val="auto"/>
              </w:rPr>
              <w:t>37,305</w:t>
            </w:r>
          </w:p>
        </w:tc>
        <w:tc>
          <w:tcPr>
            <w:tcW w:w="1680" w:type="dxa"/>
            <w:vAlign w:val="bottom"/>
          </w:tcPr>
          <w:p>
            <w:pPr>
              <w:jc w:val="right"/>
              <w:ind w:right="45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60.07</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03-Feb-20</w:t>
            </w:r>
          </w:p>
        </w:tc>
        <w:tc>
          <w:tcPr>
            <w:tcW w:w="840" w:type="dxa"/>
            <w:vAlign w:val="bottom"/>
          </w:tcPr>
          <w:p>
            <w:pPr>
              <w:jc w:val="right"/>
              <w:ind w:right="15"/>
              <w:spacing w:after="0"/>
              <w:rPr>
                <w:sz w:val="20"/>
                <w:szCs w:val="20"/>
                <w:color w:val="auto"/>
              </w:rPr>
            </w:pPr>
            <w:r>
              <w:rPr>
                <w:rFonts w:ascii="Arial" w:cs="Arial" w:eastAsia="Arial" w:hAnsi="Arial"/>
                <w:sz w:val="14"/>
                <w:szCs w:val="14"/>
                <w:color w:val="auto"/>
              </w:rPr>
              <w:t>49,333(6)</w:t>
            </w:r>
          </w:p>
        </w:tc>
        <w:tc>
          <w:tcPr>
            <w:tcW w:w="1000" w:type="dxa"/>
            <w:vAlign w:val="bottom"/>
          </w:tcPr>
          <w:p>
            <w:pPr>
              <w:jc w:val="right"/>
              <w:ind w:right="95"/>
              <w:spacing w:after="0"/>
              <w:rPr>
                <w:sz w:val="20"/>
                <w:szCs w:val="20"/>
                <w:color w:val="auto"/>
              </w:rPr>
            </w:pPr>
            <w:r>
              <w:rPr>
                <w:rFonts w:ascii="Arial" w:cs="Arial" w:eastAsia="Arial" w:hAnsi="Arial"/>
                <w:sz w:val="14"/>
                <w:szCs w:val="14"/>
                <w:color w:val="auto"/>
              </w:rPr>
              <w:t>2,341,838</w:t>
            </w:r>
          </w:p>
        </w:tc>
        <w:tc>
          <w:tcPr>
            <w:tcW w:w="1080" w:type="dxa"/>
            <w:vAlign w:val="bottom"/>
          </w:tcPr>
          <w:p>
            <w:pPr>
              <w:jc w:val="right"/>
              <w:ind w:right="95"/>
              <w:spacing w:after="0"/>
              <w:rPr>
                <w:sz w:val="20"/>
                <w:szCs w:val="20"/>
                <w:color w:val="auto"/>
              </w:rPr>
            </w:pPr>
            <w:r>
              <w:rPr>
                <w:rFonts w:ascii="Arial" w:cs="Arial" w:eastAsia="Arial" w:hAnsi="Arial"/>
                <w:sz w:val="14"/>
                <w:szCs w:val="14"/>
                <w:color w:val="auto"/>
              </w:rPr>
              <w:t>138,294(12)</w:t>
            </w:r>
          </w:p>
        </w:tc>
        <w:tc>
          <w:tcPr>
            <w:tcW w:w="840" w:type="dxa"/>
            <w:vAlign w:val="bottom"/>
          </w:tcPr>
          <w:p>
            <w:pPr>
              <w:jc w:val="right"/>
              <w:spacing w:after="0"/>
              <w:rPr>
                <w:sz w:val="20"/>
                <w:szCs w:val="20"/>
                <w:color w:val="auto"/>
              </w:rPr>
            </w:pPr>
            <w:r>
              <w:rPr>
                <w:rFonts w:ascii="Arial" w:cs="Arial" w:eastAsia="Arial" w:hAnsi="Arial"/>
                <w:sz w:val="14"/>
                <w:szCs w:val="14"/>
                <w:color w:val="auto"/>
              </w:rPr>
              <w:t>6,564,816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180" w:type="dxa"/>
            <w:vAlign w:val="bottom"/>
          </w:tcPr>
          <w:p>
            <w:pPr>
              <w:spacing w:after="0"/>
              <w:rPr>
                <w:sz w:val="16"/>
                <w:szCs w:val="16"/>
                <w:color w:val="auto"/>
              </w:rPr>
            </w:pPr>
          </w:p>
        </w:tc>
        <w:tc>
          <w:tcPr>
            <w:tcW w:w="1480" w:type="dxa"/>
            <w:vAlign w:val="bottom"/>
          </w:tcPr>
          <w:p>
            <w:pPr>
              <w:jc w:val="right"/>
              <w:ind w:right="291"/>
              <w:spacing w:after="0"/>
              <w:rPr>
                <w:sz w:val="20"/>
                <w:szCs w:val="20"/>
                <w:color w:val="auto"/>
              </w:rPr>
            </w:pPr>
            <w:r>
              <w:rPr>
                <w:rFonts w:ascii="Arial" w:cs="Arial" w:eastAsia="Arial" w:hAnsi="Arial"/>
                <w:sz w:val="14"/>
                <w:szCs w:val="14"/>
                <w:color w:val="auto"/>
              </w:rPr>
              <w:t>62,145</w:t>
            </w:r>
          </w:p>
        </w:tc>
        <w:tc>
          <w:tcPr>
            <w:tcW w:w="1680" w:type="dxa"/>
            <w:vAlign w:val="bottom"/>
          </w:tcPr>
          <w:p>
            <w:pPr>
              <w:jc w:val="right"/>
              <w:ind w:right="45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83.88</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02-Feb-21</w:t>
            </w: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80" w:type="dxa"/>
            <w:vAlign w:val="bottom"/>
          </w:tcPr>
          <w:p>
            <w:pPr>
              <w:spacing w:after="0"/>
              <w:rPr>
                <w:sz w:val="16"/>
                <w:szCs w:val="16"/>
                <w:color w:val="auto"/>
              </w:rPr>
            </w:pPr>
          </w:p>
        </w:tc>
        <w:tc>
          <w:tcPr>
            <w:tcW w:w="1480" w:type="dxa"/>
            <w:vAlign w:val="bottom"/>
          </w:tcPr>
          <w:p>
            <w:pPr>
              <w:jc w:val="right"/>
              <w:ind w:right="291"/>
              <w:spacing w:after="0"/>
              <w:rPr>
                <w:sz w:val="20"/>
                <w:szCs w:val="20"/>
                <w:color w:val="auto"/>
              </w:rPr>
            </w:pPr>
            <w:r>
              <w:rPr>
                <w:rFonts w:ascii="Arial" w:cs="Arial" w:eastAsia="Arial" w:hAnsi="Arial"/>
                <w:sz w:val="14"/>
                <w:szCs w:val="14"/>
                <w:color w:val="auto"/>
              </w:rPr>
              <w:t>41,028</w:t>
            </w:r>
          </w:p>
        </w:tc>
        <w:tc>
          <w:tcPr>
            <w:tcW w:w="1680" w:type="dxa"/>
            <w:vAlign w:val="bottom"/>
          </w:tcPr>
          <w:p>
            <w:pPr>
              <w:jc w:val="right"/>
              <w:ind w:right="45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80.35</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04-Mar-24</w:t>
            </w: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80" w:type="dxa"/>
            <w:vAlign w:val="bottom"/>
          </w:tcPr>
          <w:p>
            <w:pPr>
              <w:spacing w:after="0"/>
              <w:rPr>
                <w:sz w:val="16"/>
                <w:szCs w:val="16"/>
                <w:color w:val="auto"/>
              </w:rPr>
            </w:pPr>
          </w:p>
        </w:tc>
        <w:tc>
          <w:tcPr>
            <w:tcW w:w="1480" w:type="dxa"/>
            <w:vAlign w:val="bottom"/>
          </w:tcPr>
          <w:p>
            <w:pPr>
              <w:jc w:val="right"/>
              <w:ind w:right="291"/>
              <w:spacing w:after="0"/>
              <w:rPr>
                <w:sz w:val="20"/>
                <w:szCs w:val="20"/>
                <w:color w:val="auto"/>
              </w:rPr>
            </w:pPr>
            <w:r>
              <w:rPr>
                <w:rFonts w:ascii="Arial" w:cs="Arial" w:eastAsia="Arial" w:hAnsi="Arial"/>
                <w:sz w:val="14"/>
                <w:szCs w:val="14"/>
                <w:color w:val="auto"/>
              </w:rPr>
              <w:t>30,000</w:t>
            </w:r>
          </w:p>
        </w:tc>
        <w:tc>
          <w:tcPr>
            <w:tcW w:w="1680" w:type="dxa"/>
            <w:vAlign w:val="bottom"/>
          </w:tcPr>
          <w:p>
            <w:pPr>
              <w:jc w:val="right"/>
              <w:ind w:right="211"/>
              <w:spacing w:after="0"/>
              <w:rPr>
                <w:sz w:val="20"/>
                <w:szCs w:val="20"/>
                <w:color w:val="auto"/>
              </w:rPr>
            </w:pPr>
            <w:r>
              <w:rPr>
                <w:rFonts w:ascii="Arial" w:cs="Arial" w:eastAsia="Arial" w:hAnsi="Arial"/>
                <w:sz w:val="14"/>
                <w:szCs w:val="14"/>
                <w:color w:val="auto"/>
              </w:rPr>
              <w:t>15,000(1)</w:t>
            </w: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74.49</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03-Mar-25</w:t>
            </w: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80" w:type="dxa"/>
            <w:vAlign w:val="bottom"/>
          </w:tcPr>
          <w:p>
            <w:pPr>
              <w:spacing w:after="0"/>
              <w:rPr>
                <w:sz w:val="16"/>
                <w:szCs w:val="16"/>
                <w:color w:val="auto"/>
              </w:rPr>
            </w:pPr>
          </w:p>
        </w:tc>
        <w:tc>
          <w:tcPr>
            <w:tcW w:w="1480" w:type="dxa"/>
            <w:vAlign w:val="bottom"/>
          </w:tcPr>
          <w:p>
            <w:pPr>
              <w:jc w:val="right"/>
              <w:ind w:right="291"/>
              <w:spacing w:after="0"/>
              <w:rPr>
                <w:sz w:val="20"/>
                <w:szCs w:val="20"/>
                <w:color w:val="auto"/>
              </w:rPr>
            </w:pPr>
            <w:r>
              <w:rPr>
                <w:rFonts w:ascii="Arial" w:cs="Arial" w:eastAsia="Arial" w:hAnsi="Arial"/>
                <w:sz w:val="14"/>
                <w:szCs w:val="14"/>
                <w:color w:val="auto"/>
              </w:rPr>
              <w:t>23,632</w:t>
            </w:r>
          </w:p>
        </w:tc>
        <w:tc>
          <w:tcPr>
            <w:tcW w:w="1680" w:type="dxa"/>
            <w:vAlign w:val="bottom"/>
          </w:tcPr>
          <w:p>
            <w:pPr>
              <w:jc w:val="right"/>
              <w:ind w:right="211"/>
              <w:spacing w:after="0"/>
              <w:rPr>
                <w:sz w:val="20"/>
                <w:szCs w:val="20"/>
                <w:color w:val="auto"/>
              </w:rPr>
            </w:pPr>
            <w:r>
              <w:rPr>
                <w:rFonts w:ascii="Arial" w:cs="Arial" w:eastAsia="Arial" w:hAnsi="Arial"/>
                <w:sz w:val="14"/>
                <w:szCs w:val="14"/>
                <w:color w:val="auto"/>
              </w:rPr>
              <w:t>47,264(2)</w:t>
            </w: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44.31</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01-Mar-26</w:t>
            </w: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1480" w:type="dxa"/>
            <w:vAlign w:val="bottom"/>
          </w:tcPr>
          <w:p>
            <w:pPr>
              <w:jc w:val="right"/>
              <w:ind w:right="371"/>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211"/>
              <w:spacing w:after="0"/>
              <w:rPr>
                <w:sz w:val="20"/>
                <w:szCs w:val="20"/>
                <w:color w:val="auto"/>
              </w:rPr>
            </w:pPr>
            <w:r>
              <w:rPr>
                <w:rFonts w:ascii="Arial" w:cs="Arial" w:eastAsia="Arial" w:hAnsi="Arial"/>
                <w:sz w:val="14"/>
                <w:szCs w:val="14"/>
                <w:color w:val="auto"/>
              </w:rPr>
              <w:t>65,127(3)</w:t>
            </w: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51.03</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06-Mar-27</w:t>
            </w: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180" w:type="dxa"/>
            <w:vAlign w:val="bottom"/>
            <w:shd w:val="clear" w:color="auto" w:fill="E5E5E5"/>
          </w:tcPr>
          <w:p>
            <w:pPr>
              <w:ind w:left="80"/>
              <w:spacing w:after="0"/>
              <w:rPr>
                <w:sz w:val="20"/>
                <w:szCs w:val="20"/>
                <w:color w:val="auto"/>
              </w:rPr>
            </w:pPr>
            <w:r>
              <w:rPr>
                <w:rFonts w:ascii="Arial" w:cs="Arial" w:eastAsia="Arial" w:hAnsi="Arial"/>
                <w:sz w:val="14"/>
                <w:szCs w:val="14"/>
                <w:b w:val="1"/>
                <w:bCs w:val="1"/>
                <w:color w:val="007549"/>
              </w:rPr>
              <w:t>Goodell, Timothy B</w:t>
            </w:r>
          </w:p>
        </w:tc>
        <w:tc>
          <w:tcPr>
            <w:tcW w:w="1480" w:type="dxa"/>
            <w:vAlign w:val="bottom"/>
            <w:shd w:val="clear" w:color="auto" w:fill="E5E5E5"/>
          </w:tcPr>
          <w:p>
            <w:pPr>
              <w:jc w:val="right"/>
              <w:ind w:right="291"/>
              <w:spacing w:after="0"/>
              <w:rPr>
                <w:sz w:val="20"/>
                <w:szCs w:val="20"/>
                <w:color w:val="auto"/>
              </w:rPr>
            </w:pPr>
            <w:r>
              <w:rPr>
                <w:rFonts w:ascii="Arial" w:cs="Arial" w:eastAsia="Arial" w:hAnsi="Arial"/>
                <w:sz w:val="14"/>
                <w:szCs w:val="14"/>
                <w:color w:val="auto"/>
              </w:rPr>
              <w:t>66,000</w:t>
            </w:r>
          </w:p>
        </w:tc>
        <w:tc>
          <w:tcPr>
            <w:tcW w:w="1680" w:type="dxa"/>
            <w:vAlign w:val="bottom"/>
            <w:shd w:val="clear" w:color="auto" w:fill="E5E5E5"/>
          </w:tcPr>
          <w:p>
            <w:pPr>
              <w:jc w:val="right"/>
              <w:ind w:right="451"/>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ind w:right="70"/>
              <w:spacing w:after="0"/>
              <w:rPr>
                <w:sz w:val="20"/>
                <w:szCs w:val="20"/>
                <w:color w:val="auto"/>
              </w:rPr>
            </w:pPr>
            <w:r>
              <w:rPr>
                <w:rFonts w:ascii="Arial" w:cs="Arial" w:eastAsia="Arial" w:hAnsi="Arial"/>
                <w:sz w:val="14"/>
                <w:szCs w:val="14"/>
                <w:color w:val="auto"/>
              </w:rPr>
              <w:t>56.43</w:t>
            </w:r>
          </w:p>
        </w:tc>
        <w:tc>
          <w:tcPr>
            <w:tcW w:w="900" w:type="dxa"/>
            <w:vAlign w:val="bottom"/>
            <w:shd w:val="clear" w:color="auto" w:fill="E5E5E5"/>
          </w:tcPr>
          <w:p>
            <w:pPr>
              <w:jc w:val="right"/>
              <w:ind w:right="30"/>
              <w:spacing w:after="0"/>
              <w:rPr>
                <w:sz w:val="20"/>
                <w:szCs w:val="20"/>
                <w:color w:val="auto"/>
              </w:rPr>
            </w:pPr>
            <w:r>
              <w:rPr>
                <w:rFonts w:ascii="Arial" w:cs="Arial" w:eastAsia="Arial" w:hAnsi="Arial"/>
                <w:sz w:val="14"/>
                <w:szCs w:val="14"/>
                <w:color w:val="auto"/>
              </w:rPr>
              <w:t>04-Feb-19</w:t>
            </w:r>
          </w:p>
        </w:tc>
        <w:tc>
          <w:tcPr>
            <w:tcW w:w="840" w:type="dxa"/>
            <w:vAlign w:val="bottom"/>
            <w:shd w:val="clear" w:color="auto" w:fill="E5E5E5"/>
          </w:tcPr>
          <w:p>
            <w:pPr>
              <w:jc w:val="right"/>
              <w:ind w:right="15"/>
              <w:spacing w:after="0"/>
              <w:rPr>
                <w:sz w:val="20"/>
                <w:szCs w:val="20"/>
                <w:color w:val="auto"/>
              </w:rPr>
            </w:pPr>
            <w:r>
              <w:rPr>
                <w:rFonts w:ascii="Arial" w:cs="Arial" w:eastAsia="Arial" w:hAnsi="Arial"/>
                <w:sz w:val="14"/>
                <w:szCs w:val="14"/>
                <w:color w:val="auto"/>
              </w:rPr>
              <w:t>20,882(7)</w:t>
            </w:r>
          </w:p>
        </w:tc>
        <w:tc>
          <w:tcPr>
            <w:tcW w:w="1000" w:type="dxa"/>
            <w:vAlign w:val="bottom"/>
            <w:shd w:val="clear" w:color="auto" w:fill="E5E5E5"/>
          </w:tcPr>
          <w:p>
            <w:pPr>
              <w:jc w:val="right"/>
              <w:ind w:right="95"/>
              <w:spacing w:after="0"/>
              <w:rPr>
                <w:sz w:val="20"/>
                <w:szCs w:val="20"/>
                <w:color w:val="auto"/>
              </w:rPr>
            </w:pPr>
            <w:r>
              <w:rPr>
                <w:rFonts w:ascii="Arial" w:cs="Arial" w:eastAsia="Arial" w:hAnsi="Arial"/>
                <w:sz w:val="14"/>
                <w:szCs w:val="14"/>
                <w:color w:val="auto"/>
              </w:rPr>
              <w:t>991,269</w:t>
            </w:r>
          </w:p>
        </w:tc>
        <w:tc>
          <w:tcPr>
            <w:tcW w:w="1080" w:type="dxa"/>
            <w:vAlign w:val="bottom"/>
            <w:shd w:val="clear" w:color="auto" w:fill="E5E5E5"/>
          </w:tcPr>
          <w:p>
            <w:pPr>
              <w:jc w:val="right"/>
              <w:ind w:right="95"/>
              <w:spacing w:after="0"/>
              <w:rPr>
                <w:sz w:val="20"/>
                <w:szCs w:val="20"/>
                <w:color w:val="auto"/>
              </w:rPr>
            </w:pPr>
            <w:r>
              <w:rPr>
                <w:rFonts w:ascii="Arial" w:cs="Arial" w:eastAsia="Arial" w:hAnsi="Arial"/>
                <w:sz w:val="14"/>
                <w:szCs w:val="14"/>
                <w:color w:val="auto"/>
              </w:rPr>
              <w:t>58,537(13)</w:t>
            </w: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2,778,751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180" w:type="dxa"/>
            <w:vAlign w:val="bottom"/>
            <w:shd w:val="clear" w:color="auto" w:fill="E5E5E5"/>
          </w:tcPr>
          <w:p>
            <w:pPr>
              <w:spacing w:after="0"/>
              <w:rPr>
                <w:sz w:val="16"/>
                <w:szCs w:val="16"/>
                <w:color w:val="auto"/>
              </w:rPr>
            </w:pPr>
          </w:p>
        </w:tc>
        <w:tc>
          <w:tcPr>
            <w:tcW w:w="1480" w:type="dxa"/>
            <w:vAlign w:val="bottom"/>
            <w:shd w:val="clear" w:color="auto" w:fill="E5E5E5"/>
          </w:tcPr>
          <w:p>
            <w:pPr>
              <w:jc w:val="right"/>
              <w:ind w:right="291"/>
              <w:spacing w:after="0"/>
              <w:rPr>
                <w:sz w:val="20"/>
                <w:szCs w:val="20"/>
                <w:color w:val="auto"/>
              </w:rPr>
            </w:pPr>
            <w:r>
              <w:rPr>
                <w:rFonts w:ascii="Arial" w:cs="Arial" w:eastAsia="Arial" w:hAnsi="Arial"/>
                <w:sz w:val="14"/>
                <w:szCs w:val="14"/>
                <w:color w:val="auto"/>
              </w:rPr>
              <w:t>49,740</w:t>
            </w:r>
          </w:p>
        </w:tc>
        <w:tc>
          <w:tcPr>
            <w:tcW w:w="1680" w:type="dxa"/>
            <w:vAlign w:val="bottom"/>
            <w:shd w:val="clear" w:color="auto" w:fill="E5E5E5"/>
          </w:tcPr>
          <w:p>
            <w:pPr>
              <w:jc w:val="right"/>
              <w:ind w:right="451"/>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ind w:right="70"/>
              <w:spacing w:after="0"/>
              <w:rPr>
                <w:sz w:val="20"/>
                <w:szCs w:val="20"/>
                <w:color w:val="auto"/>
              </w:rPr>
            </w:pPr>
            <w:r>
              <w:rPr>
                <w:rFonts w:ascii="Arial" w:cs="Arial" w:eastAsia="Arial" w:hAnsi="Arial"/>
                <w:sz w:val="14"/>
                <w:szCs w:val="14"/>
                <w:color w:val="auto"/>
              </w:rPr>
              <w:t>60.07</w:t>
            </w:r>
          </w:p>
        </w:tc>
        <w:tc>
          <w:tcPr>
            <w:tcW w:w="900" w:type="dxa"/>
            <w:vAlign w:val="bottom"/>
            <w:shd w:val="clear" w:color="auto" w:fill="E5E5E5"/>
          </w:tcPr>
          <w:p>
            <w:pPr>
              <w:jc w:val="right"/>
              <w:ind w:right="30"/>
              <w:spacing w:after="0"/>
              <w:rPr>
                <w:sz w:val="20"/>
                <w:szCs w:val="20"/>
                <w:color w:val="auto"/>
              </w:rPr>
            </w:pPr>
            <w:r>
              <w:rPr>
                <w:rFonts w:ascii="Arial" w:cs="Arial" w:eastAsia="Arial" w:hAnsi="Arial"/>
                <w:sz w:val="14"/>
                <w:szCs w:val="14"/>
                <w:color w:val="auto"/>
              </w:rPr>
              <w:t>03-Feb-20</w:t>
            </w:r>
          </w:p>
        </w:tc>
        <w:tc>
          <w:tcPr>
            <w:tcW w:w="84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108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80" w:type="dxa"/>
            <w:vAlign w:val="bottom"/>
            <w:shd w:val="clear" w:color="auto" w:fill="E5E5E5"/>
          </w:tcPr>
          <w:p>
            <w:pPr>
              <w:spacing w:after="0"/>
              <w:rPr>
                <w:sz w:val="16"/>
                <w:szCs w:val="16"/>
                <w:color w:val="auto"/>
              </w:rPr>
            </w:pPr>
          </w:p>
        </w:tc>
        <w:tc>
          <w:tcPr>
            <w:tcW w:w="1480" w:type="dxa"/>
            <w:vAlign w:val="bottom"/>
            <w:shd w:val="clear" w:color="auto" w:fill="E5E5E5"/>
          </w:tcPr>
          <w:p>
            <w:pPr>
              <w:jc w:val="right"/>
              <w:ind w:right="291"/>
              <w:spacing w:after="0"/>
              <w:rPr>
                <w:sz w:val="20"/>
                <w:szCs w:val="20"/>
                <w:color w:val="auto"/>
              </w:rPr>
            </w:pPr>
            <w:r>
              <w:rPr>
                <w:rFonts w:ascii="Arial" w:cs="Arial" w:eastAsia="Arial" w:hAnsi="Arial"/>
                <w:sz w:val="14"/>
                <w:szCs w:val="14"/>
                <w:color w:val="auto"/>
              </w:rPr>
              <w:t>35,505</w:t>
            </w:r>
          </w:p>
        </w:tc>
        <w:tc>
          <w:tcPr>
            <w:tcW w:w="1680" w:type="dxa"/>
            <w:vAlign w:val="bottom"/>
            <w:shd w:val="clear" w:color="auto" w:fill="E5E5E5"/>
          </w:tcPr>
          <w:p>
            <w:pPr>
              <w:jc w:val="right"/>
              <w:ind w:right="451"/>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ind w:right="70"/>
              <w:spacing w:after="0"/>
              <w:rPr>
                <w:sz w:val="20"/>
                <w:szCs w:val="20"/>
                <w:color w:val="auto"/>
              </w:rPr>
            </w:pPr>
            <w:r>
              <w:rPr>
                <w:rFonts w:ascii="Arial" w:cs="Arial" w:eastAsia="Arial" w:hAnsi="Arial"/>
                <w:sz w:val="14"/>
                <w:szCs w:val="14"/>
                <w:color w:val="auto"/>
              </w:rPr>
              <w:t>83.88</w:t>
            </w:r>
          </w:p>
        </w:tc>
        <w:tc>
          <w:tcPr>
            <w:tcW w:w="900" w:type="dxa"/>
            <w:vAlign w:val="bottom"/>
            <w:shd w:val="clear" w:color="auto" w:fill="E5E5E5"/>
          </w:tcPr>
          <w:p>
            <w:pPr>
              <w:jc w:val="right"/>
              <w:ind w:right="30"/>
              <w:spacing w:after="0"/>
              <w:rPr>
                <w:sz w:val="20"/>
                <w:szCs w:val="20"/>
                <w:color w:val="auto"/>
              </w:rPr>
            </w:pPr>
            <w:r>
              <w:rPr>
                <w:rFonts w:ascii="Arial" w:cs="Arial" w:eastAsia="Arial" w:hAnsi="Arial"/>
                <w:sz w:val="14"/>
                <w:szCs w:val="14"/>
                <w:color w:val="auto"/>
              </w:rPr>
              <w:t>02-Feb-21</w:t>
            </w:r>
          </w:p>
        </w:tc>
        <w:tc>
          <w:tcPr>
            <w:tcW w:w="84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108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80" w:type="dxa"/>
            <w:vAlign w:val="bottom"/>
            <w:shd w:val="clear" w:color="auto" w:fill="E5E5E5"/>
          </w:tcPr>
          <w:p>
            <w:pPr>
              <w:spacing w:after="0"/>
              <w:rPr>
                <w:sz w:val="16"/>
                <w:szCs w:val="16"/>
                <w:color w:val="auto"/>
              </w:rPr>
            </w:pPr>
          </w:p>
        </w:tc>
        <w:tc>
          <w:tcPr>
            <w:tcW w:w="1480" w:type="dxa"/>
            <w:vAlign w:val="bottom"/>
            <w:shd w:val="clear" w:color="auto" w:fill="E5E5E5"/>
          </w:tcPr>
          <w:p>
            <w:pPr>
              <w:jc w:val="right"/>
              <w:ind w:right="291"/>
              <w:spacing w:after="0"/>
              <w:rPr>
                <w:sz w:val="20"/>
                <w:szCs w:val="20"/>
                <w:color w:val="auto"/>
              </w:rPr>
            </w:pPr>
            <w:r>
              <w:rPr>
                <w:rFonts w:ascii="Arial" w:cs="Arial" w:eastAsia="Arial" w:hAnsi="Arial"/>
                <w:sz w:val="14"/>
                <w:szCs w:val="14"/>
                <w:color w:val="auto"/>
              </w:rPr>
              <w:t>17,385</w:t>
            </w:r>
          </w:p>
        </w:tc>
        <w:tc>
          <w:tcPr>
            <w:tcW w:w="1680" w:type="dxa"/>
            <w:vAlign w:val="bottom"/>
            <w:shd w:val="clear" w:color="auto" w:fill="E5E5E5"/>
          </w:tcPr>
          <w:p>
            <w:pPr>
              <w:jc w:val="right"/>
              <w:ind w:right="451"/>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ind w:right="70"/>
              <w:spacing w:after="0"/>
              <w:rPr>
                <w:sz w:val="20"/>
                <w:szCs w:val="20"/>
                <w:color w:val="auto"/>
              </w:rPr>
            </w:pPr>
            <w:r>
              <w:rPr>
                <w:rFonts w:ascii="Arial" w:cs="Arial" w:eastAsia="Arial" w:hAnsi="Arial"/>
                <w:sz w:val="14"/>
                <w:szCs w:val="14"/>
                <w:color w:val="auto"/>
              </w:rPr>
              <w:t>80.35</w:t>
            </w:r>
          </w:p>
        </w:tc>
        <w:tc>
          <w:tcPr>
            <w:tcW w:w="900" w:type="dxa"/>
            <w:vAlign w:val="bottom"/>
            <w:shd w:val="clear" w:color="auto" w:fill="E5E5E5"/>
          </w:tcPr>
          <w:p>
            <w:pPr>
              <w:jc w:val="right"/>
              <w:ind w:right="30"/>
              <w:spacing w:after="0"/>
              <w:rPr>
                <w:sz w:val="20"/>
                <w:szCs w:val="20"/>
                <w:color w:val="auto"/>
              </w:rPr>
            </w:pPr>
            <w:r>
              <w:rPr>
                <w:rFonts w:ascii="Arial" w:cs="Arial" w:eastAsia="Arial" w:hAnsi="Arial"/>
                <w:sz w:val="14"/>
                <w:szCs w:val="14"/>
                <w:color w:val="auto"/>
              </w:rPr>
              <w:t>04-Mar-24</w:t>
            </w:r>
          </w:p>
        </w:tc>
        <w:tc>
          <w:tcPr>
            <w:tcW w:w="84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108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80" w:type="dxa"/>
            <w:vAlign w:val="bottom"/>
            <w:shd w:val="clear" w:color="auto" w:fill="E5E5E5"/>
          </w:tcPr>
          <w:p>
            <w:pPr>
              <w:spacing w:after="0"/>
              <w:rPr>
                <w:sz w:val="16"/>
                <w:szCs w:val="16"/>
                <w:color w:val="auto"/>
              </w:rPr>
            </w:pPr>
          </w:p>
        </w:tc>
        <w:tc>
          <w:tcPr>
            <w:tcW w:w="1480" w:type="dxa"/>
            <w:vAlign w:val="bottom"/>
            <w:shd w:val="clear" w:color="auto" w:fill="E5E5E5"/>
          </w:tcPr>
          <w:p>
            <w:pPr>
              <w:jc w:val="right"/>
              <w:ind w:right="291"/>
              <w:spacing w:after="0"/>
              <w:rPr>
                <w:sz w:val="20"/>
                <w:szCs w:val="20"/>
                <w:color w:val="auto"/>
              </w:rPr>
            </w:pPr>
            <w:r>
              <w:rPr>
                <w:rFonts w:ascii="Arial" w:cs="Arial" w:eastAsia="Arial" w:hAnsi="Arial"/>
                <w:sz w:val="14"/>
                <w:szCs w:val="14"/>
                <w:color w:val="auto"/>
              </w:rPr>
              <w:t>12,698</w:t>
            </w:r>
          </w:p>
        </w:tc>
        <w:tc>
          <w:tcPr>
            <w:tcW w:w="1680" w:type="dxa"/>
            <w:vAlign w:val="bottom"/>
            <w:shd w:val="clear" w:color="auto" w:fill="E5E5E5"/>
          </w:tcPr>
          <w:p>
            <w:pPr>
              <w:jc w:val="right"/>
              <w:ind w:right="211"/>
              <w:spacing w:after="0"/>
              <w:rPr>
                <w:sz w:val="20"/>
                <w:szCs w:val="20"/>
                <w:color w:val="auto"/>
              </w:rPr>
            </w:pPr>
            <w:r>
              <w:rPr>
                <w:rFonts w:ascii="Arial" w:cs="Arial" w:eastAsia="Arial" w:hAnsi="Arial"/>
                <w:sz w:val="14"/>
                <w:szCs w:val="14"/>
                <w:color w:val="auto"/>
              </w:rPr>
              <w:t>6,350(1)</w:t>
            </w:r>
          </w:p>
        </w:tc>
        <w:tc>
          <w:tcPr>
            <w:tcW w:w="860" w:type="dxa"/>
            <w:vAlign w:val="bottom"/>
            <w:shd w:val="clear" w:color="auto" w:fill="E5E5E5"/>
          </w:tcPr>
          <w:p>
            <w:pPr>
              <w:jc w:val="right"/>
              <w:ind w:right="70"/>
              <w:spacing w:after="0"/>
              <w:rPr>
                <w:sz w:val="20"/>
                <w:szCs w:val="20"/>
                <w:color w:val="auto"/>
              </w:rPr>
            </w:pPr>
            <w:r>
              <w:rPr>
                <w:rFonts w:ascii="Arial" w:cs="Arial" w:eastAsia="Arial" w:hAnsi="Arial"/>
                <w:sz w:val="14"/>
                <w:szCs w:val="14"/>
                <w:color w:val="auto"/>
              </w:rPr>
              <w:t>74.49</w:t>
            </w:r>
          </w:p>
        </w:tc>
        <w:tc>
          <w:tcPr>
            <w:tcW w:w="900" w:type="dxa"/>
            <w:vAlign w:val="bottom"/>
            <w:shd w:val="clear" w:color="auto" w:fill="E5E5E5"/>
          </w:tcPr>
          <w:p>
            <w:pPr>
              <w:jc w:val="right"/>
              <w:ind w:right="30"/>
              <w:spacing w:after="0"/>
              <w:rPr>
                <w:sz w:val="20"/>
                <w:szCs w:val="20"/>
                <w:color w:val="auto"/>
              </w:rPr>
            </w:pPr>
            <w:r>
              <w:rPr>
                <w:rFonts w:ascii="Arial" w:cs="Arial" w:eastAsia="Arial" w:hAnsi="Arial"/>
                <w:sz w:val="14"/>
                <w:szCs w:val="14"/>
                <w:color w:val="auto"/>
              </w:rPr>
              <w:t>03-Mar-25</w:t>
            </w:r>
          </w:p>
        </w:tc>
        <w:tc>
          <w:tcPr>
            <w:tcW w:w="84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108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80" w:type="dxa"/>
            <w:vAlign w:val="bottom"/>
            <w:shd w:val="clear" w:color="auto" w:fill="E5E5E5"/>
          </w:tcPr>
          <w:p>
            <w:pPr>
              <w:spacing w:after="0"/>
              <w:rPr>
                <w:sz w:val="16"/>
                <w:szCs w:val="16"/>
                <w:color w:val="auto"/>
              </w:rPr>
            </w:pPr>
          </w:p>
        </w:tc>
        <w:tc>
          <w:tcPr>
            <w:tcW w:w="1480" w:type="dxa"/>
            <w:vAlign w:val="bottom"/>
            <w:shd w:val="clear" w:color="auto" w:fill="E5E5E5"/>
          </w:tcPr>
          <w:p>
            <w:pPr>
              <w:jc w:val="right"/>
              <w:ind w:right="291"/>
              <w:spacing w:after="0"/>
              <w:rPr>
                <w:sz w:val="20"/>
                <w:szCs w:val="20"/>
                <w:color w:val="auto"/>
              </w:rPr>
            </w:pPr>
            <w:r>
              <w:rPr>
                <w:rFonts w:ascii="Arial" w:cs="Arial" w:eastAsia="Arial" w:hAnsi="Arial"/>
                <w:sz w:val="14"/>
                <w:szCs w:val="14"/>
                <w:color w:val="auto"/>
              </w:rPr>
              <w:t>10,003</w:t>
            </w:r>
          </w:p>
        </w:tc>
        <w:tc>
          <w:tcPr>
            <w:tcW w:w="1680" w:type="dxa"/>
            <w:vAlign w:val="bottom"/>
            <w:shd w:val="clear" w:color="auto" w:fill="E5E5E5"/>
          </w:tcPr>
          <w:p>
            <w:pPr>
              <w:jc w:val="right"/>
              <w:ind w:right="211"/>
              <w:spacing w:after="0"/>
              <w:rPr>
                <w:sz w:val="20"/>
                <w:szCs w:val="20"/>
                <w:color w:val="auto"/>
              </w:rPr>
            </w:pPr>
            <w:r>
              <w:rPr>
                <w:rFonts w:ascii="Arial" w:cs="Arial" w:eastAsia="Arial" w:hAnsi="Arial"/>
                <w:sz w:val="14"/>
                <w:szCs w:val="14"/>
                <w:color w:val="auto"/>
              </w:rPr>
              <w:t>20,006(2)</w:t>
            </w:r>
          </w:p>
        </w:tc>
        <w:tc>
          <w:tcPr>
            <w:tcW w:w="860" w:type="dxa"/>
            <w:vAlign w:val="bottom"/>
            <w:shd w:val="clear" w:color="auto" w:fill="E5E5E5"/>
          </w:tcPr>
          <w:p>
            <w:pPr>
              <w:jc w:val="right"/>
              <w:ind w:right="70"/>
              <w:spacing w:after="0"/>
              <w:rPr>
                <w:sz w:val="20"/>
                <w:szCs w:val="20"/>
                <w:color w:val="auto"/>
              </w:rPr>
            </w:pPr>
            <w:r>
              <w:rPr>
                <w:rFonts w:ascii="Arial" w:cs="Arial" w:eastAsia="Arial" w:hAnsi="Arial"/>
                <w:sz w:val="14"/>
                <w:szCs w:val="14"/>
                <w:color w:val="auto"/>
              </w:rPr>
              <w:t>44.31</w:t>
            </w:r>
          </w:p>
        </w:tc>
        <w:tc>
          <w:tcPr>
            <w:tcW w:w="900" w:type="dxa"/>
            <w:vAlign w:val="bottom"/>
            <w:shd w:val="clear" w:color="auto" w:fill="E5E5E5"/>
          </w:tcPr>
          <w:p>
            <w:pPr>
              <w:jc w:val="right"/>
              <w:ind w:right="30"/>
              <w:spacing w:after="0"/>
              <w:rPr>
                <w:sz w:val="20"/>
                <w:szCs w:val="20"/>
                <w:color w:val="auto"/>
              </w:rPr>
            </w:pPr>
            <w:r>
              <w:rPr>
                <w:rFonts w:ascii="Arial" w:cs="Arial" w:eastAsia="Arial" w:hAnsi="Arial"/>
                <w:sz w:val="14"/>
                <w:szCs w:val="14"/>
                <w:color w:val="auto"/>
              </w:rPr>
              <w:t>01-Mar-26</w:t>
            </w:r>
          </w:p>
        </w:tc>
        <w:tc>
          <w:tcPr>
            <w:tcW w:w="84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108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180" w:type="dxa"/>
            <w:vAlign w:val="bottom"/>
            <w:shd w:val="clear" w:color="auto" w:fill="E5E5E5"/>
          </w:tcPr>
          <w:p>
            <w:pPr>
              <w:spacing w:after="0"/>
              <w:rPr>
                <w:sz w:val="17"/>
                <w:szCs w:val="17"/>
                <w:color w:val="auto"/>
              </w:rPr>
            </w:pPr>
          </w:p>
        </w:tc>
        <w:tc>
          <w:tcPr>
            <w:tcW w:w="1480" w:type="dxa"/>
            <w:vAlign w:val="bottom"/>
            <w:shd w:val="clear" w:color="auto" w:fill="E5E5E5"/>
          </w:tcPr>
          <w:p>
            <w:pPr>
              <w:jc w:val="right"/>
              <w:ind w:right="371"/>
              <w:spacing w:after="0"/>
              <w:rPr>
                <w:sz w:val="20"/>
                <w:szCs w:val="20"/>
                <w:color w:val="auto"/>
              </w:rPr>
            </w:pPr>
            <w:r>
              <w:rPr>
                <w:rFonts w:ascii="Arial" w:cs="Arial" w:eastAsia="Arial" w:hAnsi="Arial"/>
                <w:sz w:val="14"/>
                <w:szCs w:val="14"/>
                <w:color w:val="auto"/>
              </w:rPr>
              <w:t>—</w:t>
            </w:r>
          </w:p>
        </w:tc>
        <w:tc>
          <w:tcPr>
            <w:tcW w:w="1680" w:type="dxa"/>
            <w:vAlign w:val="bottom"/>
            <w:shd w:val="clear" w:color="auto" w:fill="E5E5E5"/>
          </w:tcPr>
          <w:p>
            <w:pPr>
              <w:jc w:val="right"/>
              <w:ind w:right="211"/>
              <w:spacing w:after="0"/>
              <w:rPr>
                <w:sz w:val="20"/>
                <w:szCs w:val="20"/>
                <w:color w:val="auto"/>
              </w:rPr>
            </w:pPr>
            <w:r>
              <w:rPr>
                <w:rFonts w:ascii="Arial" w:cs="Arial" w:eastAsia="Arial" w:hAnsi="Arial"/>
                <w:sz w:val="14"/>
                <w:szCs w:val="14"/>
                <w:color w:val="auto"/>
              </w:rPr>
              <w:t>27,567(3)</w:t>
            </w:r>
          </w:p>
        </w:tc>
        <w:tc>
          <w:tcPr>
            <w:tcW w:w="860" w:type="dxa"/>
            <w:vAlign w:val="bottom"/>
            <w:shd w:val="clear" w:color="auto" w:fill="E5E5E5"/>
          </w:tcPr>
          <w:p>
            <w:pPr>
              <w:jc w:val="right"/>
              <w:ind w:right="70"/>
              <w:spacing w:after="0"/>
              <w:rPr>
                <w:sz w:val="20"/>
                <w:szCs w:val="20"/>
                <w:color w:val="auto"/>
              </w:rPr>
            </w:pPr>
            <w:r>
              <w:rPr>
                <w:rFonts w:ascii="Arial" w:cs="Arial" w:eastAsia="Arial" w:hAnsi="Arial"/>
                <w:sz w:val="14"/>
                <w:szCs w:val="14"/>
                <w:color w:val="auto"/>
              </w:rPr>
              <w:t>51.03</w:t>
            </w:r>
          </w:p>
        </w:tc>
        <w:tc>
          <w:tcPr>
            <w:tcW w:w="900" w:type="dxa"/>
            <w:vAlign w:val="bottom"/>
            <w:shd w:val="clear" w:color="auto" w:fill="E5E5E5"/>
          </w:tcPr>
          <w:p>
            <w:pPr>
              <w:jc w:val="right"/>
              <w:ind w:right="30"/>
              <w:spacing w:after="0"/>
              <w:rPr>
                <w:sz w:val="20"/>
                <w:szCs w:val="20"/>
                <w:color w:val="auto"/>
              </w:rPr>
            </w:pPr>
            <w:r>
              <w:rPr>
                <w:rFonts w:ascii="Arial" w:cs="Arial" w:eastAsia="Arial" w:hAnsi="Arial"/>
                <w:sz w:val="14"/>
                <w:szCs w:val="14"/>
                <w:color w:val="auto"/>
              </w:rPr>
              <w:t>06-Mar-27</w:t>
            </w:r>
          </w:p>
        </w:tc>
        <w:tc>
          <w:tcPr>
            <w:tcW w:w="840" w:type="dxa"/>
            <w:vAlign w:val="bottom"/>
            <w:shd w:val="clear" w:color="auto" w:fill="E5E5E5"/>
          </w:tcPr>
          <w:p>
            <w:pPr>
              <w:spacing w:after="0"/>
              <w:rPr>
                <w:sz w:val="17"/>
                <w:szCs w:val="17"/>
                <w:color w:val="auto"/>
              </w:rPr>
            </w:pPr>
          </w:p>
        </w:tc>
        <w:tc>
          <w:tcPr>
            <w:tcW w:w="1000" w:type="dxa"/>
            <w:vAlign w:val="bottom"/>
            <w:shd w:val="clear" w:color="auto" w:fill="E5E5E5"/>
          </w:tcPr>
          <w:p>
            <w:pPr>
              <w:spacing w:after="0"/>
              <w:rPr>
                <w:sz w:val="17"/>
                <w:szCs w:val="17"/>
                <w:color w:val="auto"/>
              </w:rPr>
            </w:pPr>
          </w:p>
        </w:tc>
        <w:tc>
          <w:tcPr>
            <w:tcW w:w="108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180" w:type="dxa"/>
            <w:vAlign w:val="bottom"/>
          </w:tcPr>
          <w:p>
            <w:pPr>
              <w:ind w:left="80"/>
              <w:spacing w:after="0"/>
              <w:rPr>
                <w:sz w:val="20"/>
                <w:szCs w:val="20"/>
                <w:color w:val="auto"/>
              </w:rPr>
            </w:pPr>
            <w:r>
              <w:rPr>
                <w:rFonts w:ascii="Arial" w:cs="Arial" w:eastAsia="Arial" w:hAnsi="Arial"/>
                <w:sz w:val="14"/>
                <w:szCs w:val="14"/>
                <w:b w:val="1"/>
                <w:bCs w:val="1"/>
                <w:color w:val="007549"/>
              </w:rPr>
              <w:t>Rielly, John P</w:t>
            </w:r>
          </w:p>
        </w:tc>
        <w:tc>
          <w:tcPr>
            <w:tcW w:w="1480" w:type="dxa"/>
            <w:vAlign w:val="bottom"/>
          </w:tcPr>
          <w:p>
            <w:pPr>
              <w:jc w:val="right"/>
              <w:ind w:right="291"/>
              <w:spacing w:after="0"/>
              <w:rPr>
                <w:sz w:val="20"/>
                <w:szCs w:val="20"/>
                <w:color w:val="auto"/>
              </w:rPr>
            </w:pPr>
            <w:r>
              <w:rPr>
                <w:rFonts w:ascii="Arial" w:cs="Arial" w:eastAsia="Arial" w:hAnsi="Arial"/>
                <w:sz w:val="14"/>
                <w:szCs w:val="14"/>
                <w:color w:val="auto"/>
              </w:rPr>
              <w:t>45,000</w:t>
            </w:r>
          </w:p>
        </w:tc>
        <w:tc>
          <w:tcPr>
            <w:tcW w:w="1680" w:type="dxa"/>
            <w:vAlign w:val="bottom"/>
          </w:tcPr>
          <w:p>
            <w:pPr>
              <w:jc w:val="right"/>
              <w:ind w:right="45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81.85</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06-Feb-18</w:t>
            </w:r>
          </w:p>
        </w:tc>
        <w:tc>
          <w:tcPr>
            <w:tcW w:w="840" w:type="dxa"/>
            <w:vAlign w:val="bottom"/>
          </w:tcPr>
          <w:p>
            <w:pPr>
              <w:jc w:val="right"/>
              <w:ind w:right="15"/>
              <w:spacing w:after="0"/>
              <w:rPr>
                <w:sz w:val="20"/>
                <w:szCs w:val="20"/>
                <w:color w:val="auto"/>
              </w:rPr>
            </w:pPr>
            <w:r>
              <w:rPr>
                <w:rFonts w:ascii="Arial" w:cs="Arial" w:eastAsia="Arial" w:hAnsi="Arial"/>
                <w:sz w:val="14"/>
                <w:szCs w:val="14"/>
                <w:color w:val="auto"/>
              </w:rPr>
              <w:t>20,882(7)</w:t>
            </w:r>
          </w:p>
        </w:tc>
        <w:tc>
          <w:tcPr>
            <w:tcW w:w="1000" w:type="dxa"/>
            <w:vAlign w:val="bottom"/>
          </w:tcPr>
          <w:p>
            <w:pPr>
              <w:jc w:val="right"/>
              <w:ind w:right="95"/>
              <w:spacing w:after="0"/>
              <w:rPr>
                <w:sz w:val="20"/>
                <w:szCs w:val="20"/>
                <w:color w:val="auto"/>
              </w:rPr>
            </w:pPr>
            <w:r>
              <w:rPr>
                <w:rFonts w:ascii="Arial" w:cs="Arial" w:eastAsia="Arial" w:hAnsi="Arial"/>
                <w:sz w:val="14"/>
                <w:szCs w:val="14"/>
                <w:color w:val="auto"/>
              </w:rPr>
              <w:t>991,269</w:t>
            </w:r>
          </w:p>
        </w:tc>
        <w:tc>
          <w:tcPr>
            <w:tcW w:w="1080" w:type="dxa"/>
            <w:vAlign w:val="bottom"/>
          </w:tcPr>
          <w:p>
            <w:pPr>
              <w:jc w:val="right"/>
              <w:ind w:right="95"/>
              <w:spacing w:after="0"/>
              <w:rPr>
                <w:sz w:val="20"/>
                <w:szCs w:val="20"/>
                <w:color w:val="auto"/>
              </w:rPr>
            </w:pPr>
            <w:r>
              <w:rPr>
                <w:rFonts w:ascii="Arial" w:cs="Arial" w:eastAsia="Arial" w:hAnsi="Arial"/>
                <w:sz w:val="14"/>
                <w:szCs w:val="14"/>
                <w:color w:val="auto"/>
              </w:rPr>
              <w:t>58,537(13)</w:t>
            </w:r>
          </w:p>
        </w:tc>
        <w:tc>
          <w:tcPr>
            <w:tcW w:w="840" w:type="dxa"/>
            <w:vAlign w:val="bottom"/>
          </w:tcPr>
          <w:p>
            <w:pPr>
              <w:jc w:val="right"/>
              <w:spacing w:after="0"/>
              <w:rPr>
                <w:sz w:val="20"/>
                <w:szCs w:val="20"/>
                <w:color w:val="auto"/>
              </w:rPr>
            </w:pPr>
            <w:r>
              <w:rPr>
                <w:rFonts w:ascii="Arial" w:cs="Arial" w:eastAsia="Arial" w:hAnsi="Arial"/>
                <w:sz w:val="14"/>
                <w:szCs w:val="14"/>
                <w:color w:val="auto"/>
              </w:rPr>
              <w:t>2,778,751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180" w:type="dxa"/>
            <w:vAlign w:val="bottom"/>
          </w:tcPr>
          <w:p>
            <w:pPr>
              <w:spacing w:after="0"/>
              <w:rPr>
                <w:sz w:val="16"/>
                <w:szCs w:val="16"/>
                <w:color w:val="auto"/>
              </w:rPr>
            </w:pPr>
          </w:p>
        </w:tc>
        <w:tc>
          <w:tcPr>
            <w:tcW w:w="1480" w:type="dxa"/>
            <w:vAlign w:val="bottom"/>
          </w:tcPr>
          <w:p>
            <w:pPr>
              <w:jc w:val="right"/>
              <w:ind w:right="291"/>
              <w:spacing w:after="0"/>
              <w:rPr>
                <w:sz w:val="20"/>
                <w:szCs w:val="20"/>
                <w:color w:val="auto"/>
              </w:rPr>
            </w:pPr>
            <w:r>
              <w:rPr>
                <w:rFonts w:ascii="Arial" w:cs="Arial" w:eastAsia="Arial" w:hAnsi="Arial"/>
                <w:sz w:val="14"/>
                <w:szCs w:val="14"/>
                <w:color w:val="auto"/>
              </w:rPr>
              <w:t>54,600</w:t>
            </w:r>
          </w:p>
        </w:tc>
        <w:tc>
          <w:tcPr>
            <w:tcW w:w="1680" w:type="dxa"/>
            <w:vAlign w:val="bottom"/>
          </w:tcPr>
          <w:p>
            <w:pPr>
              <w:jc w:val="right"/>
              <w:ind w:right="45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56.43</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04-Feb-19</w:t>
            </w: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80" w:type="dxa"/>
            <w:vAlign w:val="bottom"/>
          </w:tcPr>
          <w:p>
            <w:pPr>
              <w:spacing w:after="0"/>
              <w:rPr>
                <w:sz w:val="16"/>
                <w:szCs w:val="16"/>
                <w:color w:val="auto"/>
              </w:rPr>
            </w:pPr>
          </w:p>
        </w:tc>
        <w:tc>
          <w:tcPr>
            <w:tcW w:w="1480" w:type="dxa"/>
            <w:vAlign w:val="bottom"/>
          </w:tcPr>
          <w:p>
            <w:pPr>
              <w:jc w:val="right"/>
              <w:ind w:right="291"/>
              <w:spacing w:after="0"/>
              <w:rPr>
                <w:sz w:val="20"/>
                <w:szCs w:val="20"/>
                <w:color w:val="auto"/>
              </w:rPr>
            </w:pPr>
            <w:r>
              <w:rPr>
                <w:rFonts w:ascii="Arial" w:cs="Arial" w:eastAsia="Arial" w:hAnsi="Arial"/>
                <w:sz w:val="14"/>
                <w:szCs w:val="14"/>
                <w:color w:val="auto"/>
              </w:rPr>
              <w:t>49,740</w:t>
            </w:r>
          </w:p>
        </w:tc>
        <w:tc>
          <w:tcPr>
            <w:tcW w:w="1680" w:type="dxa"/>
            <w:vAlign w:val="bottom"/>
          </w:tcPr>
          <w:p>
            <w:pPr>
              <w:jc w:val="right"/>
              <w:ind w:right="45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60.07</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03-Feb-20</w:t>
            </w: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80" w:type="dxa"/>
            <w:vAlign w:val="bottom"/>
          </w:tcPr>
          <w:p>
            <w:pPr>
              <w:spacing w:after="0"/>
              <w:rPr>
                <w:sz w:val="16"/>
                <w:szCs w:val="16"/>
                <w:color w:val="auto"/>
              </w:rPr>
            </w:pPr>
          </w:p>
        </w:tc>
        <w:tc>
          <w:tcPr>
            <w:tcW w:w="1480" w:type="dxa"/>
            <w:vAlign w:val="bottom"/>
          </w:tcPr>
          <w:p>
            <w:pPr>
              <w:jc w:val="right"/>
              <w:ind w:right="291"/>
              <w:spacing w:after="0"/>
              <w:rPr>
                <w:sz w:val="20"/>
                <w:szCs w:val="20"/>
                <w:color w:val="auto"/>
              </w:rPr>
            </w:pPr>
            <w:r>
              <w:rPr>
                <w:rFonts w:ascii="Arial" w:cs="Arial" w:eastAsia="Arial" w:hAnsi="Arial"/>
                <w:sz w:val="14"/>
                <w:szCs w:val="14"/>
                <w:color w:val="auto"/>
              </w:rPr>
              <w:t>35,505</w:t>
            </w:r>
          </w:p>
        </w:tc>
        <w:tc>
          <w:tcPr>
            <w:tcW w:w="1680" w:type="dxa"/>
            <w:vAlign w:val="bottom"/>
          </w:tcPr>
          <w:p>
            <w:pPr>
              <w:jc w:val="right"/>
              <w:ind w:right="45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83.88</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02-Feb-21</w:t>
            </w: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80" w:type="dxa"/>
            <w:vAlign w:val="bottom"/>
          </w:tcPr>
          <w:p>
            <w:pPr>
              <w:spacing w:after="0"/>
              <w:rPr>
                <w:sz w:val="16"/>
                <w:szCs w:val="16"/>
                <w:color w:val="auto"/>
              </w:rPr>
            </w:pPr>
          </w:p>
        </w:tc>
        <w:tc>
          <w:tcPr>
            <w:tcW w:w="1480" w:type="dxa"/>
            <w:vAlign w:val="bottom"/>
          </w:tcPr>
          <w:p>
            <w:pPr>
              <w:jc w:val="right"/>
              <w:ind w:right="291"/>
              <w:spacing w:after="0"/>
              <w:rPr>
                <w:sz w:val="20"/>
                <w:szCs w:val="20"/>
                <w:color w:val="auto"/>
              </w:rPr>
            </w:pPr>
            <w:r>
              <w:rPr>
                <w:rFonts w:ascii="Arial" w:cs="Arial" w:eastAsia="Arial" w:hAnsi="Arial"/>
                <w:sz w:val="14"/>
                <w:szCs w:val="14"/>
                <w:color w:val="auto"/>
              </w:rPr>
              <w:t>17,385</w:t>
            </w:r>
          </w:p>
        </w:tc>
        <w:tc>
          <w:tcPr>
            <w:tcW w:w="1680" w:type="dxa"/>
            <w:vAlign w:val="bottom"/>
          </w:tcPr>
          <w:p>
            <w:pPr>
              <w:jc w:val="right"/>
              <w:ind w:right="45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80.35</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04-Mar-24</w:t>
            </w: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80" w:type="dxa"/>
            <w:vAlign w:val="bottom"/>
          </w:tcPr>
          <w:p>
            <w:pPr>
              <w:spacing w:after="0"/>
              <w:rPr>
                <w:sz w:val="16"/>
                <w:szCs w:val="16"/>
                <w:color w:val="auto"/>
              </w:rPr>
            </w:pPr>
          </w:p>
        </w:tc>
        <w:tc>
          <w:tcPr>
            <w:tcW w:w="1480" w:type="dxa"/>
            <w:vAlign w:val="bottom"/>
          </w:tcPr>
          <w:p>
            <w:pPr>
              <w:jc w:val="right"/>
              <w:ind w:right="291"/>
              <w:spacing w:after="0"/>
              <w:rPr>
                <w:sz w:val="20"/>
                <w:szCs w:val="20"/>
                <w:color w:val="auto"/>
              </w:rPr>
            </w:pPr>
            <w:r>
              <w:rPr>
                <w:rFonts w:ascii="Arial" w:cs="Arial" w:eastAsia="Arial" w:hAnsi="Arial"/>
                <w:sz w:val="14"/>
                <w:szCs w:val="14"/>
                <w:color w:val="auto"/>
              </w:rPr>
              <w:t>12,698</w:t>
            </w:r>
          </w:p>
        </w:tc>
        <w:tc>
          <w:tcPr>
            <w:tcW w:w="1680" w:type="dxa"/>
            <w:vAlign w:val="bottom"/>
          </w:tcPr>
          <w:p>
            <w:pPr>
              <w:jc w:val="right"/>
              <w:ind w:right="211"/>
              <w:spacing w:after="0"/>
              <w:rPr>
                <w:sz w:val="20"/>
                <w:szCs w:val="20"/>
                <w:color w:val="auto"/>
              </w:rPr>
            </w:pPr>
            <w:r>
              <w:rPr>
                <w:rFonts w:ascii="Arial" w:cs="Arial" w:eastAsia="Arial" w:hAnsi="Arial"/>
                <w:sz w:val="14"/>
                <w:szCs w:val="14"/>
                <w:color w:val="auto"/>
              </w:rPr>
              <w:t>6,350(1)</w:t>
            </w: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74.49</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03-Mar-25</w:t>
            </w: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80" w:type="dxa"/>
            <w:vAlign w:val="bottom"/>
          </w:tcPr>
          <w:p>
            <w:pPr>
              <w:spacing w:after="0"/>
              <w:rPr>
                <w:sz w:val="16"/>
                <w:szCs w:val="16"/>
                <w:color w:val="auto"/>
              </w:rPr>
            </w:pPr>
          </w:p>
        </w:tc>
        <w:tc>
          <w:tcPr>
            <w:tcW w:w="1480" w:type="dxa"/>
            <w:vAlign w:val="bottom"/>
          </w:tcPr>
          <w:p>
            <w:pPr>
              <w:jc w:val="right"/>
              <w:ind w:right="291"/>
              <w:spacing w:after="0"/>
              <w:rPr>
                <w:sz w:val="20"/>
                <w:szCs w:val="20"/>
                <w:color w:val="auto"/>
              </w:rPr>
            </w:pPr>
            <w:r>
              <w:rPr>
                <w:rFonts w:ascii="Arial" w:cs="Arial" w:eastAsia="Arial" w:hAnsi="Arial"/>
                <w:sz w:val="14"/>
                <w:szCs w:val="14"/>
                <w:color w:val="auto"/>
              </w:rPr>
              <w:t>10,003</w:t>
            </w:r>
          </w:p>
        </w:tc>
        <w:tc>
          <w:tcPr>
            <w:tcW w:w="1680" w:type="dxa"/>
            <w:vAlign w:val="bottom"/>
          </w:tcPr>
          <w:p>
            <w:pPr>
              <w:jc w:val="right"/>
              <w:ind w:right="211"/>
              <w:spacing w:after="0"/>
              <w:rPr>
                <w:sz w:val="20"/>
                <w:szCs w:val="20"/>
                <w:color w:val="auto"/>
              </w:rPr>
            </w:pPr>
            <w:r>
              <w:rPr>
                <w:rFonts w:ascii="Arial" w:cs="Arial" w:eastAsia="Arial" w:hAnsi="Arial"/>
                <w:sz w:val="14"/>
                <w:szCs w:val="14"/>
                <w:color w:val="auto"/>
              </w:rPr>
              <w:t>20,006(2)</w:t>
            </w: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44.31</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01-Mar-26</w:t>
            </w: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1480" w:type="dxa"/>
            <w:vAlign w:val="bottom"/>
          </w:tcPr>
          <w:p>
            <w:pPr>
              <w:jc w:val="right"/>
              <w:ind w:right="371"/>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211"/>
              <w:spacing w:after="0"/>
              <w:rPr>
                <w:sz w:val="20"/>
                <w:szCs w:val="20"/>
                <w:color w:val="auto"/>
              </w:rPr>
            </w:pPr>
            <w:r>
              <w:rPr>
                <w:rFonts w:ascii="Arial" w:cs="Arial" w:eastAsia="Arial" w:hAnsi="Arial"/>
                <w:sz w:val="14"/>
                <w:szCs w:val="14"/>
                <w:color w:val="auto"/>
              </w:rPr>
              <w:t>27,567(3)</w:t>
            </w: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51.03</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06-Mar-27</w:t>
            </w: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180" w:type="dxa"/>
            <w:vAlign w:val="bottom"/>
            <w:shd w:val="clear" w:color="auto" w:fill="E5E5E5"/>
          </w:tcPr>
          <w:p>
            <w:pPr>
              <w:ind w:left="80"/>
              <w:spacing w:after="0"/>
              <w:rPr>
                <w:sz w:val="20"/>
                <w:szCs w:val="20"/>
                <w:color w:val="auto"/>
              </w:rPr>
            </w:pPr>
            <w:r>
              <w:rPr>
                <w:rFonts w:ascii="Arial" w:cs="Arial" w:eastAsia="Arial" w:hAnsi="Arial"/>
                <w:sz w:val="14"/>
                <w:szCs w:val="14"/>
                <w:b w:val="1"/>
                <w:bCs w:val="1"/>
                <w:color w:val="007549"/>
              </w:rPr>
              <w:t>Turner, Michael R</w:t>
            </w:r>
          </w:p>
        </w:tc>
        <w:tc>
          <w:tcPr>
            <w:tcW w:w="1480" w:type="dxa"/>
            <w:vAlign w:val="bottom"/>
            <w:shd w:val="clear" w:color="auto" w:fill="E5E5E5"/>
          </w:tcPr>
          <w:p>
            <w:pPr>
              <w:jc w:val="right"/>
              <w:ind w:right="291"/>
              <w:spacing w:after="0"/>
              <w:rPr>
                <w:sz w:val="20"/>
                <w:szCs w:val="20"/>
                <w:color w:val="auto"/>
              </w:rPr>
            </w:pPr>
            <w:r>
              <w:rPr>
                <w:rFonts w:ascii="Arial" w:cs="Arial" w:eastAsia="Arial" w:hAnsi="Arial"/>
                <w:sz w:val="14"/>
                <w:szCs w:val="14"/>
                <w:color w:val="auto"/>
              </w:rPr>
              <w:t>25,170</w:t>
            </w:r>
          </w:p>
        </w:tc>
        <w:tc>
          <w:tcPr>
            <w:tcW w:w="1680" w:type="dxa"/>
            <w:vAlign w:val="bottom"/>
            <w:shd w:val="clear" w:color="auto" w:fill="E5E5E5"/>
          </w:tcPr>
          <w:p>
            <w:pPr>
              <w:jc w:val="right"/>
              <w:ind w:right="451"/>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ind w:right="70"/>
              <w:spacing w:after="0"/>
              <w:rPr>
                <w:sz w:val="20"/>
                <w:szCs w:val="20"/>
                <w:color w:val="auto"/>
              </w:rPr>
            </w:pPr>
            <w:r>
              <w:rPr>
                <w:rFonts w:ascii="Arial" w:cs="Arial" w:eastAsia="Arial" w:hAnsi="Arial"/>
                <w:sz w:val="14"/>
                <w:szCs w:val="14"/>
                <w:color w:val="auto"/>
              </w:rPr>
              <w:t>59.17</w:t>
            </w:r>
          </w:p>
        </w:tc>
        <w:tc>
          <w:tcPr>
            <w:tcW w:w="900" w:type="dxa"/>
            <w:vAlign w:val="bottom"/>
            <w:shd w:val="clear" w:color="auto" w:fill="E5E5E5"/>
          </w:tcPr>
          <w:p>
            <w:pPr>
              <w:jc w:val="right"/>
              <w:ind w:right="30"/>
              <w:spacing w:after="0"/>
              <w:rPr>
                <w:sz w:val="20"/>
                <w:szCs w:val="20"/>
                <w:color w:val="auto"/>
              </w:rPr>
            </w:pPr>
            <w:r>
              <w:rPr>
                <w:rFonts w:ascii="Arial" w:cs="Arial" w:eastAsia="Arial" w:hAnsi="Arial"/>
                <w:sz w:val="14"/>
                <w:szCs w:val="14"/>
                <w:color w:val="auto"/>
              </w:rPr>
              <w:t>05-Jun-19</w:t>
            </w:r>
          </w:p>
        </w:tc>
        <w:tc>
          <w:tcPr>
            <w:tcW w:w="840" w:type="dxa"/>
            <w:vAlign w:val="bottom"/>
            <w:shd w:val="clear" w:color="auto" w:fill="E5E5E5"/>
          </w:tcPr>
          <w:p>
            <w:pPr>
              <w:jc w:val="right"/>
              <w:ind w:right="15"/>
              <w:spacing w:after="0"/>
              <w:rPr>
                <w:sz w:val="20"/>
                <w:szCs w:val="20"/>
                <w:color w:val="auto"/>
              </w:rPr>
            </w:pPr>
            <w:r>
              <w:rPr>
                <w:rFonts w:ascii="Arial" w:cs="Arial" w:eastAsia="Arial" w:hAnsi="Arial"/>
                <w:sz w:val="14"/>
                <w:szCs w:val="14"/>
                <w:color w:val="auto"/>
              </w:rPr>
              <w:t>33,596(8)</w:t>
            </w:r>
          </w:p>
        </w:tc>
        <w:tc>
          <w:tcPr>
            <w:tcW w:w="1000" w:type="dxa"/>
            <w:vAlign w:val="bottom"/>
            <w:shd w:val="clear" w:color="auto" w:fill="E5E5E5"/>
          </w:tcPr>
          <w:p>
            <w:pPr>
              <w:jc w:val="right"/>
              <w:ind w:right="95"/>
              <w:spacing w:after="0"/>
              <w:rPr>
                <w:sz w:val="20"/>
                <w:szCs w:val="20"/>
                <w:color w:val="auto"/>
              </w:rPr>
            </w:pPr>
            <w:r>
              <w:rPr>
                <w:rFonts w:ascii="Arial" w:cs="Arial" w:eastAsia="Arial" w:hAnsi="Arial"/>
                <w:sz w:val="14"/>
                <w:szCs w:val="14"/>
                <w:color w:val="auto"/>
              </w:rPr>
              <w:t>1,594,802</w:t>
            </w:r>
          </w:p>
        </w:tc>
        <w:tc>
          <w:tcPr>
            <w:tcW w:w="1080" w:type="dxa"/>
            <w:vAlign w:val="bottom"/>
            <w:shd w:val="clear" w:color="auto" w:fill="E5E5E5"/>
          </w:tcPr>
          <w:p>
            <w:pPr>
              <w:jc w:val="right"/>
              <w:ind w:right="95"/>
              <w:spacing w:after="0"/>
              <w:rPr>
                <w:sz w:val="20"/>
                <w:szCs w:val="20"/>
                <w:color w:val="auto"/>
              </w:rPr>
            </w:pPr>
            <w:r>
              <w:rPr>
                <w:rFonts w:ascii="Arial" w:cs="Arial" w:eastAsia="Arial" w:hAnsi="Arial"/>
                <w:sz w:val="14"/>
                <w:szCs w:val="14"/>
                <w:color w:val="auto"/>
              </w:rPr>
              <w:t>42,340(14)</w:t>
            </w:r>
          </w:p>
        </w:tc>
        <w:tc>
          <w:tcPr>
            <w:tcW w:w="8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2,009,880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180" w:type="dxa"/>
            <w:vAlign w:val="bottom"/>
            <w:shd w:val="clear" w:color="auto" w:fill="E5E5E5"/>
          </w:tcPr>
          <w:p>
            <w:pPr>
              <w:spacing w:after="0"/>
              <w:rPr>
                <w:sz w:val="16"/>
                <w:szCs w:val="16"/>
                <w:color w:val="auto"/>
              </w:rPr>
            </w:pPr>
          </w:p>
        </w:tc>
        <w:tc>
          <w:tcPr>
            <w:tcW w:w="1480" w:type="dxa"/>
            <w:vAlign w:val="bottom"/>
            <w:shd w:val="clear" w:color="auto" w:fill="E5E5E5"/>
          </w:tcPr>
          <w:p>
            <w:pPr>
              <w:jc w:val="right"/>
              <w:ind w:right="291"/>
              <w:spacing w:after="0"/>
              <w:rPr>
                <w:sz w:val="20"/>
                <w:szCs w:val="20"/>
                <w:color w:val="auto"/>
              </w:rPr>
            </w:pPr>
            <w:r>
              <w:rPr>
                <w:rFonts w:ascii="Arial" w:cs="Arial" w:eastAsia="Arial" w:hAnsi="Arial"/>
                <w:sz w:val="14"/>
                <w:szCs w:val="14"/>
                <w:color w:val="auto"/>
              </w:rPr>
              <w:t>30,345</w:t>
            </w:r>
          </w:p>
        </w:tc>
        <w:tc>
          <w:tcPr>
            <w:tcW w:w="1680" w:type="dxa"/>
            <w:vAlign w:val="bottom"/>
            <w:shd w:val="clear" w:color="auto" w:fill="E5E5E5"/>
          </w:tcPr>
          <w:p>
            <w:pPr>
              <w:jc w:val="right"/>
              <w:ind w:right="451"/>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ind w:right="70"/>
              <w:spacing w:after="0"/>
              <w:rPr>
                <w:sz w:val="20"/>
                <w:szCs w:val="20"/>
                <w:color w:val="auto"/>
              </w:rPr>
            </w:pPr>
            <w:r>
              <w:rPr>
                <w:rFonts w:ascii="Arial" w:cs="Arial" w:eastAsia="Arial" w:hAnsi="Arial"/>
                <w:sz w:val="14"/>
                <w:szCs w:val="14"/>
                <w:color w:val="auto"/>
              </w:rPr>
              <w:t>60.07</w:t>
            </w:r>
          </w:p>
        </w:tc>
        <w:tc>
          <w:tcPr>
            <w:tcW w:w="900" w:type="dxa"/>
            <w:vAlign w:val="bottom"/>
            <w:shd w:val="clear" w:color="auto" w:fill="E5E5E5"/>
          </w:tcPr>
          <w:p>
            <w:pPr>
              <w:jc w:val="right"/>
              <w:ind w:right="30"/>
              <w:spacing w:after="0"/>
              <w:rPr>
                <w:sz w:val="20"/>
                <w:szCs w:val="20"/>
                <w:color w:val="auto"/>
              </w:rPr>
            </w:pPr>
            <w:r>
              <w:rPr>
                <w:rFonts w:ascii="Arial" w:cs="Arial" w:eastAsia="Arial" w:hAnsi="Arial"/>
                <w:sz w:val="14"/>
                <w:szCs w:val="14"/>
                <w:color w:val="auto"/>
              </w:rPr>
              <w:t>03-Feb-20</w:t>
            </w:r>
          </w:p>
        </w:tc>
        <w:tc>
          <w:tcPr>
            <w:tcW w:w="84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108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80" w:type="dxa"/>
            <w:vAlign w:val="bottom"/>
            <w:shd w:val="clear" w:color="auto" w:fill="E5E5E5"/>
          </w:tcPr>
          <w:p>
            <w:pPr>
              <w:spacing w:after="0"/>
              <w:rPr>
                <w:sz w:val="16"/>
                <w:szCs w:val="16"/>
                <w:color w:val="auto"/>
              </w:rPr>
            </w:pPr>
          </w:p>
        </w:tc>
        <w:tc>
          <w:tcPr>
            <w:tcW w:w="1480" w:type="dxa"/>
            <w:vAlign w:val="bottom"/>
            <w:shd w:val="clear" w:color="auto" w:fill="E5E5E5"/>
          </w:tcPr>
          <w:p>
            <w:pPr>
              <w:jc w:val="right"/>
              <w:ind w:right="291"/>
              <w:spacing w:after="0"/>
              <w:rPr>
                <w:sz w:val="20"/>
                <w:szCs w:val="20"/>
                <w:color w:val="auto"/>
              </w:rPr>
            </w:pPr>
            <w:r>
              <w:rPr>
                <w:rFonts w:ascii="Arial" w:cs="Arial" w:eastAsia="Arial" w:hAnsi="Arial"/>
                <w:sz w:val="14"/>
                <w:szCs w:val="14"/>
                <w:color w:val="auto"/>
              </w:rPr>
              <w:t>21,660</w:t>
            </w:r>
          </w:p>
        </w:tc>
        <w:tc>
          <w:tcPr>
            <w:tcW w:w="1680" w:type="dxa"/>
            <w:vAlign w:val="bottom"/>
            <w:shd w:val="clear" w:color="auto" w:fill="E5E5E5"/>
          </w:tcPr>
          <w:p>
            <w:pPr>
              <w:jc w:val="right"/>
              <w:ind w:right="451"/>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ind w:right="70"/>
              <w:spacing w:after="0"/>
              <w:rPr>
                <w:sz w:val="20"/>
                <w:szCs w:val="20"/>
                <w:color w:val="auto"/>
              </w:rPr>
            </w:pPr>
            <w:r>
              <w:rPr>
                <w:rFonts w:ascii="Arial" w:cs="Arial" w:eastAsia="Arial" w:hAnsi="Arial"/>
                <w:sz w:val="14"/>
                <w:szCs w:val="14"/>
                <w:color w:val="auto"/>
              </w:rPr>
              <w:t>83.88</w:t>
            </w:r>
          </w:p>
        </w:tc>
        <w:tc>
          <w:tcPr>
            <w:tcW w:w="900" w:type="dxa"/>
            <w:vAlign w:val="bottom"/>
            <w:shd w:val="clear" w:color="auto" w:fill="E5E5E5"/>
          </w:tcPr>
          <w:p>
            <w:pPr>
              <w:jc w:val="right"/>
              <w:ind w:right="30"/>
              <w:spacing w:after="0"/>
              <w:rPr>
                <w:sz w:val="20"/>
                <w:szCs w:val="20"/>
                <w:color w:val="auto"/>
              </w:rPr>
            </w:pPr>
            <w:r>
              <w:rPr>
                <w:rFonts w:ascii="Arial" w:cs="Arial" w:eastAsia="Arial" w:hAnsi="Arial"/>
                <w:sz w:val="14"/>
                <w:szCs w:val="14"/>
                <w:color w:val="auto"/>
              </w:rPr>
              <w:t>02-Feb-21</w:t>
            </w:r>
          </w:p>
        </w:tc>
        <w:tc>
          <w:tcPr>
            <w:tcW w:w="84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108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80" w:type="dxa"/>
            <w:vAlign w:val="bottom"/>
            <w:shd w:val="clear" w:color="auto" w:fill="E5E5E5"/>
          </w:tcPr>
          <w:p>
            <w:pPr>
              <w:spacing w:after="0"/>
              <w:rPr>
                <w:sz w:val="16"/>
                <w:szCs w:val="16"/>
                <w:color w:val="auto"/>
              </w:rPr>
            </w:pPr>
          </w:p>
        </w:tc>
        <w:tc>
          <w:tcPr>
            <w:tcW w:w="1480" w:type="dxa"/>
            <w:vAlign w:val="bottom"/>
            <w:shd w:val="clear" w:color="auto" w:fill="E5E5E5"/>
          </w:tcPr>
          <w:p>
            <w:pPr>
              <w:jc w:val="right"/>
              <w:ind w:right="291"/>
              <w:spacing w:after="0"/>
              <w:rPr>
                <w:sz w:val="20"/>
                <w:szCs w:val="20"/>
                <w:color w:val="auto"/>
              </w:rPr>
            </w:pPr>
            <w:r>
              <w:rPr>
                <w:rFonts w:ascii="Arial" w:cs="Arial" w:eastAsia="Arial" w:hAnsi="Arial"/>
                <w:sz w:val="14"/>
                <w:szCs w:val="14"/>
                <w:color w:val="auto"/>
              </w:rPr>
              <w:t>13,228</w:t>
            </w:r>
          </w:p>
        </w:tc>
        <w:tc>
          <w:tcPr>
            <w:tcW w:w="1680" w:type="dxa"/>
            <w:vAlign w:val="bottom"/>
            <w:shd w:val="clear" w:color="auto" w:fill="E5E5E5"/>
          </w:tcPr>
          <w:p>
            <w:pPr>
              <w:jc w:val="right"/>
              <w:ind w:right="451"/>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ind w:right="70"/>
              <w:spacing w:after="0"/>
              <w:rPr>
                <w:sz w:val="20"/>
                <w:szCs w:val="20"/>
                <w:color w:val="auto"/>
              </w:rPr>
            </w:pPr>
            <w:r>
              <w:rPr>
                <w:rFonts w:ascii="Arial" w:cs="Arial" w:eastAsia="Arial" w:hAnsi="Arial"/>
                <w:sz w:val="14"/>
                <w:szCs w:val="14"/>
                <w:color w:val="auto"/>
              </w:rPr>
              <w:t>80.35</w:t>
            </w:r>
          </w:p>
        </w:tc>
        <w:tc>
          <w:tcPr>
            <w:tcW w:w="900" w:type="dxa"/>
            <w:vAlign w:val="bottom"/>
            <w:shd w:val="clear" w:color="auto" w:fill="E5E5E5"/>
          </w:tcPr>
          <w:p>
            <w:pPr>
              <w:jc w:val="right"/>
              <w:ind w:right="30"/>
              <w:spacing w:after="0"/>
              <w:rPr>
                <w:sz w:val="20"/>
                <w:szCs w:val="20"/>
                <w:color w:val="auto"/>
              </w:rPr>
            </w:pPr>
            <w:r>
              <w:rPr>
                <w:rFonts w:ascii="Arial" w:cs="Arial" w:eastAsia="Arial" w:hAnsi="Arial"/>
                <w:sz w:val="14"/>
                <w:szCs w:val="14"/>
                <w:color w:val="auto"/>
              </w:rPr>
              <w:t>04-Mar-24</w:t>
            </w:r>
          </w:p>
        </w:tc>
        <w:tc>
          <w:tcPr>
            <w:tcW w:w="84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108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80" w:type="dxa"/>
            <w:vAlign w:val="bottom"/>
            <w:shd w:val="clear" w:color="auto" w:fill="E5E5E5"/>
          </w:tcPr>
          <w:p>
            <w:pPr>
              <w:spacing w:after="0"/>
              <w:rPr>
                <w:sz w:val="16"/>
                <w:szCs w:val="16"/>
                <w:color w:val="auto"/>
              </w:rPr>
            </w:pPr>
          </w:p>
        </w:tc>
        <w:tc>
          <w:tcPr>
            <w:tcW w:w="1480" w:type="dxa"/>
            <w:vAlign w:val="bottom"/>
            <w:shd w:val="clear" w:color="auto" w:fill="E5E5E5"/>
          </w:tcPr>
          <w:p>
            <w:pPr>
              <w:jc w:val="right"/>
              <w:ind w:right="291"/>
              <w:spacing w:after="0"/>
              <w:rPr>
                <w:sz w:val="20"/>
                <w:szCs w:val="20"/>
                <w:color w:val="auto"/>
              </w:rPr>
            </w:pPr>
            <w:r>
              <w:rPr>
                <w:rFonts w:ascii="Arial" w:cs="Arial" w:eastAsia="Arial" w:hAnsi="Arial"/>
                <w:sz w:val="14"/>
                <w:szCs w:val="14"/>
                <w:color w:val="auto"/>
              </w:rPr>
              <w:t>9,841</w:t>
            </w:r>
          </w:p>
        </w:tc>
        <w:tc>
          <w:tcPr>
            <w:tcW w:w="1680" w:type="dxa"/>
            <w:vAlign w:val="bottom"/>
            <w:shd w:val="clear" w:color="auto" w:fill="E5E5E5"/>
          </w:tcPr>
          <w:p>
            <w:pPr>
              <w:jc w:val="right"/>
              <w:ind w:right="211"/>
              <w:spacing w:after="0"/>
              <w:rPr>
                <w:sz w:val="20"/>
                <w:szCs w:val="20"/>
                <w:color w:val="auto"/>
              </w:rPr>
            </w:pPr>
            <w:r>
              <w:rPr>
                <w:rFonts w:ascii="Arial" w:cs="Arial" w:eastAsia="Arial" w:hAnsi="Arial"/>
                <w:sz w:val="14"/>
                <w:szCs w:val="14"/>
                <w:color w:val="auto"/>
              </w:rPr>
              <w:t>4,921(1)</w:t>
            </w:r>
          </w:p>
        </w:tc>
        <w:tc>
          <w:tcPr>
            <w:tcW w:w="860" w:type="dxa"/>
            <w:vAlign w:val="bottom"/>
            <w:shd w:val="clear" w:color="auto" w:fill="E5E5E5"/>
          </w:tcPr>
          <w:p>
            <w:pPr>
              <w:jc w:val="right"/>
              <w:ind w:right="70"/>
              <w:spacing w:after="0"/>
              <w:rPr>
                <w:sz w:val="20"/>
                <w:szCs w:val="20"/>
                <w:color w:val="auto"/>
              </w:rPr>
            </w:pPr>
            <w:r>
              <w:rPr>
                <w:rFonts w:ascii="Arial" w:cs="Arial" w:eastAsia="Arial" w:hAnsi="Arial"/>
                <w:sz w:val="14"/>
                <w:szCs w:val="14"/>
                <w:color w:val="auto"/>
              </w:rPr>
              <w:t>74.49</w:t>
            </w:r>
          </w:p>
        </w:tc>
        <w:tc>
          <w:tcPr>
            <w:tcW w:w="900" w:type="dxa"/>
            <w:vAlign w:val="bottom"/>
            <w:shd w:val="clear" w:color="auto" w:fill="E5E5E5"/>
          </w:tcPr>
          <w:p>
            <w:pPr>
              <w:jc w:val="right"/>
              <w:ind w:right="30"/>
              <w:spacing w:after="0"/>
              <w:rPr>
                <w:sz w:val="20"/>
                <w:szCs w:val="20"/>
                <w:color w:val="auto"/>
              </w:rPr>
            </w:pPr>
            <w:r>
              <w:rPr>
                <w:rFonts w:ascii="Arial" w:cs="Arial" w:eastAsia="Arial" w:hAnsi="Arial"/>
                <w:sz w:val="14"/>
                <w:szCs w:val="14"/>
                <w:color w:val="auto"/>
              </w:rPr>
              <w:t>03-Mar-25</w:t>
            </w:r>
          </w:p>
        </w:tc>
        <w:tc>
          <w:tcPr>
            <w:tcW w:w="84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108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80" w:type="dxa"/>
            <w:vAlign w:val="bottom"/>
            <w:shd w:val="clear" w:color="auto" w:fill="E5E5E5"/>
          </w:tcPr>
          <w:p>
            <w:pPr>
              <w:spacing w:after="0"/>
              <w:rPr>
                <w:sz w:val="16"/>
                <w:szCs w:val="16"/>
                <w:color w:val="auto"/>
              </w:rPr>
            </w:pPr>
          </w:p>
        </w:tc>
        <w:tc>
          <w:tcPr>
            <w:tcW w:w="1480" w:type="dxa"/>
            <w:vAlign w:val="bottom"/>
            <w:shd w:val="clear" w:color="auto" w:fill="E5E5E5"/>
          </w:tcPr>
          <w:p>
            <w:pPr>
              <w:jc w:val="right"/>
              <w:ind w:right="291"/>
              <w:spacing w:after="0"/>
              <w:rPr>
                <w:sz w:val="20"/>
                <w:szCs w:val="20"/>
                <w:color w:val="auto"/>
              </w:rPr>
            </w:pPr>
            <w:r>
              <w:rPr>
                <w:rFonts w:ascii="Arial" w:cs="Arial" w:eastAsia="Arial" w:hAnsi="Arial"/>
                <w:sz w:val="14"/>
                <w:szCs w:val="14"/>
                <w:color w:val="auto"/>
              </w:rPr>
              <w:t>6,252</w:t>
            </w:r>
          </w:p>
        </w:tc>
        <w:tc>
          <w:tcPr>
            <w:tcW w:w="1680" w:type="dxa"/>
            <w:vAlign w:val="bottom"/>
            <w:shd w:val="clear" w:color="auto" w:fill="E5E5E5"/>
          </w:tcPr>
          <w:p>
            <w:pPr>
              <w:jc w:val="right"/>
              <w:ind w:right="211"/>
              <w:spacing w:after="0"/>
              <w:rPr>
                <w:sz w:val="20"/>
                <w:szCs w:val="20"/>
                <w:color w:val="auto"/>
              </w:rPr>
            </w:pPr>
            <w:r>
              <w:rPr>
                <w:rFonts w:ascii="Arial" w:cs="Arial" w:eastAsia="Arial" w:hAnsi="Arial"/>
                <w:sz w:val="14"/>
                <w:szCs w:val="14"/>
                <w:color w:val="auto"/>
              </w:rPr>
              <w:t>12,504(3)</w:t>
            </w:r>
          </w:p>
        </w:tc>
        <w:tc>
          <w:tcPr>
            <w:tcW w:w="860" w:type="dxa"/>
            <w:vAlign w:val="bottom"/>
            <w:shd w:val="clear" w:color="auto" w:fill="E5E5E5"/>
          </w:tcPr>
          <w:p>
            <w:pPr>
              <w:jc w:val="right"/>
              <w:ind w:right="70"/>
              <w:spacing w:after="0"/>
              <w:rPr>
                <w:sz w:val="20"/>
                <w:szCs w:val="20"/>
                <w:color w:val="auto"/>
              </w:rPr>
            </w:pPr>
            <w:r>
              <w:rPr>
                <w:rFonts w:ascii="Arial" w:cs="Arial" w:eastAsia="Arial" w:hAnsi="Arial"/>
                <w:sz w:val="14"/>
                <w:szCs w:val="14"/>
                <w:color w:val="auto"/>
              </w:rPr>
              <w:t>44.31</w:t>
            </w:r>
          </w:p>
        </w:tc>
        <w:tc>
          <w:tcPr>
            <w:tcW w:w="900" w:type="dxa"/>
            <w:vAlign w:val="bottom"/>
            <w:shd w:val="clear" w:color="auto" w:fill="E5E5E5"/>
          </w:tcPr>
          <w:p>
            <w:pPr>
              <w:jc w:val="right"/>
              <w:ind w:right="30"/>
              <w:spacing w:after="0"/>
              <w:rPr>
                <w:sz w:val="20"/>
                <w:szCs w:val="20"/>
                <w:color w:val="auto"/>
              </w:rPr>
            </w:pPr>
            <w:r>
              <w:rPr>
                <w:rFonts w:ascii="Arial" w:cs="Arial" w:eastAsia="Arial" w:hAnsi="Arial"/>
                <w:sz w:val="14"/>
                <w:szCs w:val="14"/>
                <w:color w:val="auto"/>
              </w:rPr>
              <w:t>01-Mar-26</w:t>
            </w:r>
          </w:p>
        </w:tc>
        <w:tc>
          <w:tcPr>
            <w:tcW w:w="84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108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180" w:type="dxa"/>
            <w:vAlign w:val="bottom"/>
            <w:tcBorders>
              <w:bottom w:val="single" w:sz="8" w:color="007549"/>
            </w:tcBorders>
            <w:shd w:val="clear" w:color="auto" w:fill="E5E5E5"/>
          </w:tcPr>
          <w:p>
            <w:pPr>
              <w:spacing w:after="0"/>
              <w:rPr>
                <w:sz w:val="16"/>
                <w:szCs w:val="16"/>
                <w:color w:val="auto"/>
              </w:rPr>
            </w:pPr>
          </w:p>
        </w:tc>
        <w:tc>
          <w:tcPr>
            <w:tcW w:w="1480" w:type="dxa"/>
            <w:vAlign w:val="bottom"/>
            <w:tcBorders>
              <w:bottom w:val="single" w:sz="8" w:color="007549"/>
            </w:tcBorders>
            <w:shd w:val="clear" w:color="auto" w:fill="E5E5E5"/>
          </w:tcPr>
          <w:p>
            <w:pPr>
              <w:jc w:val="right"/>
              <w:ind w:right="371"/>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007549"/>
            </w:tcBorders>
            <w:shd w:val="clear" w:color="auto" w:fill="E5E5E5"/>
          </w:tcPr>
          <w:p>
            <w:pPr>
              <w:jc w:val="right"/>
              <w:ind w:right="211"/>
              <w:spacing w:after="0"/>
              <w:rPr>
                <w:sz w:val="20"/>
                <w:szCs w:val="20"/>
                <w:color w:val="auto"/>
              </w:rPr>
            </w:pPr>
            <w:r>
              <w:rPr>
                <w:rFonts w:ascii="Arial" w:cs="Arial" w:eastAsia="Arial" w:hAnsi="Arial"/>
                <w:sz w:val="14"/>
                <w:szCs w:val="14"/>
                <w:color w:val="auto"/>
              </w:rPr>
              <w:t>21,365(3)</w:t>
            </w:r>
          </w:p>
        </w:tc>
        <w:tc>
          <w:tcPr>
            <w:tcW w:w="860" w:type="dxa"/>
            <w:vAlign w:val="bottom"/>
            <w:tcBorders>
              <w:bottom w:val="single" w:sz="8" w:color="007549"/>
            </w:tcBorders>
            <w:shd w:val="clear" w:color="auto" w:fill="E5E5E5"/>
          </w:tcPr>
          <w:p>
            <w:pPr>
              <w:jc w:val="right"/>
              <w:ind w:right="70"/>
              <w:spacing w:after="0"/>
              <w:rPr>
                <w:sz w:val="20"/>
                <w:szCs w:val="20"/>
                <w:color w:val="auto"/>
              </w:rPr>
            </w:pPr>
            <w:r>
              <w:rPr>
                <w:rFonts w:ascii="Arial" w:cs="Arial" w:eastAsia="Arial" w:hAnsi="Arial"/>
                <w:sz w:val="14"/>
                <w:szCs w:val="14"/>
                <w:color w:val="auto"/>
              </w:rPr>
              <w:t>51.03</w:t>
            </w:r>
          </w:p>
        </w:tc>
        <w:tc>
          <w:tcPr>
            <w:tcW w:w="900" w:type="dxa"/>
            <w:vAlign w:val="bottom"/>
            <w:tcBorders>
              <w:bottom w:val="single" w:sz="8" w:color="007549"/>
            </w:tcBorders>
            <w:shd w:val="clear" w:color="auto" w:fill="E5E5E5"/>
          </w:tcPr>
          <w:p>
            <w:pPr>
              <w:jc w:val="right"/>
              <w:ind w:right="30"/>
              <w:spacing w:after="0"/>
              <w:rPr>
                <w:sz w:val="20"/>
                <w:szCs w:val="20"/>
                <w:color w:val="auto"/>
              </w:rPr>
            </w:pPr>
            <w:r>
              <w:rPr>
                <w:rFonts w:ascii="Arial" w:cs="Arial" w:eastAsia="Arial" w:hAnsi="Arial"/>
                <w:sz w:val="14"/>
                <w:szCs w:val="14"/>
                <w:color w:val="auto"/>
              </w:rPr>
              <w:t>06-Mar-27</w:t>
            </w:r>
          </w:p>
        </w:tc>
        <w:tc>
          <w:tcPr>
            <w:tcW w:w="840" w:type="dxa"/>
            <w:vAlign w:val="bottom"/>
            <w:tcBorders>
              <w:bottom w:val="single" w:sz="8" w:color="007549"/>
            </w:tcBorders>
            <w:shd w:val="clear" w:color="auto" w:fill="E5E5E5"/>
          </w:tcPr>
          <w:p>
            <w:pPr>
              <w:spacing w:after="0"/>
              <w:rPr>
                <w:sz w:val="16"/>
                <w:szCs w:val="16"/>
                <w:color w:val="auto"/>
              </w:rPr>
            </w:pPr>
          </w:p>
        </w:tc>
        <w:tc>
          <w:tcPr>
            <w:tcW w:w="1000" w:type="dxa"/>
            <w:vAlign w:val="bottom"/>
            <w:tcBorders>
              <w:bottom w:val="single" w:sz="8" w:color="007549"/>
            </w:tcBorders>
            <w:shd w:val="clear" w:color="auto" w:fill="E5E5E5"/>
          </w:tcPr>
          <w:p>
            <w:pPr>
              <w:spacing w:after="0"/>
              <w:rPr>
                <w:sz w:val="16"/>
                <w:szCs w:val="16"/>
                <w:color w:val="auto"/>
              </w:rPr>
            </w:pPr>
          </w:p>
        </w:tc>
        <w:tc>
          <w:tcPr>
            <w:tcW w:w="1080" w:type="dxa"/>
            <w:vAlign w:val="bottom"/>
            <w:tcBorders>
              <w:bottom w:val="single" w:sz="8" w:color="007549"/>
            </w:tcBorders>
            <w:shd w:val="clear" w:color="auto" w:fill="E5E5E5"/>
          </w:tcPr>
          <w:p>
            <w:pPr>
              <w:spacing w:after="0"/>
              <w:rPr>
                <w:sz w:val="16"/>
                <w:szCs w:val="16"/>
                <w:color w:val="auto"/>
              </w:rPr>
            </w:pPr>
          </w:p>
        </w:tc>
        <w:tc>
          <w:tcPr>
            <w:tcW w:w="840" w:type="dxa"/>
            <w:vAlign w:val="bottom"/>
            <w:tcBorders>
              <w:bottom w:val="single" w:sz="8" w:color="007549"/>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5306695</wp:posOffset>
            </wp:positionH>
            <wp:positionV relativeFrom="paragraph">
              <wp:posOffset>-5541645</wp:posOffset>
            </wp:positionV>
            <wp:extent cx="122174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21740" cy="8255"/>
                    </a:xfrm>
                    <a:prstGeom prst="rect">
                      <a:avLst/>
                    </a:prstGeom>
                    <a:noFill/>
                  </pic:spPr>
                </pic:pic>
              </a:graphicData>
            </a:graphic>
          </wp:anchor>
        </w:drawing>
        <w:drawing>
          <wp:anchor simplePos="0" relativeHeight="251657728" behindDoc="1" locked="0" layoutInCell="0" allowOverlap="1">
            <wp:simplePos x="0" y="0"/>
            <wp:positionH relativeFrom="column">
              <wp:posOffset>5272405</wp:posOffset>
            </wp:positionH>
            <wp:positionV relativeFrom="paragraph">
              <wp:posOffset>-5457190</wp:posOffset>
            </wp:positionV>
            <wp:extent cx="12903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90320" cy="8255"/>
                    </a:xfrm>
                    <a:prstGeom prst="rect">
                      <a:avLst/>
                    </a:prstGeom>
                    <a:noFill/>
                  </pic:spPr>
                </pic:pic>
              </a:graphicData>
            </a:graphic>
          </wp:anchor>
        </w:drawing>
        <w:drawing>
          <wp:anchor simplePos="0" relativeHeight="251657728" behindDoc="1" locked="0" layoutInCell="0" allowOverlap="1">
            <wp:simplePos x="0" y="0"/>
            <wp:positionH relativeFrom="column">
              <wp:posOffset>2030095</wp:posOffset>
            </wp:positionH>
            <wp:positionV relativeFrom="paragraph">
              <wp:posOffset>-5271135</wp:posOffset>
            </wp:positionV>
            <wp:extent cx="224218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24218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-5355590</wp:posOffset>
            </wp:positionV>
            <wp:extent cx="2116455" cy="927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116455" cy="92710"/>
                    </a:xfrm>
                    <a:prstGeom prst="rect">
                      <a:avLst/>
                    </a:prstGeom>
                    <a:noFill/>
                  </pic:spPr>
                </pic:pic>
              </a:graphicData>
            </a:graphic>
          </wp:anchor>
        </w:drawing>
      </w:r>
    </w:p>
    <w:p>
      <w:pPr>
        <w:ind w:left="600" w:hanging="314"/>
        <w:spacing w:after="0"/>
        <w:tabs>
          <w:tab w:leader="none" w:pos="6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Options vest in equal installments annually over a three year period from the date of grant of March 3, 2015 if the NEO continues to be employed.</w:t>
      </w:r>
    </w:p>
    <w:p>
      <w:pPr>
        <w:spacing w:after="0" w:line="118" w:lineRule="exact"/>
        <w:rPr>
          <w:rFonts w:ascii="Arial" w:cs="Arial" w:eastAsia="Arial" w:hAnsi="Arial"/>
          <w:sz w:val="14"/>
          <w:szCs w:val="14"/>
          <w:color w:val="auto"/>
        </w:rPr>
      </w:pPr>
    </w:p>
    <w:p>
      <w:pPr>
        <w:ind w:left="600" w:hanging="314"/>
        <w:spacing w:after="0"/>
        <w:tabs>
          <w:tab w:leader="none" w:pos="6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Options vest in equal installments annually over a three year period from the date of grant of March 1, 2016 if the NEO continues to be employed.</w:t>
      </w:r>
    </w:p>
    <w:p>
      <w:pPr>
        <w:spacing w:after="0" w:line="118" w:lineRule="exact"/>
        <w:rPr>
          <w:rFonts w:ascii="Arial" w:cs="Arial" w:eastAsia="Arial" w:hAnsi="Arial"/>
          <w:sz w:val="14"/>
          <w:szCs w:val="14"/>
          <w:color w:val="auto"/>
        </w:rPr>
      </w:pPr>
    </w:p>
    <w:p>
      <w:pPr>
        <w:ind w:left="600" w:hanging="314"/>
        <w:spacing w:after="0"/>
        <w:tabs>
          <w:tab w:leader="none" w:pos="6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Options vest in equal installments annually over a three year period from the date of grant of March 6, 2017 if the NEO continues to be employed.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88900</wp:posOffset>
            </wp:positionV>
            <wp:extent cx="405765" cy="2451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213" w:lineRule="exact"/>
        <w:rPr>
          <w:sz w:val="20"/>
          <w:szCs w:val="20"/>
          <w:color w:val="auto"/>
        </w:rPr>
      </w:pPr>
    </w:p>
    <w:tbl>
      <w:tblPr>
        <w:tblLayout w:type="fixed"/>
        <w:tblInd w:w="9140" w:type="dxa"/>
        <w:tblCellMar>
          <w:top w:w="0" w:type="dxa"/>
          <w:left w:w="0" w:type="dxa"/>
          <w:bottom w:w="0" w:type="dxa"/>
          <w:right w:w="0" w:type="dxa"/>
        </w:tblCellMar>
      </w:tblPr>
      <w:tr>
        <w:trPr>
          <w:trHeight w:val="188"/>
        </w:trPr>
        <w:tc>
          <w:tcPr>
            <w:tcW w:w="1680" w:type="dxa"/>
            <w:vAlign w:val="bottom"/>
          </w:tcPr>
          <w:p>
            <w:pPr>
              <w:spacing w:after="0"/>
              <w:rPr>
                <w:sz w:val="20"/>
                <w:szCs w:val="20"/>
                <w:color w:val="auto"/>
              </w:rPr>
            </w:pPr>
            <w:r>
              <w:rPr>
                <w:rFonts w:ascii="Arial" w:cs="Arial" w:eastAsia="Arial" w:hAnsi="Arial"/>
                <w:sz w:val="12"/>
                <w:szCs w:val="12"/>
                <w:b w:val="1"/>
                <w:bCs w:val="1"/>
                <w:color w:val="666666"/>
              </w:rPr>
              <w:t>2018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007549"/>
              </w:rPr>
              <w:t>39</w:t>
            </w:r>
          </w:p>
        </w:tc>
      </w:tr>
    </w:tbl>
    <w:p>
      <w:pPr>
        <w:sectPr>
          <w:pgSz w:w="11900" w:h="16838" w:orient="portrait"/>
          <w:cols w:equalWidth="0" w:num="1">
            <w:col w:w="11160"/>
          </w:cols>
          <w:pgMar w:left="240" w:top="454" w:right="4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007549"/>
        </w:rPr>
        <w:t xml:space="preserve">Executive Compensation </w:t>
      </w:r>
      <w:r>
        <w:rPr>
          <w:rFonts w:ascii="Arial" w:cs="Arial" w:eastAsia="Arial" w:hAnsi="Arial"/>
          <w:sz w:val="16"/>
          <w:szCs w:val="16"/>
          <w:b w:val="1"/>
          <w:bCs w:val="1"/>
          <w:color w:val="000000"/>
        </w:rPr>
        <w:t>+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55245</wp:posOffset>
            </wp:positionV>
            <wp:extent cx="689356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391" w:lineRule="exact"/>
        <w:rPr>
          <w:sz w:val="20"/>
          <w:szCs w:val="20"/>
          <w:color w:val="auto"/>
        </w:rPr>
      </w:pPr>
    </w:p>
    <w:p>
      <w:pPr>
        <w:jc w:val="both"/>
        <w:ind w:left="600" w:hanging="314"/>
        <w:spacing w:after="0" w:line="241" w:lineRule="auto"/>
        <w:tabs>
          <w:tab w:leader="none" w:pos="6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Options may become exercisable earlier in full upon death, disability, normal retirement or a change in control. At the discretion of the committee, upon early retirement of an awardee, options not then exercisable may become exercisable in proportion to the calendar days elapsed in the vesting period up to the early retirement date. The options remain exercisable until the tenth anniversary of the date of grant, except in cases of termination of employment for reasons other than death, disability or normal retirement, in which case options remain exercisable only for specified periods. If a grantee’s employment terminates (other than by reason of death, disability or retirement) before these options become exercisable, they will be forfeited.</w:t>
      </w:r>
    </w:p>
    <w:p>
      <w:pPr>
        <w:spacing w:after="0" w:line="109" w:lineRule="exact"/>
        <w:rPr>
          <w:rFonts w:ascii="Arial" w:cs="Arial" w:eastAsia="Arial" w:hAnsi="Arial"/>
          <w:sz w:val="14"/>
          <w:szCs w:val="14"/>
          <w:color w:val="auto"/>
        </w:rPr>
      </w:pPr>
    </w:p>
    <w:p>
      <w:pPr>
        <w:ind w:left="600" w:hanging="314"/>
        <w:spacing w:after="0"/>
        <w:tabs>
          <w:tab w:leader="none" w:pos="6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Shares of restricted stock vest provided the NEO continues to be employed as follows: 25,507 on March 3, 2018.</w:t>
      </w:r>
    </w:p>
    <w:p>
      <w:pPr>
        <w:spacing w:after="0" w:line="118" w:lineRule="exact"/>
        <w:rPr>
          <w:rFonts w:ascii="Arial" w:cs="Arial" w:eastAsia="Arial" w:hAnsi="Arial"/>
          <w:sz w:val="14"/>
          <w:szCs w:val="14"/>
          <w:color w:val="auto"/>
        </w:rPr>
      </w:pPr>
    </w:p>
    <w:p>
      <w:pPr>
        <w:ind w:left="600" w:hanging="314"/>
        <w:spacing w:after="0"/>
        <w:tabs>
          <w:tab w:leader="none" w:pos="6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Shares of restricted stock vest provided the NEO continues to be employed as follows: 18,859 in March 2018, 24,301 in March 2019 and 6,173 in March 2020.</w:t>
      </w:r>
    </w:p>
    <w:p>
      <w:pPr>
        <w:spacing w:after="0" w:line="118" w:lineRule="exact"/>
        <w:rPr>
          <w:rFonts w:ascii="Arial" w:cs="Arial" w:eastAsia="Arial" w:hAnsi="Arial"/>
          <w:sz w:val="14"/>
          <w:szCs w:val="14"/>
          <w:color w:val="auto"/>
        </w:rPr>
      </w:pPr>
    </w:p>
    <w:p>
      <w:pPr>
        <w:ind w:left="600" w:hanging="314"/>
        <w:spacing w:after="0"/>
        <w:tabs>
          <w:tab w:leader="none" w:pos="6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Shares of restricted stock vest provided the NEO continues to be employed as follows: 7,983 in March 2018, and 10,286 in March 2019, and 2,613 in March 2020.</w:t>
      </w:r>
    </w:p>
    <w:p>
      <w:pPr>
        <w:spacing w:after="0" w:line="118" w:lineRule="exact"/>
        <w:rPr>
          <w:rFonts w:ascii="Arial" w:cs="Arial" w:eastAsia="Arial" w:hAnsi="Arial"/>
          <w:sz w:val="14"/>
          <w:szCs w:val="14"/>
          <w:color w:val="auto"/>
        </w:rPr>
      </w:pPr>
    </w:p>
    <w:p>
      <w:pPr>
        <w:ind w:left="600" w:hanging="314"/>
        <w:spacing w:after="0" w:line="251" w:lineRule="auto"/>
        <w:tabs>
          <w:tab w:leader="none" w:pos="6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Shares of restricted stock vest provided the NEO continues to be employed as follows: 6,187 in March 2018, 6,821 in March 2019, and 18,563 in August 2019, and 2,025 in March 2020.</w:t>
      </w:r>
    </w:p>
    <w:p>
      <w:pPr>
        <w:spacing w:after="0" w:line="102" w:lineRule="exact"/>
        <w:rPr>
          <w:rFonts w:ascii="Arial" w:cs="Arial" w:eastAsia="Arial" w:hAnsi="Arial"/>
          <w:sz w:val="14"/>
          <w:szCs w:val="14"/>
          <w:color w:val="auto"/>
        </w:rPr>
      </w:pPr>
    </w:p>
    <w:p>
      <w:pPr>
        <w:ind w:left="600" w:hanging="314"/>
        <w:spacing w:after="0" w:line="251" w:lineRule="auto"/>
        <w:tabs>
          <w:tab w:leader="none" w:pos="6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Shares of restricted stock may vest earlier in full upon normal retirement, death, permanent total disability or a change in control, with proportional vesting at the discretion of the committee in the case of early retirement.</w:t>
      </w:r>
    </w:p>
    <w:p>
      <w:pPr>
        <w:spacing w:after="0" w:line="102" w:lineRule="exact"/>
        <w:rPr>
          <w:rFonts w:ascii="Arial" w:cs="Arial" w:eastAsia="Arial" w:hAnsi="Arial"/>
          <w:sz w:val="14"/>
          <w:szCs w:val="14"/>
          <w:color w:val="auto"/>
        </w:rPr>
      </w:pPr>
    </w:p>
    <w:p>
      <w:pPr>
        <w:ind w:left="600" w:hanging="314"/>
        <w:spacing w:after="0" w:line="251" w:lineRule="auto"/>
        <w:tabs>
          <w:tab w:leader="none" w:pos="6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amount listed in this column represents the product of the closing market price of the company’s stock as of December 31, 2017 ($47.47) multiplied by the number of shares of stock subject to the award.</w:t>
      </w:r>
    </w:p>
    <w:p>
      <w:pPr>
        <w:spacing w:after="0" w:line="102" w:lineRule="exact"/>
        <w:rPr>
          <w:rFonts w:ascii="Arial" w:cs="Arial" w:eastAsia="Arial" w:hAnsi="Arial"/>
          <w:sz w:val="14"/>
          <w:szCs w:val="14"/>
          <w:color w:val="auto"/>
        </w:rPr>
      </w:pPr>
    </w:p>
    <w:p>
      <w:pPr>
        <w:jc w:val="both"/>
        <w:ind w:left="600" w:hanging="314"/>
        <w:spacing w:after="0" w:line="241" w:lineRule="auto"/>
        <w:tabs>
          <w:tab w:leader="none" w:pos="6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Number of shares shown in the table is based on achieving target performance goals for PSUs granted in 2015 (74,374 shares), 2016 (111,889 shares), and 2017 (113,224 shares). Actual payout of shares earned will range from zero to 200 percent of the units granted and will occur following the three-year performance periods ending December 31, 2017, December 31, 2018 and December 31, 2019 for the 2015, 2016 and 2017 grants respectively. The performance period for the 2015 grants concluded on December 31, 2017, but the award remained unearned and unvested, subject to the committee’s certification of performance results. In February 2018, the committee certified payout on the 2015 PSUs at 63%.</w:t>
      </w:r>
    </w:p>
    <w:p>
      <w:pPr>
        <w:spacing w:after="0" w:line="109" w:lineRule="exact"/>
        <w:rPr>
          <w:rFonts w:ascii="Arial" w:cs="Arial" w:eastAsia="Arial" w:hAnsi="Arial"/>
          <w:sz w:val="14"/>
          <w:szCs w:val="14"/>
          <w:color w:val="auto"/>
        </w:rPr>
      </w:pPr>
    </w:p>
    <w:p>
      <w:pPr>
        <w:jc w:val="both"/>
        <w:ind w:left="600" w:hanging="314"/>
        <w:spacing w:after="0" w:line="241" w:lineRule="auto"/>
        <w:tabs>
          <w:tab w:leader="none" w:pos="6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Number of shares shown in the table is based on achieving target performance goals for PSUs granted in 2015 (36,991 shares), 2016 (47,671 shares), and 2017 (53,632 shares). Actual payout of shares earned will range from zero to 200 percent of the units granted and will occur following the three-year performance periods ending December 31, 2017, December 31, 2018 and December 31, 2019 for the 2015, 2016 and 2017 grants respectively. The performance period for the 2015 grants concluded on December 31, 2017, but the award remained unearned and unvested, subject to the committee’s certification of performance results. In February 2018, the committee certified payout on the 2015 PSUs at 63%.</w:t>
      </w:r>
    </w:p>
    <w:p>
      <w:pPr>
        <w:spacing w:after="0" w:line="229" w:lineRule="exact"/>
        <w:rPr>
          <w:rFonts w:ascii="Arial" w:cs="Arial" w:eastAsia="Arial" w:hAnsi="Arial"/>
          <w:sz w:val="14"/>
          <w:szCs w:val="14"/>
          <w:color w:val="auto"/>
        </w:rPr>
      </w:pPr>
    </w:p>
    <w:p>
      <w:pPr>
        <w:jc w:val="both"/>
        <w:ind w:left="600" w:hanging="314"/>
        <w:spacing w:after="0" w:line="241" w:lineRule="auto"/>
        <w:tabs>
          <w:tab w:leader="none" w:pos="6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Number of shares shown in the table is based on achieving target performance goals for PSUs granted in 2015 (15,658 shares), 2016 (20,178 shares), and 2017 (22,701 shares). Actual payout of shares earned will range from zero to 200 percent of the units granted and will occur following the three-year performance periods ending December 31, 2017, December 31, 2018 and December 31, 2019 for the 2015, 2016 and 2017 grants respectively. The performance period for the 2015 grants concluded on December 31, 2017, but the award remained unearned and unvested, subject to the committee’s certification of performance results. In February 2018, the committee certified payout on the 2015 PSUs at 63%.</w:t>
      </w:r>
    </w:p>
    <w:p>
      <w:pPr>
        <w:spacing w:after="0" w:line="109" w:lineRule="exact"/>
        <w:rPr>
          <w:rFonts w:ascii="Arial" w:cs="Arial" w:eastAsia="Arial" w:hAnsi="Arial"/>
          <w:sz w:val="14"/>
          <w:szCs w:val="14"/>
          <w:color w:val="auto"/>
        </w:rPr>
      </w:pPr>
    </w:p>
    <w:p>
      <w:pPr>
        <w:jc w:val="both"/>
        <w:ind w:left="600" w:hanging="314"/>
        <w:spacing w:after="0" w:line="241" w:lineRule="auto"/>
        <w:tabs>
          <w:tab w:leader="none" w:pos="6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Number of shares shown in the table is based on achieving target performance goals for PSUs granted in 2015 (12,135 shares), 2016 (12,611 shares), and 2017 (17,594 shares). Actual payout of shares earned will range from zero to 200 percent of the units granted and will occur following the three-year performance periods ending December 31, 2017, December 31, 2018 and December 31, 2019 for the 2015, 2016 and 2017 grants respectively. The performance period for the 2015 grants concluded on December 31, 2017, but the award remained unearned and unvested, subject to the committee’s certification of performance results. In February 2018, the committee certified payout on the 2015 PSUs at 63%.</w:t>
      </w:r>
    </w:p>
    <w:p>
      <w:pPr>
        <w:spacing w:after="0" w:line="109" w:lineRule="exact"/>
        <w:rPr>
          <w:rFonts w:ascii="Arial" w:cs="Arial" w:eastAsia="Arial" w:hAnsi="Arial"/>
          <w:sz w:val="14"/>
          <w:szCs w:val="14"/>
          <w:color w:val="auto"/>
        </w:rPr>
      </w:pPr>
    </w:p>
    <w:p>
      <w:pPr>
        <w:jc w:val="both"/>
        <w:ind w:left="600" w:hanging="314"/>
        <w:spacing w:after="0" w:line="241" w:lineRule="auto"/>
        <w:tabs>
          <w:tab w:leader="none" w:pos="6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Value of PSUs reflects target performance level for PSUs granted in 2015, 2016, and 2017 based on the closing price of $47.47 on December 31, 2017 as required by the SEC disclosure requirements. Performance attained as of December 31, 2017 was below target for PSUs granted in 2015, 2016, and 2017. Actual payments at vesting of the 2015, 2016, and 2017 grants could be different based on final performance results. The performance period for the 2015 grants concluded on December 31, 2017, but the award remained unearned and unvested, subject to the committee’s certification of performance results. In February 2018, the committee certified payout on the 2015 PSUs at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1820545</wp:posOffset>
            </wp:positionH>
            <wp:positionV relativeFrom="paragraph">
              <wp:posOffset>83820</wp:posOffset>
            </wp:positionV>
            <wp:extent cx="405765" cy="2451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211" w:lineRule="exact"/>
        <w:rPr>
          <w:sz w:val="20"/>
          <w:szCs w:val="20"/>
          <w:color w:val="auto"/>
        </w:rPr>
      </w:pPr>
    </w:p>
    <w:p>
      <w:pPr>
        <w:ind w:left="760" w:hanging="474"/>
        <w:spacing w:after="0"/>
        <w:tabs>
          <w:tab w:leader="none" w:pos="760" w:val="left"/>
        </w:tabs>
        <w:numPr>
          <w:ilvl w:val="0"/>
          <w:numId w:val="68"/>
        </w:numPr>
        <w:rPr>
          <w:rFonts w:ascii="Arial" w:cs="Arial" w:eastAsia="Arial" w:hAnsi="Arial"/>
          <w:sz w:val="14"/>
          <w:szCs w:val="14"/>
          <w:b w:val="1"/>
          <w:bCs w:val="1"/>
          <w:color w:val="007549"/>
        </w:rPr>
      </w:pPr>
      <w:r>
        <w:rPr>
          <w:rFonts w:ascii="Arial" w:cs="Arial" w:eastAsia="Arial" w:hAnsi="Arial"/>
          <w:sz w:val="12"/>
          <w:szCs w:val="12"/>
          <w:b w:val="1"/>
          <w:bCs w:val="1"/>
          <w:color w:val="666666"/>
        </w:rPr>
        <w:t>2018 PROXY STATEMENT</w:t>
      </w:r>
    </w:p>
    <w:p>
      <w:pPr>
        <w:sectPr>
          <w:pgSz w:w="11900" w:h="16838" w:orient="portrait"/>
          <w:cols w:equalWidth="0" w:num="1">
            <w:col w:w="11140"/>
          </w:cols>
          <w:pgMar w:left="240" w:top="454" w:right="5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7549"/>
        </w:rPr>
        <w:t xml:space="preserve">Executive Compensation </w:t>
      </w:r>
      <w:r>
        <w:rPr>
          <w:rFonts w:ascii="Arial" w:cs="Arial" w:eastAsia="Arial" w:hAnsi="Arial"/>
          <w:sz w:val="16"/>
          <w:szCs w:val="16"/>
          <w:b w:val="1"/>
          <w:bCs w:val="1"/>
          <w:color w:val="000000"/>
        </w:rPr>
        <w:t>+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55245</wp:posOffset>
            </wp:positionV>
            <wp:extent cx="689356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24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007549"/>
        </w:rPr>
        <w:t>OPTION EXERCISES AND STOCK VESTED</w:t>
      </w:r>
    </w:p>
    <w:p>
      <w:pPr>
        <w:spacing w:after="0" w:line="121" w:lineRule="exact"/>
        <w:rPr>
          <w:sz w:val="20"/>
          <w:szCs w:val="20"/>
          <w:color w:val="auto"/>
        </w:rPr>
      </w:pPr>
    </w:p>
    <w:p>
      <w:pPr>
        <w:ind w:left="280"/>
        <w:spacing w:after="0" w:line="238" w:lineRule="auto"/>
        <w:rPr>
          <w:sz w:val="20"/>
          <w:szCs w:val="20"/>
          <w:color w:val="auto"/>
        </w:rPr>
      </w:pPr>
      <w:r>
        <w:rPr>
          <w:rFonts w:ascii="Arial" w:cs="Arial" w:eastAsia="Arial" w:hAnsi="Arial"/>
          <w:sz w:val="18"/>
          <w:szCs w:val="18"/>
          <w:color w:val="auto"/>
        </w:rPr>
        <w:t>The following table sets forth information as to the NEOs regarding the exercise of stock options and the vesting of restricted stock and performance share units under the incentive plan during the last fiscal year:</w:t>
      </w:r>
    </w:p>
    <w:p>
      <w:pPr>
        <w:spacing w:after="0" w:line="202" w:lineRule="exact"/>
        <w:rPr>
          <w:sz w:val="20"/>
          <w:szCs w:val="20"/>
          <w:color w:val="auto"/>
        </w:rPr>
      </w:pPr>
    </w:p>
    <w:tbl>
      <w:tblPr>
        <w:tblLayout w:type="fixed"/>
        <w:tblInd w:w="280" w:type="dxa"/>
        <w:tblCellMar>
          <w:top w:w="0" w:type="dxa"/>
          <w:left w:w="0" w:type="dxa"/>
          <w:bottom w:w="0" w:type="dxa"/>
          <w:right w:w="0" w:type="dxa"/>
        </w:tblCellMar>
      </w:tblPr>
      <w:tr>
        <w:trPr>
          <w:trHeight w:val="255"/>
        </w:trPr>
        <w:tc>
          <w:tcPr>
            <w:tcW w:w="2270" w:type="dxa"/>
            <w:vAlign w:val="bottom"/>
            <w:shd w:val="clear" w:color="auto" w:fill="007549"/>
          </w:tcPr>
          <w:p>
            <w:pPr>
              <w:spacing w:after="0"/>
              <w:rPr>
                <w:sz w:val="22"/>
                <w:szCs w:val="22"/>
                <w:color w:val="auto"/>
              </w:rPr>
            </w:pPr>
          </w:p>
        </w:tc>
        <w:tc>
          <w:tcPr>
            <w:tcW w:w="1530" w:type="dxa"/>
            <w:vAlign w:val="bottom"/>
            <w:shd w:val="clear" w:color="auto" w:fill="007549"/>
          </w:tcPr>
          <w:p>
            <w:pPr>
              <w:spacing w:after="0"/>
              <w:rPr>
                <w:sz w:val="22"/>
                <w:szCs w:val="22"/>
                <w:color w:val="auto"/>
              </w:rPr>
            </w:pPr>
          </w:p>
        </w:tc>
        <w:tc>
          <w:tcPr>
            <w:tcW w:w="1320" w:type="dxa"/>
            <w:vAlign w:val="bottom"/>
            <w:shd w:val="clear" w:color="auto" w:fill="007549"/>
          </w:tcPr>
          <w:p>
            <w:pPr>
              <w:spacing w:after="0"/>
              <w:rPr>
                <w:sz w:val="22"/>
                <w:szCs w:val="22"/>
                <w:color w:val="auto"/>
              </w:rPr>
            </w:pPr>
          </w:p>
        </w:tc>
        <w:tc>
          <w:tcPr>
            <w:tcW w:w="1580" w:type="dxa"/>
            <w:vAlign w:val="bottom"/>
            <w:shd w:val="clear" w:color="auto" w:fill="007549"/>
          </w:tcPr>
          <w:p>
            <w:pPr>
              <w:spacing w:after="0"/>
              <w:rPr>
                <w:sz w:val="22"/>
                <w:szCs w:val="22"/>
                <w:color w:val="auto"/>
              </w:rPr>
            </w:pPr>
          </w:p>
        </w:tc>
        <w:tc>
          <w:tcPr>
            <w:tcW w:w="2900" w:type="dxa"/>
            <w:vAlign w:val="bottom"/>
            <w:gridSpan w:val="2"/>
            <w:shd w:val="clear" w:color="auto" w:fill="007549"/>
          </w:tcPr>
          <w:p>
            <w:pPr>
              <w:jc w:val="right"/>
              <w:ind w:right="1089"/>
              <w:spacing w:after="0"/>
              <w:rPr>
                <w:sz w:val="20"/>
                <w:szCs w:val="20"/>
                <w:color w:val="auto"/>
              </w:rPr>
            </w:pPr>
            <w:r>
              <w:rPr>
                <w:rFonts w:ascii="Arial" w:cs="Arial" w:eastAsia="Arial" w:hAnsi="Arial"/>
                <w:sz w:val="14"/>
                <w:szCs w:val="14"/>
                <w:b w:val="1"/>
                <w:bCs w:val="1"/>
                <w:color w:val="FFFFFF"/>
              </w:rPr>
              <w:t>Stock Awards</w:t>
            </w:r>
          </w:p>
        </w:tc>
        <w:tc>
          <w:tcPr>
            <w:tcW w:w="1260" w:type="dxa"/>
            <w:vAlign w:val="bottom"/>
            <w:shd w:val="clear" w:color="auto" w:fill="007549"/>
          </w:tcPr>
          <w:p>
            <w:pPr>
              <w:spacing w:after="0"/>
              <w:rPr>
                <w:sz w:val="22"/>
                <w:szCs w:val="22"/>
                <w:color w:val="auto"/>
              </w:rPr>
            </w:pPr>
          </w:p>
        </w:tc>
      </w:tr>
      <w:tr>
        <w:trPr>
          <w:trHeight w:val="226"/>
        </w:trPr>
        <w:tc>
          <w:tcPr>
            <w:tcW w:w="2270" w:type="dxa"/>
            <w:vAlign w:val="bottom"/>
            <w:shd w:val="clear" w:color="auto" w:fill="007549"/>
          </w:tcPr>
          <w:p>
            <w:pPr>
              <w:spacing w:after="0"/>
              <w:rPr>
                <w:sz w:val="19"/>
                <w:szCs w:val="19"/>
                <w:color w:val="auto"/>
              </w:rPr>
            </w:pPr>
          </w:p>
        </w:tc>
        <w:tc>
          <w:tcPr>
            <w:tcW w:w="2850" w:type="dxa"/>
            <w:vAlign w:val="bottom"/>
            <w:gridSpan w:val="2"/>
            <w:shd w:val="clear" w:color="auto" w:fill="007549"/>
          </w:tcPr>
          <w:p>
            <w:pPr>
              <w:ind w:left="890"/>
              <w:spacing w:after="0"/>
              <w:rPr>
                <w:sz w:val="20"/>
                <w:szCs w:val="20"/>
                <w:color w:val="auto"/>
              </w:rPr>
            </w:pPr>
            <w:r>
              <w:rPr>
                <w:rFonts w:ascii="Arial" w:cs="Arial" w:eastAsia="Arial" w:hAnsi="Arial"/>
                <w:sz w:val="14"/>
                <w:szCs w:val="14"/>
                <w:b w:val="1"/>
                <w:bCs w:val="1"/>
                <w:color w:val="FFFFFF"/>
              </w:rPr>
              <w:t>Option Awards</w:t>
            </w:r>
          </w:p>
        </w:tc>
        <w:tc>
          <w:tcPr>
            <w:tcW w:w="2920" w:type="dxa"/>
            <w:vAlign w:val="bottom"/>
            <w:gridSpan w:val="2"/>
            <w:shd w:val="clear" w:color="auto" w:fill="007549"/>
          </w:tcPr>
          <w:p>
            <w:pPr>
              <w:jc w:val="right"/>
              <w:ind w:right="929"/>
              <w:spacing w:after="0"/>
              <w:rPr>
                <w:sz w:val="20"/>
                <w:szCs w:val="20"/>
                <w:color w:val="auto"/>
              </w:rPr>
            </w:pPr>
            <w:r>
              <w:rPr>
                <w:rFonts w:ascii="Arial" w:cs="Arial" w:eastAsia="Arial" w:hAnsi="Arial"/>
                <w:sz w:val="14"/>
                <w:szCs w:val="14"/>
                <w:b w:val="1"/>
                <w:bCs w:val="1"/>
                <w:color w:val="FFFFFF"/>
              </w:rPr>
              <w:t>Restricted Stock</w:t>
            </w:r>
          </w:p>
        </w:tc>
        <w:tc>
          <w:tcPr>
            <w:tcW w:w="2820" w:type="dxa"/>
            <w:vAlign w:val="bottom"/>
            <w:gridSpan w:val="2"/>
            <w:shd w:val="clear" w:color="auto" w:fill="007549"/>
          </w:tcPr>
          <w:p>
            <w:pPr>
              <w:jc w:val="right"/>
              <w:ind w:right="529"/>
              <w:spacing w:after="0"/>
              <w:rPr>
                <w:sz w:val="20"/>
                <w:szCs w:val="20"/>
                <w:color w:val="auto"/>
              </w:rPr>
            </w:pPr>
            <w:r>
              <w:rPr>
                <w:rFonts w:ascii="Arial" w:cs="Arial" w:eastAsia="Arial" w:hAnsi="Arial"/>
                <w:sz w:val="14"/>
                <w:szCs w:val="14"/>
                <w:b w:val="1"/>
                <w:bCs w:val="1"/>
                <w:color w:val="FFFFFF"/>
              </w:rPr>
              <w:t>Performance Share Units</w:t>
            </w:r>
          </w:p>
        </w:tc>
      </w:tr>
      <w:tr>
        <w:trPr>
          <w:trHeight w:val="197"/>
        </w:trPr>
        <w:tc>
          <w:tcPr>
            <w:tcW w:w="2270" w:type="dxa"/>
            <w:vAlign w:val="bottom"/>
            <w:shd w:val="clear" w:color="auto" w:fill="007549"/>
          </w:tcPr>
          <w:p>
            <w:pPr>
              <w:spacing w:after="0"/>
              <w:rPr>
                <w:sz w:val="17"/>
                <w:szCs w:val="17"/>
                <w:color w:val="auto"/>
              </w:rPr>
            </w:pPr>
          </w:p>
        </w:tc>
        <w:tc>
          <w:tcPr>
            <w:tcW w:w="1530" w:type="dxa"/>
            <w:vAlign w:val="bottom"/>
            <w:shd w:val="clear" w:color="auto" w:fill="007549"/>
          </w:tcPr>
          <w:p>
            <w:pPr>
              <w:jc w:val="center"/>
              <w:spacing w:after="0"/>
              <w:rPr>
                <w:sz w:val="20"/>
                <w:szCs w:val="20"/>
                <w:color w:val="auto"/>
              </w:rPr>
            </w:pPr>
            <w:r>
              <w:rPr>
                <w:rFonts w:ascii="Arial" w:cs="Arial" w:eastAsia="Arial" w:hAnsi="Arial"/>
                <w:sz w:val="14"/>
                <w:szCs w:val="14"/>
                <w:b w:val="1"/>
                <w:bCs w:val="1"/>
                <w:color w:val="FFFFFF"/>
              </w:rPr>
              <w:t>Number of Shares</w:t>
            </w:r>
          </w:p>
        </w:tc>
        <w:tc>
          <w:tcPr>
            <w:tcW w:w="1320" w:type="dxa"/>
            <w:vAlign w:val="bottom"/>
            <w:shd w:val="clear" w:color="auto" w:fill="007549"/>
          </w:tcPr>
          <w:p>
            <w:pPr>
              <w:spacing w:after="0"/>
              <w:rPr>
                <w:sz w:val="17"/>
                <w:szCs w:val="17"/>
                <w:color w:val="auto"/>
              </w:rPr>
            </w:pPr>
          </w:p>
        </w:tc>
        <w:tc>
          <w:tcPr>
            <w:tcW w:w="1580" w:type="dxa"/>
            <w:vAlign w:val="bottom"/>
            <w:shd w:val="clear" w:color="auto" w:fill="007549"/>
          </w:tcPr>
          <w:p>
            <w:pPr>
              <w:jc w:val="center"/>
              <w:spacing w:after="0"/>
              <w:rPr>
                <w:sz w:val="20"/>
                <w:szCs w:val="20"/>
                <w:color w:val="auto"/>
              </w:rPr>
            </w:pPr>
            <w:r>
              <w:rPr>
                <w:rFonts w:ascii="Arial" w:cs="Arial" w:eastAsia="Arial" w:hAnsi="Arial"/>
                <w:sz w:val="14"/>
                <w:szCs w:val="14"/>
                <w:b w:val="1"/>
                <w:bCs w:val="1"/>
                <w:color w:val="FFFFFF"/>
              </w:rPr>
              <w:t>Number of Shares</w:t>
            </w:r>
          </w:p>
        </w:tc>
        <w:tc>
          <w:tcPr>
            <w:tcW w:w="1340" w:type="dxa"/>
            <w:vAlign w:val="bottom"/>
            <w:shd w:val="clear" w:color="auto" w:fill="007549"/>
          </w:tcPr>
          <w:p>
            <w:pPr>
              <w:spacing w:after="0"/>
              <w:rPr>
                <w:sz w:val="17"/>
                <w:szCs w:val="17"/>
                <w:color w:val="auto"/>
              </w:rPr>
            </w:pPr>
          </w:p>
        </w:tc>
        <w:tc>
          <w:tcPr>
            <w:tcW w:w="1560" w:type="dxa"/>
            <w:vAlign w:val="bottom"/>
            <w:shd w:val="clear" w:color="auto" w:fill="007549"/>
          </w:tcPr>
          <w:p>
            <w:pPr>
              <w:jc w:val="center"/>
              <w:spacing w:after="0"/>
              <w:rPr>
                <w:sz w:val="20"/>
                <w:szCs w:val="20"/>
                <w:color w:val="auto"/>
              </w:rPr>
            </w:pPr>
            <w:r>
              <w:rPr>
                <w:rFonts w:ascii="Arial" w:cs="Arial" w:eastAsia="Arial" w:hAnsi="Arial"/>
                <w:sz w:val="14"/>
                <w:szCs w:val="14"/>
                <w:b w:val="1"/>
                <w:bCs w:val="1"/>
                <w:color w:val="FFFFFF"/>
              </w:rPr>
              <w:t>Number of Shares</w:t>
            </w:r>
          </w:p>
        </w:tc>
        <w:tc>
          <w:tcPr>
            <w:tcW w:w="1260" w:type="dxa"/>
            <w:vAlign w:val="bottom"/>
            <w:shd w:val="clear" w:color="auto" w:fill="007549"/>
          </w:tcPr>
          <w:p>
            <w:pPr>
              <w:spacing w:after="0"/>
              <w:rPr>
                <w:sz w:val="17"/>
                <w:szCs w:val="17"/>
                <w:color w:val="auto"/>
              </w:rPr>
            </w:pPr>
          </w:p>
        </w:tc>
      </w:tr>
      <w:tr>
        <w:trPr>
          <w:trHeight w:val="160"/>
        </w:trPr>
        <w:tc>
          <w:tcPr>
            <w:tcW w:w="2270" w:type="dxa"/>
            <w:vAlign w:val="bottom"/>
            <w:shd w:val="clear" w:color="auto" w:fill="007549"/>
          </w:tcPr>
          <w:p>
            <w:pPr>
              <w:spacing w:after="0"/>
              <w:rPr>
                <w:sz w:val="13"/>
                <w:szCs w:val="13"/>
                <w:color w:val="auto"/>
              </w:rPr>
            </w:pPr>
          </w:p>
        </w:tc>
        <w:tc>
          <w:tcPr>
            <w:tcW w:w="1530" w:type="dxa"/>
            <w:vAlign w:val="bottom"/>
            <w:shd w:val="clear" w:color="auto" w:fill="007549"/>
          </w:tcPr>
          <w:p>
            <w:pPr>
              <w:jc w:val="center"/>
              <w:spacing w:after="0" w:line="160" w:lineRule="exact"/>
              <w:rPr>
                <w:sz w:val="20"/>
                <w:szCs w:val="20"/>
                <w:color w:val="auto"/>
              </w:rPr>
            </w:pPr>
            <w:r>
              <w:rPr>
                <w:rFonts w:ascii="Arial" w:cs="Arial" w:eastAsia="Arial" w:hAnsi="Arial"/>
                <w:sz w:val="14"/>
                <w:szCs w:val="14"/>
                <w:b w:val="1"/>
                <w:bCs w:val="1"/>
                <w:color w:val="FFFFFF"/>
              </w:rPr>
              <w:t>Acquired on</w:t>
            </w:r>
          </w:p>
        </w:tc>
        <w:tc>
          <w:tcPr>
            <w:tcW w:w="1320" w:type="dxa"/>
            <w:vAlign w:val="bottom"/>
            <w:shd w:val="clear" w:color="auto" w:fill="007549"/>
          </w:tcPr>
          <w:p>
            <w:pPr>
              <w:jc w:val="center"/>
              <w:spacing w:after="0" w:line="160" w:lineRule="exact"/>
              <w:rPr>
                <w:sz w:val="20"/>
                <w:szCs w:val="20"/>
                <w:color w:val="auto"/>
              </w:rPr>
            </w:pPr>
            <w:r>
              <w:rPr>
                <w:rFonts w:ascii="Arial" w:cs="Arial" w:eastAsia="Arial" w:hAnsi="Arial"/>
                <w:sz w:val="14"/>
                <w:szCs w:val="14"/>
                <w:b w:val="1"/>
                <w:bCs w:val="1"/>
                <w:color w:val="FFFFFF"/>
                <w:w w:val="99"/>
              </w:rPr>
              <w:t>Value Realized</w:t>
            </w:r>
          </w:p>
        </w:tc>
        <w:tc>
          <w:tcPr>
            <w:tcW w:w="1580" w:type="dxa"/>
            <w:vAlign w:val="bottom"/>
            <w:shd w:val="clear" w:color="auto" w:fill="007549"/>
          </w:tcPr>
          <w:p>
            <w:pPr>
              <w:jc w:val="center"/>
              <w:spacing w:after="0" w:line="160" w:lineRule="exact"/>
              <w:rPr>
                <w:sz w:val="20"/>
                <w:szCs w:val="20"/>
                <w:color w:val="auto"/>
              </w:rPr>
            </w:pPr>
            <w:r>
              <w:rPr>
                <w:rFonts w:ascii="Arial" w:cs="Arial" w:eastAsia="Arial" w:hAnsi="Arial"/>
                <w:sz w:val="14"/>
                <w:szCs w:val="14"/>
                <w:b w:val="1"/>
                <w:bCs w:val="1"/>
                <w:color w:val="FFFFFF"/>
              </w:rPr>
              <w:t>Acquired on</w:t>
            </w:r>
          </w:p>
        </w:tc>
        <w:tc>
          <w:tcPr>
            <w:tcW w:w="1340" w:type="dxa"/>
            <w:vAlign w:val="bottom"/>
            <w:shd w:val="clear" w:color="auto" w:fill="007549"/>
          </w:tcPr>
          <w:p>
            <w:pPr>
              <w:jc w:val="center"/>
              <w:spacing w:after="0" w:line="160" w:lineRule="exact"/>
              <w:rPr>
                <w:sz w:val="20"/>
                <w:szCs w:val="20"/>
                <w:color w:val="auto"/>
              </w:rPr>
            </w:pPr>
            <w:r>
              <w:rPr>
                <w:rFonts w:ascii="Arial" w:cs="Arial" w:eastAsia="Arial" w:hAnsi="Arial"/>
                <w:sz w:val="14"/>
                <w:szCs w:val="14"/>
                <w:b w:val="1"/>
                <w:bCs w:val="1"/>
                <w:color w:val="FFFFFF"/>
                <w:w w:val="99"/>
              </w:rPr>
              <w:t>Value Realized</w:t>
            </w:r>
          </w:p>
        </w:tc>
        <w:tc>
          <w:tcPr>
            <w:tcW w:w="1560" w:type="dxa"/>
            <w:vAlign w:val="bottom"/>
            <w:shd w:val="clear" w:color="auto" w:fill="007549"/>
          </w:tcPr>
          <w:p>
            <w:pPr>
              <w:jc w:val="center"/>
              <w:spacing w:after="0" w:line="160" w:lineRule="exact"/>
              <w:rPr>
                <w:sz w:val="20"/>
                <w:szCs w:val="20"/>
                <w:color w:val="auto"/>
              </w:rPr>
            </w:pPr>
            <w:r>
              <w:rPr>
                <w:rFonts w:ascii="Arial" w:cs="Arial" w:eastAsia="Arial" w:hAnsi="Arial"/>
                <w:sz w:val="14"/>
                <w:szCs w:val="14"/>
                <w:b w:val="1"/>
                <w:bCs w:val="1"/>
                <w:color w:val="FFFFFF"/>
              </w:rPr>
              <w:t>Acquired on</w:t>
            </w:r>
          </w:p>
        </w:tc>
        <w:tc>
          <w:tcPr>
            <w:tcW w:w="1260" w:type="dxa"/>
            <w:vAlign w:val="bottom"/>
            <w:shd w:val="clear" w:color="auto" w:fill="007549"/>
          </w:tcPr>
          <w:p>
            <w:pPr>
              <w:jc w:val="center"/>
              <w:spacing w:after="0" w:line="160" w:lineRule="exact"/>
              <w:rPr>
                <w:sz w:val="20"/>
                <w:szCs w:val="20"/>
                <w:color w:val="auto"/>
              </w:rPr>
            </w:pPr>
            <w:r>
              <w:rPr>
                <w:rFonts w:ascii="Arial" w:cs="Arial" w:eastAsia="Arial" w:hAnsi="Arial"/>
                <w:sz w:val="14"/>
                <w:szCs w:val="14"/>
                <w:b w:val="1"/>
                <w:bCs w:val="1"/>
                <w:color w:val="FFFFFF"/>
                <w:w w:val="99"/>
              </w:rPr>
              <w:t>Value Realized</w:t>
            </w:r>
          </w:p>
        </w:tc>
      </w:tr>
      <w:tr>
        <w:trPr>
          <w:trHeight w:val="160"/>
        </w:trPr>
        <w:tc>
          <w:tcPr>
            <w:tcW w:w="2270" w:type="dxa"/>
            <w:vAlign w:val="bottom"/>
            <w:shd w:val="clear" w:color="auto" w:fill="007549"/>
          </w:tcPr>
          <w:p>
            <w:pPr>
              <w:ind w:left="80"/>
              <w:spacing w:after="0" w:line="160" w:lineRule="exact"/>
              <w:rPr>
                <w:sz w:val="20"/>
                <w:szCs w:val="20"/>
                <w:color w:val="auto"/>
              </w:rPr>
            </w:pPr>
            <w:r>
              <w:rPr>
                <w:rFonts w:ascii="Arial" w:cs="Arial" w:eastAsia="Arial" w:hAnsi="Arial"/>
                <w:sz w:val="14"/>
                <w:szCs w:val="14"/>
                <w:b w:val="1"/>
                <w:bCs w:val="1"/>
                <w:color w:val="FFFFFF"/>
              </w:rPr>
              <w:t>Name</w:t>
            </w:r>
          </w:p>
        </w:tc>
        <w:tc>
          <w:tcPr>
            <w:tcW w:w="1530" w:type="dxa"/>
            <w:vAlign w:val="bottom"/>
            <w:shd w:val="clear" w:color="auto" w:fill="007549"/>
          </w:tcPr>
          <w:p>
            <w:pPr>
              <w:jc w:val="center"/>
              <w:spacing w:after="0" w:line="160" w:lineRule="exact"/>
              <w:rPr>
                <w:sz w:val="20"/>
                <w:szCs w:val="20"/>
                <w:color w:val="auto"/>
              </w:rPr>
            </w:pPr>
            <w:r>
              <w:rPr>
                <w:rFonts w:ascii="Arial" w:cs="Arial" w:eastAsia="Arial" w:hAnsi="Arial"/>
                <w:sz w:val="14"/>
                <w:szCs w:val="14"/>
                <w:b w:val="1"/>
                <w:bCs w:val="1"/>
                <w:color w:val="FFFFFF"/>
              </w:rPr>
              <w:t>Exercise (#)</w:t>
            </w:r>
          </w:p>
        </w:tc>
        <w:tc>
          <w:tcPr>
            <w:tcW w:w="1320" w:type="dxa"/>
            <w:vAlign w:val="bottom"/>
            <w:shd w:val="clear" w:color="auto" w:fill="007549"/>
          </w:tcPr>
          <w:p>
            <w:pPr>
              <w:jc w:val="center"/>
              <w:spacing w:after="0" w:line="160" w:lineRule="exact"/>
              <w:rPr>
                <w:sz w:val="20"/>
                <w:szCs w:val="20"/>
                <w:color w:val="auto"/>
              </w:rPr>
            </w:pPr>
            <w:r>
              <w:rPr>
                <w:rFonts w:ascii="Arial" w:cs="Arial" w:eastAsia="Arial" w:hAnsi="Arial"/>
                <w:sz w:val="14"/>
                <w:szCs w:val="14"/>
                <w:b w:val="1"/>
                <w:bCs w:val="1"/>
                <w:color w:val="FFFFFF"/>
              </w:rPr>
              <w:t>on Exercise ($)</w:t>
            </w:r>
          </w:p>
        </w:tc>
        <w:tc>
          <w:tcPr>
            <w:tcW w:w="1580" w:type="dxa"/>
            <w:vAlign w:val="bottom"/>
            <w:shd w:val="clear" w:color="auto" w:fill="007549"/>
          </w:tcPr>
          <w:p>
            <w:pPr>
              <w:jc w:val="center"/>
              <w:spacing w:after="0" w:line="160" w:lineRule="exact"/>
              <w:rPr>
                <w:sz w:val="20"/>
                <w:szCs w:val="20"/>
                <w:color w:val="auto"/>
              </w:rPr>
            </w:pPr>
            <w:r>
              <w:rPr>
                <w:rFonts w:ascii="Arial" w:cs="Arial" w:eastAsia="Arial" w:hAnsi="Arial"/>
                <w:sz w:val="14"/>
                <w:szCs w:val="14"/>
                <w:b w:val="1"/>
                <w:bCs w:val="1"/>
                <w:color w:val="FFFFFF"/>
              </w:rPr>
              <w:t>Vesting (#)</w:t>
            </w:r>
          </w:p>
        </w:tc>
        <w:tc>
          <w:tcPr>
            <w:tcW w:w="1340" w:type="dxa"/>
            <w:vAlign w:val="bottom"/>
            <w:shd w:val="clear" w:color="auto" w:fill="007549"/>
          </w:tcPr>
          <w:p>
            <w:pPr>
              <w:jc w:val="center"/>
              <w:spacing w:after="0" w:line="160" w:lineRule="exact"/>
              <w:rPr>
                <w:sz w:val="20"/>
                <w:szCs w:val="20"/>
                <w:color w:val="auto"/>
              </w:rPr>
            </w:pPr>
            <w:r>
              <w:rPr>
                <w:rFonts w:ascii="Arial" w:cs="Arial" w:eastAsia="Arial" w:hAnsi="Arial"/>
                <w:sz w:val="14"/>
                <w:szCs w:val="14"/>
                <w:b w:val="1"/>
                <w:bCs w:val="1"/>
                <w:color w:val="FFFFFF"/>
              </w:rPr>
              <w:t>on Vesting ($)</w:t>
            </w:r>
          </w:p>
        </w:tc>
        <w:tc>
          <w:tcPr>
            <w:tcW w:w="1560" w:type="dxa"/>
            <w:vAlign w:val="bottom"/>
            <w:shd w:val="clear" w:color="auto" w:fill="007549"/>
          </w:tcPr>
          <w:p>
            <w:pPr>
              <w:jc w:val="center"/>
              <w:spacing w:after="0" w:line="160" w:lineRule="exact"/>
              <w:rPr>
                <w:sz w:val="20"/>
                <w:szCs w:val="20"/>
                <w:color w:val="auto"/>
              </w:rPr>
            </w:pPr>
            <w:r>
              <w:rPr>
                <w:rFonts w:ascii="Arial" w:cs="Arial" w:eastAsia="Arial" w:hAnsi="Arial"/>
                <w:sz w:val="14"/>
                <w:szCs w:val="14"/>
                <w:b w:val="1"/>
                <w:bCs w:val="1"/>
                <w:color w:val="FFFFFF"/>
              </w:rPr>
              <w:t>Vesting (#)</w:t>
            </w:r>
          </w:p>
        </w:tc>
        <w:tc>
          <w:tcPr>
            <w:tcW w:w="1260" w:type="dxa"/>
            <w:vAlign w:val="bottom"/>
            <w:shd w:val="clear" w:color="auto" w:fill="007549"/>
          </w:tcPr>
          <w:p>
            <w:pPr>
              <w:jc w:val="center"/>
              <w:spacing w:after="0" w:line="160" w:lineRule="exact"/>
              <w:rPr>
                <w:sz w:val="20"/>
                <w:szCs w:val="20"/>
                <w:color w:val="auto"/>
              </w:rPr>
            </w:pPr>
            <w:r>
              <w:rPr>
                <w:rFonts w:ascii="Arial" w:cs="Arial" w:eastAsia="Arial" w:hAnsi="Arial"/>
                <w:sz w:val="14"/>
                <w:szCs w:val="14"/>
                <w:b w:val="1"/>
                <w:bCs w:val="1"/>
                <w:color w:val="FFFFFF"/>
              </w:rPr>
              <w:t>on Vesting ($)</w:t>
            </w:r>
          </w:p>
        </w:tc>
      </w:tr>
      <w:tr>
        <w:trPr>
          <w:trHeight w:val="200"/>
        </w:trPr>
        <w:tc>
          <w:tcPr>
            <w:tcW w:w="2270" w:type="dxa"/>
            <w:vAlign w:val="bottom"/>
            <w:shd w:val="clear" w:color="auto" w:fill="007549"/>
          </w:tcPr>
          <w:p>
            <w:pPr>
              <w:ind w:left="80"/>
              <w:spacing w:after="0"/>
              <w:rPr>
                <w:sz w:val="20"/>
                <w:szCs w:val="20"/>
                <w:color w:val="auto"/>
              </w:rPr>
            </w:pPr>
            <w:r>
              <w:rPr>
                <w:rFonts w:ascii="Arial" w:cs="Arial" w:eastAsia="Arial" w:hAnsi="Arial"/>
                <w:sz w:val="14"/>
                <w:szCs w:val="14"/>
                <w:b w:val="1"/>
                <w:bCs w:val="1"/>
                <w:color w:val="FFFFFF"/>
              </w:rPr>
              <w:t>(a)</w:t>
            </w:r>
          </w:p>
        </w:tc>
        <w:tc>
          <w:tcPr>
            <w:tcW w:w="1530" w:type="dxa"/>
            <w:vAlign w:val="bottom"/>
            <w:shd w:val="clear" w:color="auto" w:fill="007549"/>
          </w:tcPr>
          <w:p>
            <w:pPr>
              <w:jc w:val="center"/>
              <w:spacing w:after="0"/>
              <w:rPr>
                <w:sz w:val="20"/>
                <w:szCs w:val="20"/>
                <w:color w:val="auto"/>
              </w:rPr>
            </w:pPr>
            <w:r>
              <w:rPr>
                <w:rFonts w:ascii="Arial" w:cs="Arial" w:eastAsia="Arial" w:hAnsi="Arial"/>
                <w:sz w:val="14"/>
                <w:szCs w:val="14"/>
                <w:b w:val="1"/>
                <w:bCs w:val="1"/>
                <w:color w:val="FFFFFF"/>
              </w:rPr>
              <w:t>(b)</w:t>
            </w:r>
          </w:p>
        </w:tc>
        <w:tc>
          <w:tcPr>
            <w:tcW w:w="1320" w:type="dxa"/>
            <w:vAlign w:val="bottom"/>
            <w:shd w:val="clear" w:color="auto" w:fill="007549"/>
          </w:tcPr>
          <w:p>
            <w:pPr>
              <w:jc w:val="center"/>
              <w:spacing w:after="0"/>
              <w:rPr>
                <w:sz w:val="20"/>
                <w:szCs w:val="20"/>
                <w:color w:val="auto"/>
              </w:rPr>
            </w:pPr>
            <w:r>
              <w:rPr>
                <w:rFonts w:ascii="Arial" w:cs="Arial" w:eastAsia="Arial" w:hAnsi="Arial"/>
                <w:sz w:val="14"/>
                <w:szCs w:val="14"/>
                <w:b w:val="1"/>
                <w:bCs w:val="1"/>
                <w:color w:val="FFFFFF"/>
              </w:rPr>
              <w:t>(c)</w:t>
            </w:r>
          </w:p>
        </w:tc>
        <w:tc>
          <w:tcPr>
            <w:tcW w:w="1580" w:type="dxa"/>
            <w:vAlign w:val="bottom"/>
            <w:shd w:val="clear" w:color="auto" w:fill="007549"/>
          </w:tcPr>
          <w:p>
            <w:pPr>
              <w:jc w:val="center"/>
              <w:spacing w:after="0"/>
              <w:rPr>
                <w:sz w:val="20"/>
                <w:szCs w:val="20"/>
                <w:color w:val="auto"/>
              </w:rPr>
            </w:pPr>
            <w:r>
              <w:rPr>
                <w:rFonts w:ascii="Arial" w:cs="Arial" w:eastAsia="Arial" w:hAnsi="Arial"/>
                <w:sz w:val="14"/>
                <w:szCs w:val="14"/>
                <w:b w:val="1"/>
                <w:bCs w:val="1"/>
                <w:color w:val="FFFFFF"/>
              </w:rPr>
              <w:t>(d)</w:t>
            </w:r>
          </w:p>
        </w:tc>
        <w:tc>
          <w:tcPr>
            <w:tcW w:w="1340" w:type="dxa"/>
            <w:vAlign w:val="bottom"/>
            <w:shd w:val="clear" w:color="auto" w:fill="007549"/>
          </w:tcPr>
          <w:p>
            <w:pPr>
              <w:jc w:val="center"/>
              <w:spacing w:after="0"/>
              <w:rPr>
                <w:sz w:val="20"/>
                <w:szCs w:val="20"/>
                <w:color w:val="auto"/>
              </w:rPr>
            </w:pPr>
            <w:r>
              <w:rPr>
                <w:rFonts w:ascii="Arial" w:cs="Arial" w:eastAsia="Arial" w:hAnsi="Arial"/>
                <w:sz w:val="14"/>
                <w:szCs w:val="14"/>
                <w:b w:val="1"/>
                <w:bCs w:val="1"/>
                <w:color w:val="FFFFFF"/>
                <w:w w:val="99"/>
              </w:rPr>
              <w:t>(e)(1)</w:t>
            </w:r>
          </w:p>
        </w:tc>
        <w:tc>
          <w:tcPr>
            <w:tcW w:w="1560" w:type="dxa"/>
            <w:vAlign w:val="bottom"/>
            <w:shd w:val="clear" w:color="auto" w:fill="007549"/>
          </w:tcPr>
          <w:p>
            <w:pPr>
              <w:jc w:val="center"/>
              <w:spacing w:after="0"/>
              <w:rPr>
                <w:sz w:val="20"/>
                <w:szCs w:val="20"/>
                <w:color w:val="auto"/>
              </w:rPr>
            </w:pPr>
            <w:r>
              <w:rPr>
                <w:rFonts w:ascii="Arial" w:cs="Arial" w:eastAsia="Arial" w:hAnsi="Arial"/>
                <w:sz w:val="14"/>
                <w:szCs w:val="14"/>
                <w:b w:val="1"/>
                <w:bCs w:val="1"/>
                <w:color w:val="FFFFFF"/>
                <w:w w:val="99"/>
              </w:rPr>
              <w:t>(f)</w:t>
            </w:r>
          </w:p>
        </w:tc>
        <w:tc>
          <w:tcPr>
            <w:tcW w:w="1260" w:type="dxa"/>
            <w:vAlign w:val="bottom"/>
            <w:shd w:val="clear" w:color="auto" w:fill="007549"/>
          </w:tcPr>
          <w:p>
            <w:pPr>
              <w:jc w:val="center"/>
              <w:spacing w:after="0"/>
              <w:rPr>
                <w:sz w:val="20"/>
                <w:szCs w:val="20"/>
                <w:color w:val="auto"/>
              </w:rPr>
            </w:pPr>
            <w:r>
              <w:rPr>
                <w:rFonts w:ascii="Arial" w:cs="Arial" w:eastAsia="Arial" w:hAnsi="Arial"/>
                <w:sz w:val="14"/>
                <w:szCs w:val="14"/>
                <w:b w:val="1"/>
                <w:bCs w:val="1"/>
                <w:color w:val="FFFFFF"/>
                <w:w w:val="97"/>
              </w:rPr>
              <w:t>(g)(2)</w:t>
            </w:r>
          </w:p>
        </w:tc>
      </w:tr>
      <w:tr>
        <w:trPr>
          <w:trHeight w:val="226"/>
        </w:trPr>
        <w:tc>
          <w:tcPr>
            <w:tcW w:w="2270" w:type="dxa"/>
            <w:vAlign w:val="bottom"/>
            <w:shd w:val="clear" w:color="auto" w:fill="E5E5E5"/>
          </w:tcPr>
          <w:p>
            <w:pPr>
              <w:ind w:left="80"/>
              <w:spacing w:after="0"/>
              <w:rPr>
                <w:sz w:val="20"/>
                <w:szCs w:val="20"/>
                <w:color w:val="auto"/>
              </w:rPr>
            </w:pPr>
            <w:r>
              <w:rPr>
                <w:rFonts w:ascii="Arial" w:cs="Arial" w:eastAsia="Arial" w:hAnsi="Arial"/>
                <w:sz w:val="14"/>
                <w:szCs w:val="14"/>
                <w:color w:val="auto"/>
              </w:rPr>
              <w:t>Hess, John B</w:t>
            </w:r>
          </w:p>
        </w:tc>
        <w:tc>
          <w:tcPr>
            <w:tcW w:w="1530" w:type="dxa"/>
            <w:vAlign w:val="bottom"/>
            <w:shd w:val="clear" w:color="auto" w:fill="E5E5E5"/>
          </w:tcPr>
          <w:p>
            <w:pPr>
              <w:jc w:val="center"/>
              <w:spacing w:after="0"/>
              <w:rPr>
                <w:sz w:val="20"/>
                <w:szCs w:val="20"/>
                <w:color w:val="auto"/>
              </w:rPr>
            </w:pPr>
            <w:r>
              <w:rPr>
                <w:rFonts w:ascii="Arial" w:cs="Arial" w:eastAsia="Arial" w:hAnsi="Arial"/>
                <w:sz w:val="14"/>
                <w:szCs w:val="14"/>
                <w:color w:val="auto"/>
                <w:w w:val="99"/>
              </w:rPr>
              <w:t>—</w:t>
            </w:r>
          </w:p>
        </w:tc>
        <w:tc>
          <w:tcPr>
            <w:tcW w:w="1320" w:type="dxa"/>
            <w:vAlign w:val="bottom"/>
            <w:shd w:val="clear" w:color="auto" w:fill="E5E5E5"/>
          </w:tcPr>
          <w:p>
            <w:pPr>
              <w:ind w:left="620"/>
              <w:spacing w:after="0"/>
              <w:rPr>
                <w:sz w:val="20"/>
                <w:szCs w:val="20"/>
                <w:color w:val="auto"/>
              </w:rPr>
            </w:pPr>
            <w:r>
              <w:rPr>
                <w:rFonts w:ascii="Arial" w:cs="Arial" w:eastAsia="Arial" w:hAnsi="Arial"/>
                <w:sz w:val="14"/>
                <w:szCs w:val="14"/>
                <w:color w:val="auto"/>
              </w:rPr>
              <w:t>—</w:t>
            </w:r>
          </w:p>
        </w:tc>
        <w:tc>
          <w:tcPr>
            <w:tcW w:w="1580" w:type="dxa"/>
            <w:vAlign w:val="bottom"/>
            <w:shd w:val="clear" w:color="auto" w:fill="E5E5E5"/>
          </w:tcPr>
          <w:p>
            <w:pPr>
              <w:jc w:val="right"/>
              <w:ind w:right="469"/>
              <w:spacing w:after="0"/>
              <w:rPr>
                <w:sz w:val="20"/>
                <w:szCs w:val="20"/>
                <w:color w:val="auto"/>
              </w:rPr>
            </w:pPr>
            <w:r>
              <w:rPr>
                <w:rFonts w:ascii="Arial" w:cs="Arial" w:eastAsia="Arial" w:hAnsi="Arial"/>
                <w:sz w:val="14"/>
                <w:szCs w:val="14"/>
                <w:color w:val="auto"/>
              </w:rPr>
              <w:t>24,331</w:t>
            </w:r>
          </w:p>
        </w:tc>
        <w:tc>
          <w:tcPr>
            <w:tcW w:w="1340" w:type="dxa"/>
            <w:vAlign w:val="bottom"/>
            <w:shd w:val="clear" w:color="auto" w:fill="E5E5E5"/>
          </w:tcPr>
          <w:p>
            <w:pPr>
              <w:jc w:val="right"/>
              <w:ind w:right="109"/>
              <w:spacing w:after="0"/>
              <w:rPr>
                <w:sz w:val="20"/>
                <w:szCs w:val="20"/>
                <w:color w:val="auto"/>
              </w:rPr>
            </w:pPr>
            <w:r>
              <w:rPr>
                <w:rFonts w:ascii="Arial" w:cs="Arial" w:eastAsia="Arial" w:hAnsi="Arial"/>
                <w:sz w:val="14"/>
                <w:szCs w:val="14"/>
                <w:color w:val="auto"/>
              </w:rPr>
              <w:t>1,241,611</w:t>
            </w:r>
          </w:p>
        </w:tc>
        <w:tc>
          <w:tcPr>
            <w:tcW w:w="1560" w:type="dxa"/>
            <w:vAlign w:val="bottom"/>
            <w:shd w:val="clear" w:color="auto" w:fill="E5E5E5"/>
          </w:tcPr>
          <w:p>
            <w:pPr>
              <w:jc w:val="right"/>
              <w:ind w:right="469"/>
              <w:spacing w:after="0"/>
              <w:rPr>
                <w:sz w:val="20"/>
                <w:szCs w:val="20"/>
                <w:color w:val="auto"/>
              </w:rPr>
            </w:pPr>
            <w:r>
              <w:rPr>
                <w:rFonts w:ascii="Arial" w:cs="Arial" w:eastAsia="Arial" w:hAnsi="Arial"/>
                <w:sz w:val="14"/>
                <w:szCs w:val="14"/>
                <w:color w:val="auto"/>
              </w:rPr>
              <w:t>43,711</w:t>
            </w:r>
          </w:p>
        </w:tc>
        <w:tc>
          <w:tcPr>
            <w:tcW w:w="12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2,368,262</w:t>
            </w:r>
          </w:p>
        </w:tc>
      </w:tr>
      <w:tr>
        <w:trPr>
          <w:trHeight w:val="221"/>
        </w:trPr>
        <w:tc>
          <w:tcPr>
            <w:tcW w:w="2270" w:type="dxa"/>
            <w:vAlign w:val="bottom"/>
          </w:tcPr>
          <w:p>
            <w:pPr>
              <w:ind w:left="80"/>
              <w:spacing w:after="0"/>
              <w:rPr>
                <w:sz w:val="20"/>
                <w:szCs w:val="20"/>
                <w:color w:val="auto"/>
              </w:rPr>
            </w:pPr>
            <w:r>
              <w:rPr>
                <w:rFonts w:ascii="Arial" w:cs="Arial" w:eastAsia="Arial" w:hAnsi="Arial"/>
                <w:sz w:val="14"/>
                <w:szCs w:val="14"/>
                <w:color w:val="auto"/>
              </w:rPr>
              <w:t>Hill, Gregory P</w:t>
            </w:r>
          </w:p>
        </w:tc>
        <w:tc>
          <w:tcPr>
            <w:tcW w:w="153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20" w:type="dxa"/>
            <w:vAlign w:val="bottom"/>
          </w:tcPr>
          <w:p>
            <w:pPr>
              <w:ind w:left="620"/>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469"/>
              <w:spacing w:after="0"/>
              <w:rPr>
                <w:sz w:val="20"/>
                <w:szCs w:val="20"/>
                <w:color w:val="auto"/>
              </w:rPr>
            </w:pPr>
            <w:r>
              <w:rPr>
                <w:rFonts w:ascii="Arial" w:cs="Arial" w:eastAsia="Arial" w:hAnsi="Arial"/>
                <w:sz w:val="14"/>
                <w:szCs w:val="14"/>
                <w:color w:val="auto"/>
              </w:rPr>
              <w:t>13,511</w:t>
            </w:r>
          </w:p>
        </w:tc>
        <w:tc>
          <w:tcPr>
            <w:tcW w:w="1340" w:type="dxa"/>
            <w:vAlign w:val="bottom"/>
          </w:tcPr>
          <w:p>
            <w:pPr>
              <w:jc w:val="right"/>
              <w:ind w:right="109"/>
              <w:spacing w:after="0"/>
              <w:rPr>
                <w:sz w:val="20"/>
                <w:szCs w:val="20"/>
                <w:color w:val="auto"/>
              </w:rPr>
            </w:pPr>
            <w:r>
              <w:rPr>
                <w:rFonts w:ascii="Arial" w:cs="Arial" w:eastAsia="Arial" w:hAnsi="Arial"/>
                <w:sz w:val="14"/>
                <w:szCs w:val="14"/>
                <w:color w:val="auto"/>
              </w:rPr>
              <w:t>689,466</w:t>
            </w:r>
          </w:p>
        </w:tc>
        <w:tc>
          <w:tcPr>
            <w:tcW w:w="1560" w:type="dxa"/>
            <w:vAlign w:val="bottom"/>
          </w:tcPr>
          <w:p>
            <w:pPr>
              <w:jc w:val="right"/>
              <w:ind w:right="469"/>
              <w:spacing w:after="0"/>
              <w:rPr>
                <w:sz w:val="20"/>
                <w:szCs w:val="20"/>
                <w:color w:val="auto"/>
              </w:rPr>
            </w:pPr>
            <w:r>
              <w:rPr>
                <w:rFonts w:ascii="Arial" w:cs="Arial" w:eastAsia="Arial" w:hAnsi="Arial"/>
                <w:sz w:val="14"/>
                <w:szCs w:val="14"/>
                <w:color w:val="auto"/>
              </w:rPr>
              <w:t>24,273</w:t>
            </w:r>
          </w:p>
        </w:tc>
        <w:tc>
          <w:tcPr>
            <w:tcW w:w="1260" w:type="dxa"/>
            <w:vAlign w:val="bottom"/>
          </w:tcPr>
          <w:p>
            <w:pPr>
              <w:jc w:val="right"/>
              <w:spacing w:after="0"/>
              <w:rPr>
                <w:sz w:val="20"/>
                <w:szCs w:val="20"/>
                <w:color w:val="auto"/>
              </w:rPr>
            </w:pPr>
            <w:r>
              <w:rPr>
                <w:rFonts w:ascii="Arial" w:cs="Arial" w:eastAsia="Arial" w:hAnsi="Arial"/>
                <w:sz w:val="14"/>
                <w:szCs w:val="14"/>
                <w:color w:val="auto"/>
              </w:rPr>
              <w:t>1,315,111</w:t>
            </w:r>
          </w:p>
        </w:tc>
      </w:tr>
      <w:tr>
        <w:trPr>
          <w:trHeight w:val="232"/>
        </w:trPr>
        <w:tc>
          <w:tcPr>
            <w:tcW w:w="2270" w:type="dxa"/>
            <w:vAlign w:val="bottom"/>
            <w:shd w:val="clear" w:color="auto" w:fill="E5E5E5"/>
          </w:tcPr>
          <w:p>
            <w:pPr>
              <w:ind w:left="80"/>
              <w:spacing w:after="0"/>
              <w:rPr>
                <w:sz w:val="20"/>
                <w:szCs w:val="20"/>
                <w:color w:val="auto"/>
              </w:rPr>
            </w:pPr>
            <w:r>
              <w:rPr>
                <w:rFonts w:ascii="Arial" w:cs="Arial" w:eastAsia="Arial" w:hAnsi="Arial"/>
                <w:sz w:val="14"/>
                <w:szCs w:val="14"/>
                <w:color w:val="auto"/>
              </w:rPr>
              <w:t>Goodell, Timothy B</w:t>
            </w:r>
          </w:p>
        </w:tc>
        <w:tc>
          <w:tcPr>
            <w:tcW w:w="1530" w:type="dxa"/>
            <w:vAlign w:val="bottom"/>
            <w:shd w:val="clear" w:color="auto" w:fill="E5E5E5"/>
          </w:tcPr>
          <w:p>
            <w:pPr>
              <w:jc w:val="center"/>
              <w:spacing w:after="0"/>
              <w:rPr>
                <w:sz w:val="20"/>
                <w:szCs w:val="20"/>
                <w:color w:val="auto"/>
              </w:rPr>
            </w:pPr>
            <w:r>
              <w:rPr>
                <w:rFonts w:ascii="Arial" w:cs="Arial" w:eastAsia="Arial" w:hAnsi="Arial"/>
                <w:sz w:val="14"/>
                <w:szCs w:val="14"/>
                <w:color w:val="auto"/>
                <w:w w:val="99"/>
              </w:rPr>
              <w:t>—</w:t>
            </w:r>
          </w:p>
        </w:tc>
        <w:tc>
          <w:tcPr>
            <w:tcW w:w="1320" w:type="dxa"/>
            <w:vAlign w:val="bottom"/>
            <w:shd w:val="clear" w:color="auto" w:fill="E5E5E5"/>
          </w:tcPr>
          <w:p>
            <w:pPr>
              <w:ind w:left="620"/>
              <w:spacing w:after="0"/>
              <w:rPr>
                <w:sz w:val="20"/>
                <w:szCs w:val="20"/>
                <w:color w:val="auto"/>
              </w:rPr>
            </w:pPr>
            <w:r>
              <w:rPr>
                <w:rFonts w:ascii="Arial" w:cs="Arial" w:eastAsia="Arial" w:hAnsi="Arial"/>
                <w:sz w:val="14"/>
                <w:szCs w:val="14"/>
                <w:color w:val="auto"/>
              </w:rPr>
              <w:t>—</w:t>
            </w:r>
          </w:p>
        </w:tc>
        <w:tc>
          <w:tcPr>
            <w:tcW w:w="1580" w:type="dxa"/>
            <w:vAlign w:val="bottom"/>
            <w:shd w:val="clear" w:color="auto" w:fill="E5E5E5"/>
          </w:tcPr>
          <w:p>
            <w:pPr>
              <w:jc w:val="right"/>
              <w:ind w:right="469"/>
              <w:spacing w:after="0"/>
              <w:rPr>
                <w:sz w:val="20"/>
                <w:szCs w:val="20"/>
                <w:color w:val="auto"/>
              </w:rPr>
            </w:pPr>
            <w:r>
              <w:rPr>
                <w:rFonts w:ascii="Arial" w:cs="Arial" w:eastAsia="Arial" w:hAnsi="Arial"/>
                <w:sz w:val="14"/>
                <w:szCs w:val="14"/>
                <w:color w:val="auto"/>
              </w:rPr>
              <w:t>5,725</w:t>
            </w:r>
          </w:p>
        </w:tc>
        <w:tc>
          <w:tcPr>
            <w:tcW w:w="1340" w:type="dxa"/>
            <w:vAlign w:val="bottom"/>
            <w:shd w:val="clear" w:color="auto" w:fill="E5E5E5"/>
          </w:tcPr>
          <w:p>
            <w:pPr>
              <w:jc w:val="right"/>
              <w:ind w:right="109"/>
              <w:spacing w:after="0"/>
              <w:rPr>
                <w:sz w:val="20"/>
                <w:szCs w:val="20"/>
                <w:color w:val="auto"/>
              </w:rPr>
            </w:pPr>
            <w:r>
              <w:rPr>
                <w:rFonts w:ascii="Arial" w:cs="Arial" w:eastAsia="Arial" w:hAnsi="Arial"/>
                <w:sz w:val="14"/>
                <w:szCs w:val="14"/>
                <w:color w:val="auto"/>
              </w:rPr>
              <w:t>292,147</w:t>
            </w:r>
          </w:p>
        </w:tc>
        <w:tc>
          <w:tcPr>
            <w:tcW w:w="1560" w:type="dxa"/>
            <w:vAlign w:val="bottom"/>
            <w:shd w:val="clear" w:color="auto" w:fill="E5E5E5"/>
          </w:tcPr>
          <w:p>
            <w:pPr>
              <w:jc w:val="right"/>
              <w:ind w:right="469"/>
              <w:spacing w:after="0"/>
              <w:rPr>
                <w:sz w:val="20"/>
                <w:szCs w:val="20"/>
                <w:color w:val="auto"/>
              </w:rPr>
            </w:pPr>
            <w:r>
              <w:rPr>
                <w:rFonts w:ascii="Arial" w:cs="Arial" w:eastAsia="Arial" w:hAnsi="Arial"/>
                <w:sz w:val="14"/>
                <w:szCs w:val="14"/>
                <w:color w:val="auto"/>
              </w:rPr>
              <w:t>10,285</w:t>
            </w:r>
          </w:p>
        </w:tc>
        <w:tc>
          <w:tcPr>
            <w:tcW w:w="12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557,241</w:t>
            </w:r>
          </w:p>
        </w:tc>
      </w:tr>
      <w:tr>
        <w:trPr>
          <w:trHeight w:val="221"/>
        </w:trPr>
        <w:tc>
          <w:tcPr>
            <w:tcW w:w="2270" w:type="dxa"/>
            <w:vAlign w:val="bottom"/>
          </w:tcPr>
          <w:p>
            <w:pPr>
              <w:ind w:left="80"/>
              <w:spacing w:after="0"/>
              <w:rPr>
                <w:sz w:val="20"/>
                <w:szCs w:val="20"/>
                <w:color w:val="auto"/>
              </w:rPr>
            </w:pPr>
            <w:r>
              <w:rPr>
                <w:rFonts w:ascii="Arial" w:cs="Arial" w:eastAsia="Arial" w:hAnsi="Arial"/>
                <w:sz w:val="14"/>
                <w:szCs w:val="14"/>
                <w:color w:val="auto"/>
              </w:rPr>
              <w:t>Rielly, John P</w:t>
            </w:r>
          </w:p>
        </w:tc>
        <w:tc>
          <w:tcPr>
            <w:tcW w:w="153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20" w:type="dxa"/>
            <w:vAlign w:val="bottom"/>
          </w:tcPr>
          <w:p>
            <w:pPr>
              <w:ind w:left="620"/>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469"/>
              <w:spacing w:after="0"/>
              <w:rPr>
                <w:sz w:val="20"/>
                <w:szCs w:val="20"/>
                <w:color w:val="auto"/>
              </w:rPr>
            </w:pPr>
            <w:r>
              <w:rPr>
                <w:rFonts w:ascii="Arial" w:cs="Arial" w:eastAsia="Arial" w:hAnsi="Arial"/>
                <w:sz w:val="14"/>
                <w:szCs w:val="14"/>
                <w:color w:val="auto"/>
              </w:rPr>
              <w:t>5,725</w:t>
            </w:r>
          </w:p>
        </w:tc>
        <w:tc>
          <w:tcPr>
            <w:tcW w:w="1340" w:type="dxa"/>
            <w:vAlign w:val="bottom"/>
          </w:tcPr>
          <w:p>
            <w:pPr>
              <w:jc w:val="right"/>
              <w:ind w:right="109"/>
              <w:spacing w:after="0"/>
              <w:rPr>
                <w:sz w:val="20"/>
                <w:szCs w:val="20"/>
                <w:color w:val="auto"/>
              </w:rPr>
            </w:pPr>
            <w:r>
              <w:rPr>
                <w:rFonts w:ascii="Arial" w:cs="Arial" w:eastAsia="Arial" w:hAnsi="Arial"/>
                <w:sz w:val="14"/>
                <w:szCs w:val="14"/>
                <w:color w:val="auto"/>
              </w:rPr>
              <w:t>292,147</w:t>
            </w:r>
          </w:p>
        </w:tc>
        <w:tc>
          <w:tcPr>
            <w:tcW w:w="1560" w:type="dxa"/>
            <w:vAlign w:val="bottom"/>
          </w:tcPr>
          <w:p>
            <w:pPr>
              <w:jc w:val="right"/>
              <w:ind w:right="469"/>
              <w:spacing w:after="0"/>
              <w:rPr>
                <w:sz w:val="20"/>
                <w:szCs w:val="20"/>
                <w:color w:val="auto"/>
              </w:rPr>
            </w:pPr>
            <w:r>
              <w:rPr>
                <w:rFonts w:ascii="Arial" w:cs="Arial" w:eastAsia="Arial" w:hAnsi="Arial"/>
                <w:sz w:val="14"/>
                <w:szCs w:val="14"/>
                <w:color w:val="auto"/>
              </w:rPr>
              <w:t>10,285</w:t>
            </w:r>
          </w:p>
        </w:tc>
        <w:tc>
          <w:tcPr>
            <w:tcW w:w="1260" w:type="dxa"/>
            <w:vAlign w:val="bottom"/>
          </w:tcPr>
          <w:p>
            <w:pPr>
              <w:jc w:val="right"/>
              <w:spacing w:after="0"/>
              <w:rPr>
                <w:sz w:val="20"/>
                <w:szCs w:val="20"/>
                <w:color w:val="auto"/>
              </w:rPr>
            </w:pPr>
            <w:r>
              <w:rPr>
                <w:rFonts w:ascii="Arial" w:cs="Arial" w:eastAsia="Arial" w:hAnsi="Arial"/>
                <w:sz w:val="14"/>
                <w:szCs w:val="14"/>
                <w:color w:val="auto"/>
              </w:rPr>
              <w:t>557,241</w:t>
            </w:r>
          </w:p>
        </w:tc>
      </w:tr>
      <w:tr>
        <w:trPr>
          <w:trHeight w:val="226"/>
        </w:trPr>
        <w:tc>
          <w:tcPr>
            <w:tcW w:w="2270" w:type="dxa"/>
            <w:vAlign w:val="bottom"/>
            <w:tcBorders>
              <w:bottom w:val="single" w:sz="8" w:color="007549"/>
            </w:tcBorders>
            <w:shd w:val="clear" w:color="auto" w:fill="E5E5E5"/>
          </w:tcPr>
          <w:p>
            <w:pPr>
              <w:ind w:left="80"/>
              <w:spacing w:after="0"/>
              <w:rPr>
                <w:sz w:val="20"/>
                <w:szCs w:val="20"/>
                <w:color w:val="auto"/>
              </w:rPr>
            </w:pPr>
            <w:r>
              <w:rPr>
                <w:rFonts w:ascii="Arial" w:cs="Arial" w:eastAsia="Arial" w:hAnsi="Arial"/>
                <w:sz w:val="14"/>
                <w:szCs w:val="14"/>
                <w:color w:val="auto"/>
              </w:rPr>
              <w:t>Turner, Michael R</w:t>
            </w:r>
          </w:p>
        </w:tc>
        <w:tc>
          <w:tcPr>
            <w:tcW w:w="1530" w:type="dxa"/>
            <w:vAlign w:val="bottom"/>
            <w:tcBorders>
              <w:bottom w:val="single" w:sz="8" w:color="007549"/>
            </w:tcBorders>
            <w:shd w:val="clear" w:color="auto" w:fill="E5E5E5"/>
          </w:tcPr>
          <w:p>
            <w:pPr>
              <w:jc w:val="center"/>
              <w:spacing w:after="0"/>
              <w:rPr>
                <w:sz w:val="20"/>
                <w:szCs w:val="20"/>
                <w:color w:val="auto"/>
              </w:rPr>
            </w:pPr>
            <w:r>
              <w:rPr>
                <w:rFonts w:ascii="Arial" w:cs="Arial" w:eastAsia="Arial" w:hAnsi="Arial"/>
                <w:sz w:val="14"/>
                <w:szCs w:val="14"/>
                <w:color w:val="auto"/>
                <w:w w:val="99"/>
              </w:rPr>
              <w:t>—</w:t>
            </w:r>
          </w:p>
        </w:tc>
        <w:tc>
          <w:tcPr>
            <w:tcW w:w="1320" w:type="dxa"/>
            <w:vAlign w:val="bottom"/>
            <w:tcBorders>
              <w:bottom w:val="single" w:sz="8" w:color="007549"/>
            </w:tcBorders>
            <w:shd w:val="clear" w:color="auto" w:fill="E5E5E5"/>
          </w:tcPr>
          <w:p>
            <w:pPr>
              <w:ind w:left="620"/>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007549"/>
            </w:tcBorders>
            <w:shd w:val="clear" w:color="auto" w:fill="E5E5E5"/>
          </w:tcPr>
          <w:p>
            <w:pPr>
              <w:jc w:val="right"/>
              <w:ind w:right="469"/>
              <w:spacing w:after="0"/>
              <w:rPr>
                <w:sz w:val="20"/>
                <w:szCs w:val="20"/>
                <w:color w:val="auto"/>
              </w:rPr>
            </w:pPr>
            <w:r>
              <w:rPr>
                <w:rFonts w:ascii="Arial" w:cs="Arial" w:eastAsia="Arial" w:hAnsi="Arial"/>
                <w:sz w:val="14"/>
                <w:szCs w:val="14"/>
                <w:color w:val="auto"/>
              </w:rPr>
              <w:t>4,356</w:t>
            </w:r>
          </w:p>
        </w:tc>
        <w:tc>
          <w:tcPr>
            <w:tcW w:w="1340" w:type="dxa"/>
            <w:vAlign w:val="bottom"/>
            <w:tcBorders>
              <w:bottom w:val="single" w:sz="8" w:color="007549"/>
            </w:tcBorders>
            <w:shd w:val="clear" w:color="auto" w:fill="E5E5E5"/>
          </w:tcPr>
          <w:p>
            <w:pPr>
              <w:jc w:val="right"/>
              <w:ind w:right="109"/>
              <w:spacing w:after="0"/>
              <w:rPr>
                <w:sz w:val="20"/>
                <w:szCs w:val="20"/>
                <w:color w:val="auto"/>
              </w:rPr>
            </w:pPr>
            <w:r>
              <w:rPr>
                <w:rFonts w:ascii="Arial" w:cs="Arial" w:eastAsia="Arial" w:hAnsi="Arial"/>
                <w:sz w:val="14"/>
                <w:szCs w:val="14"/>
                <w:color w:val="auto"/>
              </w:rPr>
              <w:t>222,287</w:t>
            </w:r>
          </w:p>
        </w:tc>
        <w:tc>
          <w:tcPr>
            <w:tcW w:w="1560" w:type="dxa"/>
            <w:vAlign w:val="bottom"/>
            <w:tcBorders>
              <w:bottom w:val="single" w:sz="8" w:color="007549"/>
            </w:tcBorders>
            <w:shd w:val="clear" w:color="auto" w:fill="E5E5E5"/>
          </w:tcPr>
          <w:p>
            <w:pPr>
              <w:jc w:val="right"/>
              <w:ind w:right="469"/>
              <w:spacing w:after="0"/>
              <w:rPr>
                <w:sz w:val="20"/>
                <w:szCs w:val="20"/>
                <w:color w:val="auto"/>
              </w:rPr>
            </w:pPr>
            <w:r>
              <w:rPr>
                <w:rFonts w:ascii="Arial" w:cs="Arial" w:eastAsia="Arial" w:hAnsi="Arial"/>
                <w:sz w:val="14"/>
                <w:szCs w:val="14"/>
                <w:color w:val="auto"/>
              </w:rPr>
              <w:t>7,826</w:t>
            </w:r>
          </w:p>
        </w:tc>
        <w:tc>
          <w:tcPr>
            <w:tcW w:w="1260" w:type="dxa"/>
            <w:vAlign w:val="bottom"/>
            <w:tcBorders>
              <w:bottom w:val="single" w:sz="8" w:color="007549"/>
            </w:tcBorders>
            <w:shd w:val="clear" w:color="auto" w:fill="E5E5E5"/>
          </w:tcPr>
          <w:p>
            <w:pPr>
              <w:jc w:val="right"/>
              <w:spacing w:after="0"/>
              <w:rPr>
                <w:sz w:val="20"/>
                <w:szCs w:val="20"/>
                <w:color w:val="auto"/>
              </w:rPr>
            </w:pPr>
            <w:r>
              <w:rPr>
                <w:rFonts w:ascii="Arial" w:cs="Arial" w:eastAsia="Arial" w:hAnsi="Arial"/>
                <w:sz w:val="14"/>
                <w:szCs w:val="14"/>
                <w:color w:val="auto"/>
              </w:rPr>
              <w:t>424,013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3545840</wp:posOffset>
            </wp:positionH>
            <wp:positionV relativeFrom="paragraph">
              <wp:posOffset>-1308735</wp:posOffset>
            </wp:positionV>
            <wp:extent cx="33915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391535" cy="8255"/>
                    </a:xfrm>
                    <a:prstGeom prst="rect">
                      <a:avLst/>
                    </a:prstGeom>
                    <a:noFill/>
                  </pic:spPr>
                </pic:pic>
              </a:graphicData>
            </a:graphic>
          </wp:anchor>
        </w:drawing>
        <w:drawing>
          <wp:anchor simplePos="0" relativeHeight="251657728" behindDoc="1" locked="0" layoutInCell="0" allowOverlap="1">
            <wp:simplePos x="0" y="0"/>
            <wp:positionH relativeFrom="column">
              <wp:posOffset>1676400</wp:posOffset>
            </wp:positionH>
            <wp:positionV relativeFrom="paragraph">
              <wp:posOffset>-1165225</wp:posOffset>
            </wp:positionV>
            <wp:extent cx="530225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302250" cy="8255"/>
                    </a:xfrm>
                    <a:prstGeom prst="rect">
                      <a:avLst/>
                    </a:prstGeom>
                    <a:noFill/>
                  </pic:spPr>
                </pic:pic>
              </a:graphicData>
            </a:graphic>
          </wp:anchor>
        </w:drawing>
      </w:r>
    </w:p>
    <w:p>
      <w:pPr>
        <w:ind w:left="600" w:hanging="314"/>
        <w:spacing w:after="0" w:line="251" w:lineRule="auto"/>
        <w:tabs>
          <w:tab w:leader="none" w:pos="600" w:val="left"/>
        </w:tabs>
        <w:numPr>
          <w:ilvl w:val="0"/>
          <w:numId w:val="69"/>
        </w:numPr>
        <w:rPr>
          <w:rFonts w:ascii="Arial" w:cs="Arial" w:eastAsia="Arial" w:hAnsi="Arial"/>
          <w:sz w:val="14"/>
          <w:szCs w:val="14"/>
          <w:color w:val="auto"/>
        </w:rPr>
      </w:pPr>
      <w:r>
        <w:rPr>
          <w:rFonts w:ascii="Arial" w:cs="Arial" w:eastAsia="Arial" w:hAnsi="Arial"/>
          <w:sz w:val="14"/>
          <w:szCs w:val="14"/>
          <w:color w:val="auto"/>
        </w:rPr>
        <w:t>Represents the aggregate dollar amount realized upon vesting computed by multiplying the number of shares of stock by the closing market value of the underlying share of $51.03 on March 6, 2017 (the stock market was closed on the vesting date of March 4, 2017).</w:t>
      </w:r>
    </w:p>
    <w:p>
      <w:pPr>
        <w:spacing w:after="0" w:line="102" w:lineRule="exact"/>
        <w:rPr>
          <w:rFonts w:ascii="Arial" w:cs="Arial" w:eastAsia="Arial" w:hAnsi="Arial"/>
          <w:sz w:val="14"/>
          <w:szCs w:val="14"/>
          <w:color w:val="auto"/>
        </w:rPr>
      </w:pPr>
    </w:p>
    <w:p>
      <w:pPr>
        <w:ind w:left="600" w:hanging="314"/>
        <w:spacing w:after="0" w:line="251" w:lineRule="auto"/>
        <w:tabs>
          <w:tab w:leader="none" w:pos="600" w:val="left"/>
        </w:tabs>
        <w:numPr>
          <w:ilvl w:val="0"/>
          <w:numId w:val="69"/>
        </w:numPr>
        <w:rPr>
          <w:rFonts w:ascii="Arial" w:cs="Arial" w:eastAsia="Arial" w:hAnsi="Arial"/>
          <w:sz w:val="14"/>
          <w:szCs w:val="14"/>
          <w:color w:val="auto"/>
        </w:rPr>
      </w:pPr>
      <w:r>
        <w:rPr>
          <w:rFonts w:ascii="Arial" w:cs="Arial" w:eastAsia="Arial" w:hAnsi="Arial"/>
          <w:sz w:val="14"/>
          <w:szCs w:val="14"/>
          <w:color w:val="auto"/>
        </w:rPr>
        <w:t>Represents the aggregate dollar amount realized upon vesting computed by multiplying the number of shares of units that vested by the payout multiple of 67% and by the closing market value of the underlying share of $54.18 on January 31, 2017.</w:t>
      </w:r>
    </w:p>
    <w:p>
      <w:pPr>
        <w:spacing w:after="0" w:line="38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007549"/>
        </w:rPr>
        <w:t>PENSION BENEFITS</w:t>
      </w:r>
    </w:p>
    <w:p>
      <w:pPr>
        <w:spacing w:after="0" w:line="121" w:lineRule="exact"/>
        <w:rPr>
          <w:sz w:val="20"/>
          <w:szCs w:val="20"/>
          <w:color w:val="auto"/>
        </w:rPr>
      </w:pPr>
    </w:p>
    <w:p>
      <w:pPr>
        <w:ind w:left="280"/>
        <w:spacing w:after="0" w:line="238" w:lineRule="auto"/>
        <w:rPr>
          <w:sz w:val="20"/>
          <w:szCs w:val="20"/>
          <w:color w:val="auto"/>
        </w:rPr>
      </w:pPr>
      <w:r>
        <w:rPr>
          <w:rFonts w:ascii="Arial" w:cs="Arial" w:eastAsia="Arial" w:hAnsi="Arial"/>
          <w:sz w:val="18"/>
          <w:szCs w:val="18"/>
          <w:color w:val="auto"/>
        </w:rPr>
        <w:t>The following table sets forth information as to the NEOs regarding payments or other benefits at, following or in connection with retirement:</w:t>
      </w:r>
    </w:p>
    <w:p>
      <w:pPr>
        <w:spacing w:after="0" w:line="188"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2020" w:type="dxa"/>
            <w:vAlign w:val="bottom"/>
            <w:shd w:val="clear" w:color="auto" w:fill="007549"/>
          </w:tcPr>
          <w:p>
            <w:pPr>
              <w:spacing w:after="0"/>
              <w:rPr>
                <w:sz w:val="14"/>
                <w:szCs w:val="14"/>
                <w:color w:val="auto"/>
              </w:rPr>
            </w:pPr>
          </w:p>
        </w:tc>
        <w:tc>
          <w:tcPr>
            <w:tcW w:w="2780" w:type="dxa"/>
            <w:vAlign w:val="bottom"/>
            <w:shd w:val="clear" w:color="auto" w:fill="007549"/>
          </w:tcPr>
          <w:p>
            <w:pPr>
              <w:spacing w:after="0"/>
              <w:rPr>
                <w:sz w:val="14"/>
                <w:szCs w:val="14"/>
                <w:color w:val="auto"/>
              </w:rPr>
            </w:pPr>
          </w:p>
        </w:tc>
        <w:tc>
          <w:tcPr>
            <w:tcW w:w="2300" w:type="dxa"/>
            <w:vAlign w:val="bottom"/>
            <w:shd w:val="clear" w:color="auto" w:fill="007549"/>
          </w:tcPr>
          <w:p>
            <w:pPr>
              <w:spacing w:after="0"/>
              <w:rPr>
                <w:sz w:val="14"/>
                <w:szCs w:val="14"/>
                <w:color w:val="auto"/>
              </w:rPr>
            </w:pPr>
          </w:p>
        </w:tc>
        <w:tc>
          <w:tcPr>
            <w:tcW w:w="2020" w:type="dxa"/>
            <w:vAlign w:val="bottom"/>
            <w:shd w:val="clear" w:color="auto" w:fill="007549"/>
          </w:tcPr>
          <w:p>
            <w:pPr>
              <w:jc w:val="center"/>
              <w:ind w:left="9"/>
              <w:spacing w:after="0"/>
              <w:rPr>
                <w:sz w:val="20"/>
                <w:szCs w:val="20"/>
                <w:color w:val="auto"/>
              </w:rPr>
            </w:pPr>
            <w:r>
              <w:rPr>
                <w:rFonts w:ascii="Arial" w:cs="Arial" w:eastAsia="Arial" w:hAnsi="Arial"/>
                <w:sz w:val="14"/>
                <w:szCs w:val="14"/>
                <w:b w:val="1"/>
                <w:bCs w:val="1"/>
                <w:color w:val="FFFFFF"/>
              </w:rPr>
              <w:t>Present Value of</w:t>
            </w:r>
          </w:p>
        </w:tc>
        <w:tc>
          <w:tcPr>
            <w:tcW w:w="1740" w:type="dxa"/>
            <w:vAlign w:val="bottom"/>
            <w:shd w:val="clear" w:color="auto" w:fill="007549"/>
          </w:tcPr>
          <w:p>
            <w:pPr>
              <w:spacing w:after="0"/>
              <w:rPr>
                <w:sz w:val="14"/>
                <w:szCs w:val="14"/>
                <w:color w:val="auto"/>
              </w:rPr>
            </w:pPr>
          </w:p>
        </w:tc>
      </w:tr>
      <w:tr>
        <w:trPr>
          <w:trHeight w:val="160"/>
        </w:trPr>
        <w:tc>
          <w:tcPr>
            <w:tcW w:w="2020" w:type="dxa"/>
            <w:vAlign w:val="bottom"/>
            <w:shd w:val="clear" w:color="auto" w:fill="007549"/>
          </w:tcPr>
          <w:p>
            <w:pPr>
              <w:spacing w:after="0"/>
              <w:rPr>
                <w:sz w:val="13"/>
                <w:szCs w:val="13"/>
                <w:color w:val="auto"/>
              </w:rPr>
            </w:pPr>
          </w:p>
        </w:tc>
        <w:tc>
          <w:tcPr>
            <w:tcW w:w="2780" w:type="dxa"/>
            <w:vAlign w:val="bottom"/>
            <w:shd w:val="clear" w:color="auto" w:fill="007549"/>
          </w:tcPr>
          <w:p>
            <w:pPr>
              <w:spacing w:after="0"/>
              <w:rPr>
                <w:sz w:val="13"/>
                <w:szCs w:val="13"/>
                <w:color w:val="auto"/>
              </w:rPr>
            </w:pPr>
          </w:p>
        </w:tc>
        <w:tc>
          <w:tcPr>
            <w:tcW w:w="2300" w:type="dxa"/>
            <w:vAlign w:val="bottom"/>
            <w:shd w:val="clear" w:color="auto" w:fill="007549"/>
          </w:tcPr>
          <w:p>
            <w:pPr>
              <w:jc w:val="center"/>
              <w:ind w:left="109"/>
              <w:spacing w:after="0" w:line="160" w:lineRule="exact"/>
              <w:rPr>
                <w:sz w:val="20"/>
                <w:szCs w:val="20"/>
                <w:color w:val="auto"/>
              </w:rPr>
            </w:pPr>
            <w:r>
              <w:rPr>
                <w:rFonts w:ascii="Arial" w:cs="Arial" w:eastAsia="Arial" w:hAnsi="Arial"/>
                <w:sz w:val="14"/>
                <w:szCs w:val="14"/>
                <w:b w:val="1"/>
                <w:bCs w:val="1"/>
                <w:color w:val="FFFFFF"/>
                <w:w w:val="99"/>
              </w:rPr>
              <w:t>Number of Years</w:t>
            </w:r>
          </w:p>
        </w:tc>
        <w:tc>
          <w:tcPr>
            <w:tcW w:w="2020" w:type="dxa"/>
            <w:vAlign w:val="bottom"/>
            <w:shd w:val="clear" w:color="auto" w:fill="007549"/>
          </w:tcPr>
          <w:p>
            <w:pPr>
              <w:jc w:val="center"/>
              <w:ind w:left="9"/>
              <w:spacing w:after="0" w:line="160" w:lineRule="exact"/>
              <w:rPr>
                <w:sz w:val="20"/>
                <w:szCs w:val="20"/>
                <w:color w:val="auto"/>
              </w:rPr>
            </w:pPr>
            <w:r>
              <w:rPr>
                <w:rFonts w:ascii="Arial" w:cs="Arial" w:eastAsia="Arial" w:hAnsi="Arial"/>
                <w:sz w:val="14"/>
                <w:szCs w:val="14"/>
                <w:b w:val="1"/>
                <w:bCs w:val="1"/>
                <w:color w:val="FFFFFF"/>
              </w:rPr>
              <w:t>Accumulated</w:t>
            </w:r>
          </w:p>
        </w:tc>
        <w:tc>
          <w:tcPr>
            <w:tcW w:w="1740" w:type="dxa"/>
            <w:vAlign w:val="bottom"/>
            <w:shd w:val="clear" w:color="auto" w:fill="007549"/>
          </w:tcPr>
          <w:p>
            <w:pPr>
              <w:jc w:val="center"/>
              <w:ind w:left="169"/>
              <w:spacing w:after="0" w:line="160" w:lineRule="exact"/>
              <w:rPr>
                <w:sz w:val="20"/>
                <w:szCs w:val="20"/>
                <w:color w:val="auto"/>
              </w:rPr>
            </w:pPr>
            <w:r>
              <w:rPr>
                <w:rFonts w:ascii="Arial" w:cs="Arial" w:eastAsia="Arial" w:hAnsi="Arial"/>
                <w:sz w:val="14"/>
                <w:szCs w:val="14"/>
                <w:b w:val="1"/>
                <w:bCs w:val="1"/>
                <w:color w:val="FFFFFF"/>
              </w:rPr>
              <w:t>Payments During</w:t>
            </w:r>
          </w:p>
        </w:tc>
      </w:tr>
      <w:tr>
        <w:trPr>
          <w:trHeight w:val="160"/>
        </w:trPr>
        <w:tc>
          <w:tcPr>
            <w:tcW w:w="2020" w:type="dxa"/>
            <w:vAlign w:val="bottom"/>
            <w:shd w:val="clear" w:color="auto" w:fill="007549"/>
          </w:tcPr>
          <w:p>
            <w:pPr>
              <w:spacing w:after="0"/>
              <w:rPr>
                <w:sz w:val="13"/>
                <w:szCs w:val="13"/>
                <w:color w:val="auto"/>
              </w:rPr>
            </w:pPr>
          </w:p>
        </w:tc>
        <w:tc>
          <w:tcPr>
            <w:tcW w:w="2780" w:type="dxa"/>
            <w:vAlign w:val="bottom"/>
            <w:shd w:val="clear" w:color="auto" w:fill="007549"/>
          </w:tcPr>
          <w:p>
            <w:pPr>
              <w:spacing w:after="0"/>
              <w:rPr>
                <w:sz w:val="13"/>
                <w:szCs w:val="13"/>
                <w:color w:val="auto"/>
              </w:rPr>
            </w:pPr>
          </w:p>
        </w:tc>
        <w:tc>
          <w:tcPr>
            <w:tcW w:w="2300" w:type="dxa"/>
            <w:vAlign w:val="bottom"/>
            <w:shd w:val="clear" w:color="auto" w:fill="007549"/>
          </w:tcPr>
          <w:p>
            <w:pPr>
              <w:jc w:val="center"/>
              <w:ind w:left="109"/>
              <w:spacing w:after="0" w:line="160" w:lineRule="exact"/>
              <w:rPr>
                <w:sz w:val="20"/>
                <w:szCs w:val="20"/>
                <w:color w:val="auto"/>
              </w:rPr>
            </w:pPr>
            <w:r>
              <w:rPr>
                <w:rFonts w:ascii="Arial" w:cs="Arial" w:eastAsia="Arial" w:hAnsi="Arial"/>
                <w:sz w:val="14"/>
                <w:szCs w:val="14"/>
                <w:b w:val="1"/>
                <w:bCs w:val="1"/>
                <w:color w:val="FFFFFF"/>
              </w:rPr>
              <w:t>Credited Service</w:t>
            </w:r>
          </w:p>
        </w:tc>
        <w:tc>
          <w:tcPr>
            <w:tcW w:w="2020" w:type="dxa"/>
            <w:vAlign w:val="bottom"/>
            <w:shd w:val="clear" w:color="auto" w:fill="007549"/>
          </w:tcPr>
          <w:p>
            <w:pPr>
              <w:jc w:val="center"/>
              <w:ind w:left="29"/>
              <w:spacing w:after="0" w:line="160" w:lineRule="exact"/>
              <w:rPr>
                <w:sz w:val="20"/>
                <w:szCs w:val="20"/>
                <w:color w:val="auto"/>
              </w:rPr>
            </w:pPr>
            <w:r>
              <w:rPr>
                <w:rFonts w:ascii="Arial" w:cs="Arial" w:eastAsia="Arial" w:hAnsi="Arial"/>
                <w:sz w:val="14"/>
                <w:szCs w:val="14"/>
                <w:b w:val="1"/>
                <w:bCs w:val="1"/>
                <w:color w:val="FFFFFF"/>
              </w:rPr>
              <w:t>Benefit</w:t>
            </w:r>
          </w:p>
        </w:tc>
        <w:tc>
          <w:tcPr>
            <w:tcW w:w="1740" w:type="dxa"/>
            <w:vAlign w:val="bottom"/>
            <w:shd w:val="clear" w:color="auto" w:fill="007549"/>
          </w:tcPr>
          <w:p>
            <w:pPr>
              <w:jc w:val="center"/>
              <w:ind w:left="169"/>
              <w:spacing w:after="0" w:line="160" w:lineRule="exact"/>
              <w:rPr>
                <w:sz w:val="20"/>
                <w:szCs w:val="20"/>
                <w:color w:val="auto"/>
              </w:rPr>
            </w:pPr>
            <w:r>
              <w:rPr>
                <w:rFonts w:ascii="Arial" w:cs="Arial" w:eastAsia="Arial" w:hAnsi="Arial"/>
                <w:sz w:val="14"/>
                <w:szCs w:val="14"/>
                <w:b w:val="1"/>
                <w:bCs w:val="1"/>
                <w:color w:val="FFFFFF"/>
                <w:w w:val="99"/>
              </w:rPr>
              <w:t>Last Fiscal Year</w:t>
            </w:r>
          </w:p>
        </w:tc>
      </w:tr>
      <w:tr>
        <w:trPr>
          <w:trHeight w:val="200"/>
        </w:trPr>
        <w:tc>
          <w:tcPr>
            <w:tcW w:w="2020" w:type="dxa"/>
            <w:vAlign w:val="bottom"/>
            <w:shd w:val="clear" w:color="auto" w:fill="007549"/>
          </w:tcPr>
          <w:p>
            <w:pPr>
              <w:ind w:left="80"/>
              <w:spacing w:after="0"/>
              <w:rPr>
                <w:sz w:val="20"/>
                <w:szCs w:val="20"/>
                <w:color w:val="auto"/>
              </w:rPr>
            </w:pPr>
            <w:r>
              <w:rPr>
                <w:rFonts w:ascii="Arial" w:cs="Arial" w:eastAsia="Arial" w:hAnsi="Arial"/>
                <w:sz w:val="14"/>
                <w:szCs w:val="14"/>
                <w:b w:val="1"/>
                <w:bCs w:val="1"/>
                <w:color w:val="FFFFFF"/>
              </w:rPr>
              <w:t>Name</w:t>
            </w:r>
          </w:p>
        </w:tc>
        <w:tc>
          <w:tcPr>
            <w:tcW w:w="2780" w:type="dxa"/>
            <w:vAlign w:val="bottom"/>
            <w:shd w:val="clear" w:color="auto" w:fill="007549"/>
          </w:tcPr>
          <w:p>
            <w:pPr>
              <w:ind w:left="520"/>
              <w:spacing w:after="0"/>
              <w:rPr>
                <w:sz w:val="20"/>
                <w:szCs w:val="20"/>
                <w:color w:val="auto"/>
              </w:rPr>
            </w:pPr>
            <w:r>
              <w:rPr>
                <w:rFonts w:ascii="Arial" w:cs="Arial" w:eastAsia="Arial" w:hAnsi="Arial"/>
                <w:sz w:val="14"/>
                <w:szCs w:val="14"/>
                <w:b w:val="1"/>
                <w:bCs w:val="1"/>
                <w:color w:val="FFFFFF"/>
              </w:rPr>
              <w:t>Plan Name</w:t>
            </w:r>
          </w:p>
        </w:tc>
        <w:tc>
          <w:tcPr>
            <w:tcW w:w="2300" w:type="dxa"/>
            <w:vAlign w:val="bottom"/>
            <w:shd w:val="clear" w:color="auto" w:fill="007549"/>
          </w:tcPr>
          <w:p>
            <w:pPr>
              <w:jc w:val="center"/>
              <w:ind w:left="129"/>
              <w:spacing w:after="0"/>
              <w:rPr>
                <w:sz w:val="20"/>
                <w:szCs w:val="20"/>
                <w:color w:val="auto"/>
              </w:rPr>
            </w:pPr>
            <w:r>
              <w:rPr>
                <w:rFonts w:ascii="Arial" w:cs="Arial" w:eastAsia="Arial" w:hAnsi="Arial"/>
                <w:sz w:val="14"/>
                <w:szCs w:val="14"/>
                <w:b w:val="1"/>
                <w:bCs w:val="1"/>
                <w:color w:val="FFFFFF"/>
              </w:rPr>
              <w:t>(#)</w:t>
            </w:r>
          </w:p>
        </w:tc>
        <w:tc>
          <w:tcPr>
            <w:tcW w:w="2020" w:type="dxa"/>
            <w:vAlign w:val="bottom"/>
            <w:shd w:val="clear" w:color="auto" w:fill="007549"/>
          </w:tcPr>
          <w:p>
            <w:pPr>
              <w:jc w:val="center"/>
              <w:ind w:left="9"/>
              <w:spacing w:after="0"/>
              <w:rPr>
                <w:sz w:val="20"/>
                <w:szCs w:val="20"/>
                <w:color w:val="auto"/>
              </w:rPr>
            </w:pPr>
            <w:r>
              <w:rPr>
                <w:rFonts w:ascii="Arial" w:cs="Arial" w:eastAsia="Arial" w:hAnsi="Arial"/>
                <w:sz w:val="14"/>
                <w:szCs w:val="14"/>
                <w:b w:val="1"/>
                <w:bCs w:val="1"/>
                <w:color w:val="FFFFFF"/>
              </w:rPr>
              <w:t>($)</w:t>
            </w:r>
          </w:p>
        </w:tc>
        <w:tc>
          <w:tcPr>
            <w:tcW w:w="1740" w:type="dxa"/>
            <w:vAlign w:val="bottom"/>
            <w:shd w:val="clear" w:color="auto" w:fill="007549"/>
          </w:tcPr>
          <w:p>
            <w:pPr>
              <w:jc w:val="center"/>
              <w:ind w:left="169"/>
              <w:spacing w:after="0"/>
              <w:rPr>
                <w:sz w:val="20"/>
                <w:szCs w:val="20"/>
                <w:color w:val="auto"/>
              </w:rPr>
            </w:pPr>
            <w:r>
              <w:rPr>
                <w:rFonts w:ascii="Arial" w:cs="Arial" w:eastAsia="Arial" w:hAnsi="Arial"/>
                <w:sz w:val="14"/>
                <w:szCs w:val="14"/>
                <w:b w:val="1"/>
                <w:bCs w:val="1"/>
                <w:color w:val="FFFFFF"/>
              </w:rPr>
              <w:t>($)</w:t>
            </w:r>
          </w:p>
        </w:tc>
      </w:tr>
      <w:tr>
        <w:trPr>
          <w:trHeight w:val="215"/>
        </w:trPr>
        <w:tc>
          <w:tcPr>
            <w:tcW w:w="2020" w:type="dxa"/>
            <w:vAlign w:val="bottom"/>
            <w:shd w:val="clear" w:color="auto" w:fill="E5E5E5"/>
          </w:tcPr>
          <w:p>
            <w:pPr>
              <w:ind w:left="80"/>
              <w:spacing w:after="0"/>
              <w:rPr>
                <w:sz w:val="20"/>
                <w:szCs w:val="20"/>
                <w:color w:val="auto"/>
              </w:rPr>
            </w:pPr>
            <w:r>
              <w:rPr>
                <w:rFonts w:ascii="Arial" w:cs="Arial" w:eastAsia="Arial" w:hAnsi="Arial"/>
                <w:sz w:val="14"/>
                <w:szCs w:val="14"/>
                <w:color w:val="auto"/>
              </w:rPr>
              <w:t>Hess, John B</w:t>
            </w:r>
          </w:p>
        </w:tc>
        <w:tc>
          <w:tcPr>
            <w:tcW w:w="2780" w:type="dxa"/>
            <w:vAlign w:val="bottom"/>
            <w:shd w:val="clear" w:color="auto" w:fill="E5E5E5"/>
          </w:tcPr>
          <w:p>
            <w:pPr>
              <w:ind w:left="500"/>
              <w:spacing w:after="0"/>
              <w:rPr>
                <w:sz w:val="20"/>
                <w:szCs w:val="20"/>
                <w:color w:val="auto"/>
              </w:rPr>
            </w:pPr>
            <w:r>
              <w:rPr>
                <w:rFonts w:ascii="Arial" w:cs="Arial" w:eastAsia="Arial" w:hAnsi="Arial"/>
                <w:sz w:val="14"/>
                <w:szCs w:val="14"/>
                <w:color w:val="auto"/>
              </w:rPr>
              <w:t>Employees’ Pension Plan</w:t>
            </w:r>
          </w:p>
        </w:tc>
        <w:tc>
          <w:tcPr>
            <w:tcW w:w="2300" w:type="dxa"/>
            <w:vAlign w:val="bottom"/>
            <w:shd w:val="clear" w:color="auto" w:fill="E5E5E5"/>
          </w:tcPr>
          <w:p>
            <w:pPr>
              <w:jc w:val="right"/>
              <w:ind w:right="789"/>
              <w:spacing w:after="0"/>
              <w:rPr>
                <w:sz w:val="20"/>
                <w:szCs w:val="20"/>
                <w:color w:val="auto"/>
              </w:rPr>
            </w:pPr>
            <w:r>
              <w:rPr>
                <w:rFonts w:ascii="Arial" w:cs="Arial" w:eastAsia="Arial" w:hAnsi="Arial"/>
                <w:sz w:val="14"/>
                <w:szCs w:val="14"/>
                <w:color w:val="auto"/>
              </w:rPr>
              <w:t>40.58</w:t>
            </w:r>
          </w:p>
        </w:tc>
        <w:tc>
          <w:tcPr>
            <w:tcW w:w="2020" w:type="dxa"/>
            <w:vAlign w:val="bottom"/>
            <w:shd w:val="clear" w:color="auto" w:fill="E5E5E5"/>
          </w:tcPr>
          <w:p>
            <w:pPr>
              <w:jc w:val="right"/>
              <w:ind w:right="509"/>
              <w:spacing w:after="0"/>
              <w:rPr>
                <w:sz w:val="20"/>
                <w:szCs w:val="20"/>
                <w:color w:val="auto"/>
              </w:rPr>
            </w:pPr>
            <w:r>
              <w:rPr>
                <w:rFonts w:ascii="Arial" w:cs="Arial" w:eastAsia="Arial" w:hAnsi="Arial"/>
                <w:sz w:val="14"/>
                <w:szCs w:val="14"/>
                <w:color w:val="auto"/>
              </w:rPr>
              <w:t>2,265,474</w:t>
            </w:r>
          </w:p>
        </w:tc>
        <w:tc>
          <w:tcPr>
            <w:tcW w:w="1740" w:type="dxa"/>
            <w:vAlign w:val="bottom"/>
            <w:shd w:val="clear" w:color="auto" w:fill="E5E5E5"/>
          </w:tcPr>
          <w:p>
            <w:pPr>
              <w:ind w:left="960"/>
              <w:spacing w:after="0"/>
              <w:rPr>
                <w:sz w:val="20"/>
                <w:szCs w:val="20"/>
                <w:color w:val="auto"/>
              </w:rPr>
            </w:pPr>
            <w:r>
              <w:rPr>
                <w:rFonts w:ascii="Arial" w:cs="Arial" w:eastAsia="Arial" w:hAnsi="Arial"/>
                <w:sz w:val="14"/>
                <w:szCs w:val="14"/>
                <w:color w:val="auto"/>
              </w:rPr>
              <w:t>—</w:t>
            </w:r>
          </w:p>
        </w:tc>
      </w:tr>
      <w:tr>
        <w:trPr>
          <w:trHeight w:val="197"/>
        </w:trPr>
        <w:tc>
          <w:tcPr>
            <w:tcW w:w="2020" w:type="dxa"/>
            <w:vAlign w:val="bottom"/>
            <w:shd w:val="clear" w:color="auto" w:fill="E5E5E5"/>
          </w:tcPr>
          <w:p>
            <w:pPr>
              <w:spacing w:after="0"/>
              <w:rPr>
                <w:sz w:val="17"/>
                <w:szCs w:val="17"/>
                <w:color w:val="auto"/>
              </w:rPr>
            </w:pPr>
          </w:p>
        </w:tc>
        <w:tc>
          <w:tcPr>
            <w:tcW w:w="2780" w:type="dxa"/>
            <w:vAlign w:val="bottom"/>
            <w:shd w:val="clear" w:color="auto" w:fill="E5E5E5"/>
          </w:tcPr>
          <w:p>
            <w:pPr>
              <w:ind w:left="500"/>
              <w:spacing w:after="0"/>
              <w:rPr>
                <w:sz w:val="20"/>
                <w:szCs w:val="20"/>
                <w:color w:val="auto"/>
              </w:rPr>
            </w:pPr>
            <w:r>
              <w:rPr>
                <w:rFonts w:ascii="Arial" w:cs="Arial" w:eastAsia="Arial" w:hAnsi="Arial"/>
                <w:sz w:val="14"/>
                <w:szCs w:val="14"/>
                <w:color w:val="auto"/>
              </w:rPr>
              <w:t>Restoration Plan</w:t>
            </w:r>
          </w:p>
        </w:tc>
        <w:tc>
          <w:tcPr>
            <w:tcW w:w="2300" w:type="dxa"/>
            <w:vAlign w:val="bottom"/>
            <w:shd w:val="clear" w:color="auto" w:fill="E5E5E5"/>
          </w:tcPr>
          <w:p>
            <w:pPr>
              <w:jc w:val="right"/>
              <w:ind w:right="789"/>
              <w:spacing w:after="0"/>
              <w:rPr>
                <w:sz w:val="20"/>
                <w:szCs w:val="20"/>
                <w:color w:val="auto"/>
              </w:rPr>
            </w:pPr>
            <w:r>
              <w:rPr>
                <w:rFonts w:ascii="Arial" w:cs="Arial" w:eastAsia="Arial" w:hAnsi="Arial"/>
                <w:sz w:val="14"/>
                <w:szCs w:val="14"/>
                <w:color w:val="auto"/>
              </w:rPr>
              <w:t>40.58</w:t>
            </w:r>
          </w:p>
        </w:tc>
        <w:tc>
          <w:tcPr>
            <w:tcW w:w="2020" w:type="dxa"/>
            <w:vAlign w:val="bottom"/>
            <w:shd w:val="clear" w:color="auto" w:fill="E5E5E5"/>
          </w:tcPr>
          <w:p>
            <w:pPr>
              <w:jc w:val="right"/>
              <w:ind w:right="509"/>
              <w:spacing w:after="0"/>
              <w:rPr>
                <w:sz w:val="20"/>
                <w:szCs w:val="20"/>
                <w:color w:val="auto"/>
              </w:rPr>
            </w:pPr>
            <w:r>
              <w:rPr>
                <w:rFonts w:ascii="Arial" w:cs="Arial" w:eastAsia="Arial" w:hAnsi="Arial"/>
                <w:sz w:val="14"/>
                <w:szCs w:val="14"/>
                <w:color w:val="auto"/>
              </w:rPr>
              <w:t>52,055,510</w:t>
            </w:r>
          </w:p>
        </w:tc>
        <w:tc>
          <w:tcPr>
            <w:tcW w:w="1740" w:type="dxa"/>
            <w:vAlign w:val="bottom"/>
            <w:shd w:val="clear" w:color="auto" w:fill="E5E5E5"/>
          </w:tcPr>
          <w:p>
            <w:pPr>
              <w:ind w:left="960"/>
              <w:spacing w:after="0"/>
              <w:rPr>
                <w:sz w:val="20"/>
                <w:szCs w:val="20"/>
                <w:color w:val="auto"/>
              </w:rPr>
            </w:pPr>
            <w:r>
              <w:rPr>
                <w:rFonts w:ascii="Arial" w:cs="Arial" w:eastAsia="Arial" w:hAnsi="Arial"/>
                <w:sz w:val="14"/>
                <w:szCs w:val="14"/>
                <w:color w:val="auto"/>
              </w:rPr>
              <w:t>—</w:t>
            </w:r>
          </w:p>
        </w:tc>
      </w:tr>
      <w:tr>
        <w:trPr>
          <w:trHeight w:val="215"/>
        </w:trPr>
        <w:tc>
          <w:tcPr>
            <w:tcW w:w="2020" w:type="dxa"/>
            <w:vAlign w:val="bottom"/>
          </w:tcPr>
          <w:p>
            <w:pPr>
              <w:ind w:left="80"/>
              <w:spacing w:after="0"/>
              <w:rPr>
                <w:sz w:val="20"/>
                <w:szCs w:val="20"/>
                <w:color w:val="auto"/>
              </w:rPr>
            </w:pPr>
            <w:r>
              <w:rPr>
                <w:rFonts w:ascii="Arial" w:cs="Arial" w:eastAsia="Arial" w:hAnsi="Arial"/>
                <w:sz w:val="14"/>
                <w:szCs w:val="14"/>
                <w:color w:val="auto"/>
              </w:rPr>
              <w:t>Hill, Gregory P</w:t>
            </w:r>
          </w:p>
        </w:tc>
        <w:tc>
          <w:tcPr>
            <w:tcW w:w="2780" w:type="dxa"/>
            <w:vAlign w:val="bottom"/>
          </w:tcPr>
          <w:p>
            <w:pPr>
              <w:ind w:left="500"/>
              <w:spacing w:after="0"/>
              <w:rPr>
                <w:sz w:val="20"/>
                <w:szCs w:val="20"/>
                <w:color w:val="auto"/>
              </w:rPr>
            </w:pPr>
            <w:r>
              <w:rPr>
                <w:rFonts w:ascii="Arial" w:cs="Arial" w:eastAsia="Arial" w:hAnsi="Arial"/>
                <w:sz w:val="14"/>
                <w:szCs w:val="14"/>
                <w:color w:val="auto"/>
              </w:rPr>
              <w:t>Employees’ Pension Plan</w:t>
            </w:r>
          </w:p>
        </w:tc>
        <w:tc>
          <w:tcPr>
            <w:tcW w:w="2300" w:type="dxa"/>
            <w:vAlign w:val="bottom"/>
          </w:tcPr>
          <w:p>
            <w:pPr>
              <w:jc w:val="right"/>
              <w:ind w:right="789"/>
              <w:spacing w:after="0"/>
              <w:rPr>
                <w:sz w:val="20"/>
                <w:szCs w:val="20"/>
                <w:color w:val="auto"/>
              </w:rPr>
            </w:pPr>
            <w:r>
              <w:rPr>
                <w:rFonts w:ascii="Arial" w:cs="Arial" w:eastAsia="Arial" w:hAnsi="Arial"/>
                <w:sz w:val="14"/>
                <w:szCs w:val="14"/>
                <w:color w:val="auto"/>
              </w:rPr>
              <w:t>9.00</w:t>
            </w:r>
          </w:p>
        </w:tc>
        <w:tc>
          <w:tcPr>
            <w:tcW w:w="2020" w:type="dxa"/>
            <w:vAlign w:val="bottom"/>
          </w:tcPr>
          <w:p>
            <w:pPr>
              <w:jc w:val="right"/>
              <w:ind w:right="509"/>
              <w:spacing w:after="0"/>
              <w:rPr>
                <w:sz w:val="20"/>
                <w:szCs w:val="20"/>
                <w:color w:val="auto"/>
              </w:rPr>
            </w:pPr>
            <w:r>
              <w:rPr>
                <w:rFonts w:ascii="Arial" w:cs="Arial" w:eastAsia="Arial" w:hAnsi="Arial"/>
                <w:sz w:val="14"/>
                <w:szCs w:val="14"/>
                <w:color w:val="auto"/>
              </w:rPr>
              <w:t>495,480</w:t>
            </w:r>
          </w:p>
        </w:tc>
        <w:tc>
          <w:tcPr>
            <w:tcW w:w="1740" w:type="dxa"/>
            <w:vAlign w:val="bottom"/>
          </w:tcPr>
          <w:p>
            <w:pPr>
              <w:ind w:left="960"/>
              <w:spacing w:after="0"/>
              <w:rPr>
                <w:sz w:val="20"/>
                <w:szCs w:val="20"/>
                <w:color w:val="auto"/>
              </w:rPr>
            </w:pPr>
            <w:r>
              <w:rPr>
                <w:rFonts w:ascii="Arial" w:cs="Arial" w:eastAsia="Arial" w:hAnsi="Arial"/>
                <w:sz w:val="14"/>
                <w:szCs w:val="14"/>
                <w:color w:val="auto"/>
              </w:rPr>
              <w:t>—</w:t>
            </w:r>
          </w:p>
        </w:tc>
      </w:tr>
      <w:tr>
        <w:trPr>
          <w:trHeight w:val="192"/>
        </w:trPr>
        <w:tc>
          <w:tcPr>
            <w:tcW w:w="2020" w:type="dxa"/>
            <w:vAlign w:val="bottom"/>
          </w:tcPr>
          <w:p>
            <w:pPr>
              <w:spacing w:after="0"/>
              <w:rPr>
                <w:sz w:val="16"/>
                <w:szCs w:val="16"/>
                <w:color w:val="auto"/>
              </w:rPr>
            </w:pPr>
          </w:p>
        </w:tc>
        <w:tc>
          <w:tcPr>
            <w:tcW w:w="2780" w:type="dxa"/>
            <w:vAlign w:val="bottom"/>
          </w:tcPr>
          <w:p>
            <w:pPr>
              <w:ind w:left="500"/>
              <w:spacing w:after="0"/>
              <w:rPr>
                <w:sz w:val="20"/>
                <w:szCs w:val="20"/>
                <w:color w:val="auto"/>
              </w:rPr>
            </w:pPr>
            <w:r>
              <w:rPr>
                <w:rFonts w:ascii="Arial" w:cs="Arial" w:eastAsia="Arial" w:hAnsi="Arial"/>
                <w:sz w:val="14"/>
                <w:szCs w:val="14"/>
                <w:color w:val="auto"/>
              </w:rPr>
              <w:t>Restoration Plan</w:t>
            </w:r>
          </w:p>
        </w:tc>
        <w:tc>
          <w:tcPr>
            <w:tcW w:w="2300" w:type="dxa"/>
            <w:vAlign w:val="bottom"/>
          </w:tcPr>
          <w:p>
            <w:pPr>
              <w:jc w:val="right"/>
              <w:ind w:right="789"/>
              <w:spacing w:after="0"/>
              <w:rPr>
                <w:sz w:val="20"/>
                <w:szCs w:val="20"/>
                <w:color w:val="auto"/>
              </w:rPr>
            </w:pPr>
            <w:r>
              <w:rPr>
                <w:rFonts w:ascii="Arial" w:cs="Arial" w:eastAsia="Arial" w:hAnsi="Arial"/>
                <w:sz w:val="14"/>
                <w:szCs w:val="14"/>
                <w:color w:val="auto"/>
              </w:rPr>
              <w:t>19.00</w:t>
            </w:r>
          </w:p>
        </w:tc>
        <w:tc>
          <w:tcPr>
            <w:tcW w:w="2020" w:type="dxa"/>
            <w:vAlign w:val="bottom"/>
          </w:tcPr>
          <w:p>
            <w:pPr>
              <w:jc w:val="right"/>
              <w:ind w:right="349"/>
              <w:spacing w:after="0"/>
              <w:rPr>
                <w:sz w:val="20"/>
                <w:szCs w:val="20"/>
                <w:color w:val="auto"/>
              </w:rPr>
            </w:pPr>
            <w:r>
              <w:rPr>
                <w:rFonts w:ascii="Arial" w:cs="Arial" w:eastAsia="Arial" w:hAnsi="Arial"/>
                <w:sz w:val="14"/>
                <w:szCs w:val="14"/>
                <w:color w:val="auto"/>
              </w:rPr>
              <w:t>12,335,445(1)</w:t>
            </w:r>
          </w:p>
        </w:tc>
        <w:tc>
          <w:tcPr>
            <w:tcW w:w="1740" w:type="dxa"/>
            <w:vAlign w:val="bottom"/>
          </w:tcPr>
          <w:p>
            <w:pPr>
              <w:ind w:left="960"/>
              <w:spacing w:after="0"/>
              <w:rPr>
                <w:sz w:val="20"/>
                <w:szCs w:val="20"/>
                <w:color w:val="auto"/>
              </w:rPr>
            </w:pPr>
            <w:r>
              <w:rPr>
                <w:rFonts w:ascii="Arial" w:cs="Arial" w:eastAsia="Arial" w:hAnsi="Arial"/>
                <w:sz w:val="14"/>
                <w:szCs w:val="14"/>
                <w:color w:val="auto"/>
              </w:rPr>
              <w:t>—</w:t>
            </w:r>
          </w:p>
        </w:tc>
      </w:tr>
      <w:tr>
        <w:trPr>
          <w:trHeight w:val="221"/>
        </w:trPr>
        <w:tc>
          <w:tcPr>
            <w:tcW w:w="2020" w:type="dxa"/>
            <w:vAlign w:val="bottom"/>
            <w:shd w:val="clear" w:color="auto" w:fill="E5E5E5"/>
          </w:tcPr>
          <w:p>
            <w:pPr>
              <w:ind w:left="80"/>
              <w:spacing w:after="0"/>
              <w:rPr>
                <w:sz w:val="20"/>
                <w:szCs w:val="20"/>
                <w:color w:val="auto"/>
              </w:rPr>
            </w:pPr>
            <w:r>
              <w:rPr>
                <w:rFonts w:ascii="Arial" w:cs="Arial" w:eastAsia="Arial" w:hAnsi="Arial"/>
                <w:sz w:val="14"/>
                <w:szCs w:val="14"/>
                <w:color w:val="auto"/>
              </w:rPr>
              <w:t>Goodell, Timothy B</w:t>
            </w:r>
          </w:p>
        </w:tc>
        <w:tc>
          <w:tcPr>
            <w:tcW w:w="2780" w:type="dxa"/>
            <w:vAlign w:val="bottom"/>
            <w:shd w:val="clear" w:color="auto" w:fill="E5E5E5"/>
          </w:tcPr>
          <w:p>
            <w:pPr>
              <w:ind w:left="500"/>
              <w:spacing w:after="0"/>
              <w:rPr>
                <w:sz w:val="20"/>
                <w:szCs w:val="20"/>
                <w:color w:val="auto"/>
              </w:rPr>
            </w:pPr>
            <w:r>
              <w:rPr>
                <w:rFonts w:ascii="Arial" w:cs="Arial" w:eastAsia="Arial" w:hAnsi="Arial"/>
                <w:sz w:val="14"/>
                <w:szCs w:val="14"/>
                <w:color w:val="auto"/>
              </w:rPr>
              <w:t>Employees’ Pension Plan</w:t>
            </w:r>
          </w:p>
        </w:tc>
        <w:tc>
          <w:tcPr>
            <w:tcW w:w="2300" w:type="dxa"/>
            <w:vAlign w:val="bottom"/>
            <w:shd w:val="clear" w:color="auto" w:fill="E5E5E5"/>
          </w:tcPr>
          <w:p>
            <w:pPr>
              <w:jc w:val="right"/>
              <w:ind w:right="789"/>
              <w:spacing w:after="0"/>
              <w:rPr>
                <w:sz w:val="20"/>
                <w:szCs w:val="20"/>
                <w:color w:val="auto"/>
              </w:rPr>
            </w:pPr>
            <w:r>
              <w:rPr>
                <w:rFonts w:ascii="Arial" w:cs="Arial" w:eastAsia="Arial" w:hAnsi="Arial"/>
                <w:sz w:val="14"/>
                <w:szCs w:val="14"/>
                <w:color w:val="auto"/>
              </w:rPr>
              <w:t>9.00</w:t>
            </w:r>
          </w:p>
        </w:tc>
        <w:tc>
          <w:tcPr>
            <w:tcW w:w="2020" w:type="dxa"/>
            <w:vAlign w:val="bottom"/>
            <w:shd w:val="clear" w:color="auto" w:fill="E5E5E5"/>
          </w:tcPr>
          <w:p>
            <w:pPr>
              <w:jc w:val="right"/>
              <w:ind w:right="509"/>
              <w:spacing w:after="0"/>
              <w:rPr>
                <w:sz w:val="20"/>
                <w:szCs w:val="20"/>
                <w:color w:val="auto"/>
              </w:rPr>
            </w:pPr>
            <w:r>
              <w:rPr>
                <w:rFonts w:ascii="Arial" w:cs="Arial" w:eastAsia="Arial" w:hAnsi="Arial"/>
                <w:sz w:val="14"/>
                <w:szCs w:val="14"/>
                <w:color w:val="auto"/>
              </w:rPr>
              <w:t>502,022</w:t>
            </w:r>
          </w:p>
        </w:tc>
        <w:tc>
          <w:tcPr>
            <w:tcW w:w="1740" w:type="dxa"/>
            <w:vAlign w:val="bottom"/>
            <w:shd w:val="clear" w:color="auto" w:fill="E5E5E5"/>
          </w:tcPr>
          <w:p>
            <w:pPr>
              <w:ind w:left="960"/>
              <w:spacing w:after="0"/>
              <w:rPr>
                <w:sz w:val="20"/>
                <w:szCs w:val="20"/>
                <w:color w:val="auto"/>
              </w:rPr>
            </w:pPr>
            <w:r>
              <w:rPr>
                <w:rFonts w:ascii="Arial" w:cs="Arial" w:eastAsia="Arial" w:hAnsi="Arial"/>
                <w:sz w:val="14"/>
                <w:szCs w:val="14"/>
                <w:color w:val="auto"/>
              </w:rPr>
              <w:t>—</w:t>
            </w:r>
          </w:p>
        </w:tc>
      </w:tr>
      <w:tr>
        <w:trPr>
          <w:trHeight w:val="197"/>
        </w:trPr>
        <w:tc>
          <w:tcPr>
            <w:tcW w:w="2020" w:type="dxa"/>
            <w:vAlign w:val="bottom"/>
            <w:shd w:val="clear" w:color="auto" w:fill="E5E5E5"/>
          </w:tcPr>
          <w:p>
            <w:pPr>
              <w:spacing w:after="0"/>
              <w:rPr>
                <w:sz w:val="17"/>
                <w:szCs w:val="17"/>
                <w:color w:val="auto"/>
              </w:rPr>
            </w:pPr>
          </w:p>
        </w:tc>
        <w:tc>
          <w:tcPr>
            <w:tcW w:w="2780" w:type="dxa"/>
            <w:vAlign w:val="bottom"/>
            <w:shd w:val="clear" w:color="auto" w:fill="E5E5E5"/>
          </w:tcPr>
          <w:p>
            <w:pPr>
              <w:ind w:left="500"/>
              <w:spacing w:after="0"/>
              <w:rPr>
                <w:sz w:val="20"/>
                <w:szCs w:val="20"/>
                <w:color w:val="auto"/>
              </w:rPr>
            </w:pPr>
            <w:r>
              <w:rPr>
                <w:rFonts w:ascii="Arial" w:cs="Arial" w:eastAsia="Arial" w:hAnsi="Arial"/>
                <w:sz w:val="14"/>
                <w:szCs w:val="14"/>
                <w:color w:val="auto"/>
              </w:rPr>
              <w:t>Restoration Plan</w:t>
            </w:r>
          </w:p>
        </w:tc>
        <w:tc>
          <w:tcPr>
            <w:tcW w:w="2300" w:type="dxa"/>
            <w:vAlign w:val="bottom"/>
            <w:shd w:val="clear" w:color="auto" w:fill="E5E5E5"/>
          </w:tcPr>
          <w:p>
            <w:pPr>
              <w:jc w:val="right"/>
              <w:ind w:right="789"/>
              <w:spacing w:after="0"/>
              <w:rPr>
                <w:sz w:val="20"/>
                <w:szCs w:val="20"/>
                <w:color w:val="auto"/>
              </w:rPr>
            </w:pPr>
            <w:r>
              <w:rPr>
                <w:rFonts w:ascii="Arial" w:cs="Arial" w:eastAsia="Arial" w:hAnsi="Arial"/>
                <w:sz w:val="14"/>
                <w:szCs w:val="14"/>
                <w:color w:val="auto"/>
              </w:rPr>
              <w:t>9.00</w:t>
            </w:r>
          </w:p>
        </w:tc>
        <w:tc>
          <w:tcPr>
            <w:tcW w:w="2020" w:type="dxa"/>
            <w:vAlign w:val="bottom"/>
            <w:shd w:val="clear" w:color="auto" w:fill="E5E5E5"/>
          </w:tcPr>
          <w:p>
            <w:pPr>
              <w:jc w:val="right"/>
              <w:ind w:right="509"/>
              <w:spacing w:after="0"/>
              <w:rPr>
                <w:sz w:val="20"/>
                <w:szCs w:val="20"/>
                <w:color w:val="auto"/>
              </w:rPr>
            </w:pPr>
            <w:r>
              <w:rPr>
                <w:rFonts w:ascii="Arial" w:cs="Arial" w:eastAsia="Arial" w:hAnsi="Arial"/>
                <w:sz w:val="14"/>
                <w:szCs w:val="14"/>
                <w:color w:val="auto"/>
              </w:rPr>
              <w:t>3,172,822</w:t>
            </w:r>
          </w:p>
        </w:tc>
        <w:tc>
          <w:tcPr>
            <w:tcW w:w="1740" w:type="dxa"/>
            <w:vAlign w:val="bottom"/>
            <w:shd w:val="clear" w:color="auto" w:fill="E5E5E5"/>
          </w:tcPr>
          <w:p>
            <w:pPr>
              <w:ind w:left="960"/>
              <w:spacing w:after="0"/>
              <w:rPr>
                <w:sz w:val="20"/>
                <w:szCs w:val="20"/>
                <w:color w:val="auto"/>
              </w:rPr>
            </w:pPr>
            <w:r>
              <w:rPr>
                <w:rFonts w:ascii="Arial" w:cs="Arial" w:eastAsia="Arial" w:hAnsi="Arial"/>
                <w:sz w:val="14"/>
                <w:szCs w:val="14"/>
                <w:color w:val="auto"/>
              </w:rPr>
              <w:t>—</w:t>
            </w:r>
          </w:p>
        </w:tc>
      </w:tr>
      <w:tr>
        <w:trPr>
          <w:trHeight w:val="215"/>
        </w:trPr>
        <w:tc>
          <w:tcPr>
            <w:tcW w:w="2020" w:type="dxa"/>
            <w:vAlign w:val="bottom"/>
          </w:tcPr>
          <w:p>
            <w:pPr>
              <w:ind w:left="80"/>
              <w:spacing w:after="0"/>
              <w:rPr>
                <w:sz w:val="20"/>
                <w:szCs w:val="20"/>
                <w:color w:val="auto"/>
              </w:rPr>
            </w:pPr>
            <w:r>
              <w:rPr>
                <w:rFonts w:ascii="Arial" w:cs="Arial" w:eastAsia="Arial" w:hAnsi="Arial"/>
                <w:sz w:val="14"/>
                <w:szCs w:val="14"/>
                <w:color w:val="auto"/>
              </w:rPr>
              <w:t>Rielly, John P</w:t>
            </w:r>
          </w:p>
        </w:tc>
        <w:tc>
          <w:tcPr>
            <w:tcW w:w="2780" w:type="dxa"/>
            <w:vAlign w:val="bottom"/>
          </w:tcPr>
          <w:p>
            <w:pPr>
              <w:ind w:left="500"/>
              <w:spacing w:after="0"/>
              <w:rPr>
                <w:sz w:val="20"/>
                <w:szCs w:val="20"/>
                <w:color w:val="auto"/>
              </w:rPr>
            </w:pPr>
            <w:r>
              <w:rPr>
                <w:rFonts w:ascii="Arial" w:cs="Arial" w:eastAsia="Arial" w:hAnsi="Arial"/>
                <w:sz w:val="14"/>
                <w:szCs w:val="14"/>
                <w:color w:val="auto"/>
              </w:rPr>
              <w:t>Employees’ Pension Plan</w:t>
            </w:r>
          </w:p>
        </w:tc>
        <w:tc>
          <w:tcPr>
            <w:tcW w:w="2300" w:type="dxa"/>
            <w:vAlign w:val="bottom"/>
          </w:tcPr>
          <w:p>
            <w:pPr>
              <w:jc w:val="right"/>
              <w:ind w:right="789"/>
              <w:spacing w:after="0"/>
              <w:rPr>
                <w:sz w:val="20"/>
                <w:szCs w:val="20"/>
                <w:color w:val="auto"/>
              </w:rPr>
            </w:pPr>
            <w:r>
              <w:rPr>
                <w:rFonts w:ascii="Arial" w:cs="Arial" w:eastAsia="Arial" w:hAnsi="Arial"/>
                <w:sz w:val="14"/>
                <w:szCs w:val="14"/>
                <w:color w:val="auto"/>
              </w:rPr>
              <w:t>16.75</w:t>
            </w:r>
          </w:p>
        </w:tc>
        <w:tc>
          <w:tcPr>
            <w:tcW w:w="2020" w:type="dxa"/>
            <w:vAlign w:val="bottom"/>
          </w:tcPr>
          <w:p>
            <w:pPr>
              <w:jc w:val="right"/>
              <w:ind w:right="509"/>
              <w:spacing w:after="0"/>
              <w:rPr>
                <w:sz w:val="20"/>
                <w:szCs w:val="20"/>
                <w:color w:val="auto"/>
              </w:rPr>
            </w:pPr>
            <w:r>
              <w:rPr>
                <w:rFonts w:ascii="Arial" w:cs="Arial" w:eastAsia="Arial" w:hAnsi="Arial"/>
                <w:sz w:val="14"/>
                <w:szCs w:val="14"/>
                <w:color w:val="auto"/>
              </w:rPr>
              <w:t>863,923</w:t>
            </w:r>
          </w:p>
        </w:tc>
        <w:tc>
          <w:tcPr>
            <w:tcW w:w="1740" w:type="dxa"/>
            <w:vAlign w:val="bottom"/>
          </w:tcPr>
          <w:p>
            <w:pPr>
              <w:ind w:left="960"/>
              <w:spacing w:after="0"/>
              <w:rPr>
                <w:sz w:val="20"/>
                <w:szCs w:val="20"/>
                <w:color w:val="auto"/>
              </w:rPr>
            </w:pPr>
            <w:r>
              <w:rPr>
                <w:rFonts w:ascii="Arial" w:cs="Arial" w:eastAsia="Arial" w:hAnsi="Arial"/>
                <w:sz w:val="14"/>
                <w:szCs w:val="14"/>
                <w:color w:val="auto"/>
              </w:rPr>
              <w:t>—</w:t>
            </w:r>
          </w:p>
        </w:tc>
      </w:tr>
      <w:tr>
        <w:trPr>
          <w:trHeight w:val="192"/>
        </w:trPr>
        <w:tc>
          <w:tcPr>
            <w:tcW w:w="2020" w:type="dxa"/>
            <w:vAlign w:val="bottom"/>
          </w:tcPr>
          <w:p>
            <w:pPr>
              <w:spacing w:after="0"/>
              <w:rPr>
                <w:sz w:val="16"/>
                <w:szCs w:val="16"/>
                <w:color w:val="auto"/>
              </w:rPr>
            </w:pPr>
          </w:p>
        </w:tc>
        <w:tc>
          <w:tcPr>
            <w:tcW w:w="2780" w:type="dxa"/>
            <w:vAlign w:val="bottom"/>
          </w:tcPr>
          <w:p>
            <w:pPr>
              <w:ind w:left="500"/>
              <w:spacing w:after="0"/>
              <w:rPr>
                <w:sz w:val="20"/>
                <w:szCs w:val="20"/>
                <w:color w:val="auto"/>
              </w:rPr>
            </w:pPr>
            <w:r>
              <w:rPr>
                <w:rFonts w:ascii="Arial" w:cs="Arial" w:eastAsia="Arial" w:hAnsi="Arial"/>
                <w:sz w:val="14"/>
                <w:szCs w:val="14"/>
                <w:color w:val="auto"/>
              </w:rPr>
              <w:t>Restoration Plan</w:t>
            </w:r>
          </w:p>
        </w:tc>
        <w:tc>
          <w:tcPr>
            <w:tcW w:w="2300" w:type="dxa"/>
            <w:vAlign w:val="bottom"/>
          </w:tcPr>
          <w:p>
            <w:pPr>
              <w:jc w:val="right"/>
              <w:ind w:right="789"/>
              <w:spacing w:after="0"/>
              <w:rPr>
                <w:sz w:val="20"/>
                <w:szCs w:val="20"/>
                <w:color w:val="auto"/>
              </w:rPr>
            </w:pPr>
            <w:r>
              <w:rPr>
                <w:rFonts w:ascii="Arial" w:cs="Arial" w:eastAsia="Arial" w:hAnsi="Arial"/>
                <w:sz w:val="14"/>
                <w:szCs w:val="14"/>
                <w:color w:val="auto"/>
              </w:rPr>
              <w:t>33.25</w:t>
            </w:r>
          </w:p>
        </w:tc>
        <w:tc>
          <w:tcPr>
            <w:tcW w:w="2020" w:type="dxa"/>
            <w:vAlign w:val="bottom"/>
          </w:tcPr>
          <w:p>
            <w:pPr>
              <w:jc w:val="right"/>
              <w:ind w:right="349"/>
              <w:spacing w:after="0"/>
              <w:rPr>
                <w:sz w:val="20"/>
                <w:szCs w:val="20"/>
                <w:color w:val="auto"/>
              </w:rPr>
            </w:pPr>
            <w:r>
              <w:rPr>
                <w:rFonts w:ascii="Arial" w:cs="Arial" w:eastAsia="Arial" w:hAnsi="Arial"/>
                <w:sz w:val="14"/>
                <w:szCs w:val="14"/>
                <w:color w:val="auto"/>
              </w:rPr>
              <w:t>10,823,173(2)</w:t>
            </w:r>
          </w:p>
        </w:tc>
        <w:tc>
          <w:tcPr>
            <w:tcW w:w="1740" w:type="dxa"/>
            <w:vAlign w:val="bottom"/>
          </w:tcPr>
          <w:p>
            <w:pPr>
              <w:ind w:left="960"/>
              <w:spacing w:after="0"/>
              <w:rPr>
                <w:sz w:val="20"/>
                <w:szCs w:val="20"/>
                <w:color w:val="auto"/>
              </w:rPr>
            </w:pPr>
            <w:r>
              <w:rPr>
                <w:rFonts w:ascii="Arial" w:cs="Arial" w:eastAsia="Arial" w:hAnsi="Arial"/>
                <w:sz w:val="14"/>
                <w:szCs w:val="14"/>
                <w:color w:val="auto"/>
              </w:rPr>
              <w:t>—</w:t>
            </w:r>
          </w:p>
        </w:tc>
      </w:tr>
      <w:tr>
        <w:trPr>
          <w:trHeight w:val="221"/>
        </w:trPr>
        <w:tc>
          <w:tcPr>
            <w:tcW w:w="2020" w:type="dxa"/>
            <w:vAlign w:val="bottom"/>
            <w:shd w:val="clear" w:color="auto" w:fill="E5E5E5"/>
          </w:tcPr>
          <w:p>
            <w:pPr>
              <w:ind w:left="80"/>
              <w:spacing w:after="0"/>
              <w:rPr>
                <w:sz w:val="20"/>
                <w:szCs w:val="20"/>
                <w:color w:val="auto"/>
              </w:rPr>
            </w:pPr>
            <w:r>
              <w:rPr>
                <w:rFonts w:ascii="Arial" w:cs="Arial" w:eastAsia="Arial" w:hAnsi="Arial"/>
                <w:sz w:val="14"/>
                <w:szCs w:val="14"/>
                <w:color w:val="auto"/>
              </w:rPr>
              <w:t>Turner, Michael R</w:t>
            </w:r>
          </w:p>
        </w:tc>
        <w:tc>
          <w:tcPr>
            <w:tcW w:w="2780" w:type="dxa"/>
            <w:vAlign w:val="bottom"/>
            <w:shd w:val="clear" w:color="auto" w:fill="E5E5E5"/>
          </w:tcPr>
          <w:p>
            <w:pPr>
              <w:ind w:left="500"/>
              <w:spacing w:after="0"/>
              <w:rPr>
                <w:sz w:val="20"/>
                <w:szCs w:val="20"/>
                <w:color w:val="auto"/>
              </w:rPr>
            </w:pPr>
            <w:r>
              <w:rPr>
                <w:rFonts w:ascii="Arial" w:cs="Arial" w:eastAsia="Arial" w:hAnsi="Arial"/>
                <w:sz w:val="14"/>
                <w:szCs w:val="14"/>
                <w:color w:val="auto"/>
              </w:rPr>
              <w:t>Employees’ Pension Plan</w:t>
            </w:r>
          </w:p>
        </w:tc>
        <w:tc>
          <w:tcPr>
            <w:tcW w:w="2300" w:type="dxa"/>
            <w:vAlign w:val="bottom"/>
            <w:shd w:val="clear" w:color="auto" w:fill="E5E5E5"/>
          </w:tcPr>
          <w:p>
            <w:pPr>
              <w:jc w:val="right"/>
              <w:ind w:right="789"/>
              <w:spacing w:after="0"/>
              <w:rPr>
                <w:sz w:val="20"/>
                <w:szCs w:val="20"/>
                <w:color w:val="auto"/>
              </w:rPr>
            </w:pPr>
            <w:r>
              <w:rPr>
                <w:rFonts w:ascii="Arial" w:cs="Arial" w:eastAsia="Arial" w:hAnsi="Arial"/>
                <w:sz w:val="14"/>
                <w:szCs w:val="14"/>
                <w:color w:val="auto"/>
              </w:rPr>
              <w:t>8.58</w:t>
            </w:r>
          </w:p>
        </w:tc>
        <w:tc>
          <w:tcPr>
            <w:tcW w:w="2020" w:type="dxa"/>
            <w:vAlign w:val="bottom"/>
            <w:shd w:val="clear" w:color="auto" w:fill="E5E5E5"/>
          </w:tcPr>
          <w:p>
            <w:pPr>
              <w:jc w:val="right"/>
              <w:ind w:right="509"/>
              <w:spacing w:after="0"/>
              <w:rPr>
                <w:sz w:val="20"/>
                <w:szCs w:val="20"/>
                <w:color w:val="auto"/>
              </w:rPr>
            </w:pPr>
            <w:r>
              <w:rPr>
                <w:rFonts w:ascii="Arial" w:cs="Arial" w:eastAsia="Arial" w:hAnsi="Arial"/>
                <w:sz w:val="14"/>
                <w:szCs w:val="14"/>
                <w:color w:val="auto"/>
              </w:rPr>
              <w:t>486,201</w:t>
            </w:r>
          </w:p>
        </w:tc>
        <w:tc>
          <w:tcPr>
            <w:tcW w:w="1740" w:type="dxa"/>
            <w:vAlign w:val="bottom"/>
            <w:shd w:val="clear" w:color="auto" w:fill="E5E5E5"/>
          </w:tcPr>
          <w:p>
            <w:pPr>
              <w:ind w:left="960"/>
              <w:spacing w:after="0"/>
              <w:rPr>
                <w:sz w:val="20"/>
                <w:szCs w:val="20"/>
                <w:color w:val="auto"/>
              </w:rPr>
            </w:pPr>
            <w:r>
              <w:rPr>
                <w:rFonts w:ascii="Arial" w:cs="Arial" w:eastAsia="Arial" w:hAnsi="Arial"/>
                <w:sz w:val="14"/>
                <w:szCs w:val="14"/>
                <w:color w:val="auto"/>
              </w:rPr>
              <w:t>—</w:t>
            </w:r>
          </w:p>
        </w:tc>
      </w:tr>
      <w:tr>
        <w:trPr>
          <w:trHeight w:val="192"/>
        </w:trPr>
        <w:tc>
          <w:tcPr>
            <w:tcW w:w="2020" w:type="dxa"/>
            <w:vAlign w:val="bottom"/>
            <w:tcBorders>
              <w:bottom w:val="single" w:sz="8" w:color="007549"/>
            </w:tcBorders>
            <w:shd w:val="clear" w:color="auto" w:fill="E5E5E5"/>
          </w:tcPr>
          <w:p>
            <w:pPr>
              <w:spacing w:after="0"/>
              <w:rPr>
                <w:sz w:val="16"/>
                <w:szCs w:val="16"/>
                <w:color w:val="auto"/>
              </w:rPr>
            </w:pPr>
          </w:p>
        </w:tc>
        <w:tc>
          <w:tcPr>
            <w:tcW w:w="2780" w:type="dxa"/>
            <w:vAlign w:val="bottom"/>
            <w:tcBorders>
              <w:bottom w:val="single" w:sz="8" w:color="007549"/>
            </w:tcBorders>
            <w:shd w:val="clear" w:color="auto" w:fill="E5E5E5"/>
          </w:tcPr>
          <w:p>
            <w:pPr>
              <w:ind w:left="500"/>
              <w:spacing w:after="0"/>
              <w:rPr>
                <w:sz w:val="20"/>
                <w:szCs w:val="20"/>
                <w:color w:val="auto"/>
              </w:rPr>
            </w:pPr>
            <w:r>
              <w:rPr>
                <w:rFonts w:ascii="Arial" w:cs="Arial" w:eastAsia="Arial" w:hAnsi="Arial"/>
                <w:sz w:val="14"/>
                <w:szCs w:val="14"/>
                <w:color w:val="auto"/>
              </w:rPr>
              <w:t>Restoration Plan</w:t>
            </w:r>
          </w:p>
        </w:tc>
        <w:tc>
          <w:tcPr>
            <w:tcW w:w="2300" w:type="dxa"/>
            <w:vAlign w:val="bottom"/>
            <w:tcBorders>
              <w:bottom w:val="single" w:sz="8" w:color="007549"/>
            </w:tcBorders>
            <w:shd w:val="clear" w:color="auto" w:fill="E5E5E5"/>
          </w:tcPr>
          <w:p>
            <w:pPr>
              <w:jc w:val="right"/>
              <w:ind w:right="789"/>
              <w:spacing w:after="0"/>
              <w:rPr>
                <w:sz w:val="20"/>
                <w:szCs w:val="20"/>
                <w:color w:val="auto"/>
              </w:rPr>
            </w:pPr>
            <w:r>
              <w:rPr>
                <w:rFonts w:ascii="Arial" w:cs="Arial" w:eastAsia="Arial" w:hAnsi="Arial"/>
                <w:sz w:val="14"/>
                <w:szCs w:val="14"/>
                <w:color w:val="auto"/>
              </w:rPr>
              <w:t>8.58</w:t>
            </w:r>
          </w:p>
        </w:tc>
        <w:tc>
          <w:tcPr>
            <w:tcW w:w="2020" w:type="dxa"/>
            <w:vAlign w:val="bottom"/>
            <w:tcBorders>
              <w:bottom w:val="single" w:sz="8" w:color="007549"/>
            </w:tcBorders>
            <w:shd w:val="clear" w:color="auto" w:fill="E5E5E5"/>
          </w:tcPr>
          <w:p>
            <w:pPr>
              <w:jc w:val="right"/>
              <w:ind w:right="349"/>
              <w:spacing w:after="0"/>
              <w:rPr>
                <w:sz w:val="20"/>
                <w:szCs w:val="20"/>
                <w:color w:val="auto"/>
              </w:rPr>
            </w:pPr>
            <w:r>
              <w:rPr>
                <w:rFonts w:ascii="Arial" w:cs="Arial" w:eastAsia="Arial" w:hAnsi="Arial"/>
                <w:sz w:val="14"/>
                <w:szCs w:val="14"/>
                <w:color w:val="auto"/>
              </w:rPr>
              <w:t>3,311,023(3)</w:t>
            </w:r>
          </w:p>
        </w:tc>
        <w:tc>
          <w:tcPr>
            <w:tcW w:w="1740" w:type="dxa"/>
            <w:vAlign w:val="bottom"/>
            <w:tcBorders>
              <w:bottom w:val="single" w:sz="8" w:color="007549"/>
            </w:tcBorders>
            <w:shd w:val="clear" w:color="auto" w:fill="E5E5E5"/>
          </w:tcPr>
          <w:p>
            <w:pPr>
              <w:ind w:left="960"/>
              <w:spacing w:after="0"/>
              <w:rPr>
                <w:sz w:val="20"/>
                <w:szCs w:val="20"/>
                <w:color w:val="auto"/>
              </w:rPr>
            </w:pPr>
            <w:r>
              <w:rPr>
                <w:rFonts w:ascii="Arial" w:cs="Arial" w:eastAsia="Arial" w:hAnsi="Arial"/>
                <w:sz w:val="14"/>
                <w:szCs w:val="14"/>
                <w:color w:val="auto"/>
              </w:rPr>
              <w:t>—</w:t>
            </w:r>
          </w:p>
        </w:tc>
      </w:tr>
    </w:tbl>
    <w:p>
      <w:pPr>
        <w:spacing w:after="0" w:line="5" w:lineRule="exact"/>
        <w:rPr>
          <w:sz w:val="20"/>
          <w:szCs w:val="20"/>
          <w:color w:val="auto"/>
        </w:rPr>
      </w:pPr>
    </w:p>
    <w:p>
      <w:pPr>
        <w:ind w:left="600" w:hanging="314"/>
        <w:spacing w:after="0" w:line="251" w:lineRule="auto"/>
        <w:tabs>
          <w:tab w:leader="none" w:pos="6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Credited years of service includes 10 years for service with prior employer. Additional years of credited service result in an increase of $6,788,255 under the restoration plan.</w:t>
      </w:r>
    </w:p>
    <w:p>
      <w:pPr>
        <w:spacing w:after="0" w:line="102" w:lineRule="exact"/>
        <w:rPr>
          <w:rFonts w:ascii="Arial" w:cs="Arial" w:eastAsia="Arial" w:hAnsi="Arial"/>
          <w:sz w:val="14"/>
          <w:szCs w:val="14"/>
          <w:color w:val="auto"/>
        </w:rPr>
      </w:pPr>
    </w:p>
    <w:p>
      <w:pPr>
        <w:ind w:left="600" w:hanging="314"/>
        <w:spacing w:after="0" w:line="251" w:lineRule="auto"/>
        <w:tabs>
          <w:tab w:leader="none" w:pos="6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Credited years of service include 16.5 years for service with prior employer. Benefits shown are net amounts offset by amounts due from prior employer of $18,060 per year. Additional years of credited service result in an increase of $5,718,706 under the restoration plan.</w:t>
      </w:r>
    </w:p>
    <w:p>
      <w:pPr>
        <w:spacing w:after="0" w:line="102" w:lineRule="exact"/>
        <w:rPr>
          <w:rFonts w:ascii="Arial" w:cs="Arial" w:eastAsia="Arial" w:hAnsi="Arial"/>
          <w:sz w:val="14"/>
          <w:szCs w:val="14"/>
          <w:color w:val="auto"/>
        </w:rPr>
      </w:pPr>
    </w:p>
    <w:p>
      <w:pPr>
        <w:ind w:left="600" w:hanging="314"/>
        <w:spacing w:after="0"/>
        <w:tabs>
          <w:tab w:leader="none" w:pos="6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Reflects present value of additional $1,850,000 payable under the restoration plan contingent upon continued employment until age 60.</w:t>
      </w:r>
    </w:p>
    <w:p>
      <w:pPr>
        <w:spacing w:after="0" w:line="166" w:lineRule="exact"/>
        <w:rPr>
          <w:sz w:val="20"/>
          <w:szCs w:val="20"/>
          <w:color w:val="auto"/>
        </w:rPr>
      </w:pPr>
    </w:p>
    <w:p>
      <w:pPr>
        <w:jc w:val="both"/>
        <w:ind w:left="280"/>
        <w:spacing w:after="0" w:line="233" w:lineRule="auto"/>
        <w:rPr>
          <w:sz w:val="20"/>
          <w:szCs w:val="20"/>
          <w:color w:val="auto"/>
        </w:rPr>
      </w:pPr>
      <w:r>
        <w:rPr>
          <w:rFonts w:ascii="Arial" w:cs="Arial" w:eastAsia="Arial" w:hAnsi="Arial"/>
          <w:sz w:val="18"/>
          <w:szCs w:val="18"/>
          <w:color w:val="auto"/>
        </w:rPr>
        <w:t>We maintain an employees’ pension plan, a qualified defined benefit plan under the Code, and a non-qualified supplemental plan, called the pension restoration plan, that provides benefits that would otherwise be payable to participants under the employees’ pension plan but for limitations imposed by the Code, with certain modifications discussed below. On January 1, 2017, we closed the existing final average pay formula pension plan to new employees, and introduced a cash balance pension plan for new hires which has a restoration component as well. Employees participate after one year of service in the employees’ pension plans and vest in the final average pay retirement benefit after five years of service, though the vesting requirement for the cash balance plan is three years. All of our NEOs are in the final average pay formula pension plan. Annual retirement benefits for a participant at normal retirement age are determined by multiplying 1.6% of the participant’s final average compensation by his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86360</wp:posOffset>
            </wp:positionV>
            <wp:extent cx="405765" cy="2451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209" w:lineRule="exact"/>
        <w:rPr>
          <w:sz w:val="20"/>
          <w:szCs w:val="20"/>
          <w:color w:val="auto"/>
        </w:rPr>
      </w:pPr>
    </w:p>
    <w:tbl>
      <w:tblPr>
        <w:tblLayout w:type="fixed"/>
        <w:tblInd w:w="9140" w:type="dxa"/>
        <w:tblCellMar>
          <w:top w:w="0" w:type="dxa"/>
          <w:left w:w="0" w:type="dxa"/>
          <w:bottom w:w="0" w:type="dxa"/>
          <w:right w:w="0" w:type="dxa"/>
        </w:tblCellMar>
      </w:tblPr>
      <w:tr>
        <w:trPr>
          <w:trHeight w:val="188"/>
        </w:trPr>
        <w:tc>
          <w:tcPr>
            <w:tcW w:w="1680" w:type="dxa"/>
            <w:vAlign w:val="bottom"/>
          </w:tcPr>
          <w:p>
            <w:pPr>
              <w:spacing w:after="0"/>
              <w:rPr>
                <w:sz w:val="20"/>
                <w:szCs w:val="20"/>
                <w:color w:val="auto"/>
              </w:rPr>
            </w:pPr>
            <w:r>
              <w:rPr>
                <w:rFonts w:ascii="Arial" w:cs="Arial" w:eastAsia="Arial" w:hAnsi="Arial"/>
                <w:sz w:val="12"/>
                <w:szCs w:val="12"/>
                <w:b w:val="1"/>
                <w:bCs w:val="1"/>
                <w:color w:val="666666"/>
              </w:rPr>
              <w:t>2018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007549"/>
              </w:rPr>
              <w:t>41</w:t>
            </w:r>
          </w:p>
        </w:tc>
      </w:tr>
    </w:tbl>
    <w:p>
      <w:pPr>
        <w:sectPr>
          <w:pgSz w:w="11900" w:h="16838" w:orient="portrait"/>
          <w:cols w:equalWidth="0" w:num="1">
            <w:col w:w="11140"/>
          </w:cols>
          <w:pgMar w:left="240" w:top="454" w:right="5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007549"/>
        </w:rPr>
        <w:t xml:space="preserve">Executive Compensation </w:t>
      </w:r>
      <w:r>
        <w:rPr>
          <w:rFonts w:ascii="Arial" w:cs="Arial" w:eastAsia="Arial" w:hAnsi="Arial"/>
          <w:sz w:val="16"/>
          <w:szCs w:val="16"/>
          <w:b w:val="1"/>
          <w:bCs w:val="1"/>
          <w:color w:val="000000"/>
        </w:rPr>
        <w:t>+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55245</wp:posOffset>
            </wp:positionV>
            <wp:extent cx="689356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266" w:lineRule="exact"/>
        <w:rPr>
          <w:sz w:val="20"/>
          <w:szCs w:val="20"/>
          <w:color w:val="auto"/>
        </w:rPr>
      </w:pPr>
    </w:p>
    <w:p>
      <w:pPr>
        <w:jc w:val="both"/>
        <w:ind w:left="280"/>
        <w:spacing w:after="0" w:line="233" w:lineRule="auto"/>
        <w:rPr>
          <w:sz w:val="20"/>
          <w:szCs w:val="20"/>
          <w:color w:val="auto"/>
        </w:rPr>
      </w:pPr>
      <w:r>
        <w:rPr>
          <w:rFonts w:ascii="Arial" w:cs="Arial" w:eastAsia="Arial" w:hAnsi="Arial"/>
          <w:sz w:val="18"/>
          <w:szCs w:val="18"/>
          <w:color w:val="auto"/>
        </w:rPr>
        <w:t>her years of service and are then reduced by an offset for social security benefits. Under the employees’ pension plan, final average compensation is the average of any three years of highest annual compensation (consisting of salary and cash bonus as shown in columns (c), (d) and (g) of the Summary Compensation Table) paid to the participant during the ten years immediately preceding his or her retirement date. Under the restoration plan, final average compensation is the average of any three years of highest annual salary (as shown in column (c) of the Summary Compensation Table) plus the average of any three years of highest cash bonus (as shown in columns (d) and (g) of the Summary Compensation Table) paid to the participant during the ten years immediately preceding his or her retirement date.</w:t>
      </w:r>
    </w:p>
    <w:p>
      <w:pPr>
        <w:spacing w:after="0" w:line="163" w:lineRule="exact"/>
        <w:rPr>
          <w:sz w:val="20"/>
          <w:szCs w:val="20"/>
          <w:color w:val="auto"/>
        </w:rPr>
      </w:pPr>
    </w:p>
    <w:p>
      <w:pPr>
        <w:jc w:val="both"/>
        <w:ind w:left="280"/>
        <w:spacing w:after="0" w:line="232" w:lineRule="auto"/>
        <w:rPr>
          <w:sz w:val="20"/>
          <w:szCs w:val="20"/>
          <w:color w:val="auto"/>
        </w:rPr>
      </w:pPr>
      <w:r>
        <w:rPr>
          <w:rFonts w:ascii="Arial" w:cs="Arial" w:eastAsia="Arial" w:hAnsi="Arial"/>
          <w:sz w:val="18"/>
          <w:szCs w:val="18"/>
          <w:color w:val="auto"/>
        </w:rPr>
        <w:t>Normal retirement under the plans means retirement at age 65, but a participant retiring from active service is entitled to an unreduced benefit at age 60. A participant may elect early retirement if the participant is at least 55 years old and has ten years of service. Messrs. Hess and Rielly were the only NEOs eligible for early retirement under the employees’ pension plan and restoration plan at December 31, 2017. The company awarded credit service for prior employment under the restoration plan for Messrs. Hill and Rielly for the reasons discussed in “Compensation Discussion and Analysis”. Under both plans, retirement benefits paid upon early retirement from active service at the age of 55 are reduced by 25% of the retirement benefit otherwise payable, with proportionately lower reductions for early retirement between ages 55 and 60. Early retirement reductions are greater if employment terminates prior to age 55. Retirement benefits under the employees’ pension plan are payable as a straight life annuity or in other forms of annuities actuarially equivalent to a straight life annuity. Retirement benefits under the restoration plan for employees with at least 10 years of service are payable as a lump sum six months after retirement. For employees with fewer than 10 years of service, benefits are payable on the date the employee attains age 65. A participant’s right to payment under the restoration plan constitutes a general unsecured claim against the company.</w:t>
      </w:r>
    </w:p>
    <w:p>
      <w:pPr>
        <w:spacing w:after="0" w:line="181" w:lineRule="exact"/>
        <w:rPr>
          <w:sz w:val="20"/>
          <w:szCs w:val="20"/>
          <w:color w:val="auto"/>
        </w:rPr>
      </w:pPr>
    </w:p>
    <w:p>
      <w:pPr>
        <w:jc w:val="both"/>
        <w:ind w:left="280"/>
        <w:spacing w:after="0" w:line="235" w:lineRule="auto"/>
        <w:rPr>
          <w:sz w:val="20"/>
          <w:szCs w:val="20"/>
          <w:color w:val="auto"/>
        </w:rPr>
      </w:pPr>
      <w:r>
        <w:rPr>
          <w:rFonts w:ascii="Arial" w:cs="Arial" w:eastAsia="Arial" w:hAnsi="Arial"/>
          <w:sz w:val="18"/>
          <w:szCs w:val="18"/>
          <w:color w:val="auto"/>
        </w:rPr>
        <w:t>The valuation method and material assumptions used in quantifying the present value of the accumulated benefit shown in the table are explained in Note 12, Retirement Plans, to our consolidated financial statements in our annual report on Form 10-K for the year ended December 31, 2017. Retirement benefits payable to Mr. Rielly under the restoration plan are offset by retirement benefits payable by his former employer.</w:t>
      </w:r>
    </w:p>
    <w:p>
      <w:pPr>
        <w:spacing w:after="0" w:line="169"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007549"/>
        </w:rPr>
        <w:t>Nonqualified Deferred Compensation</w:t>
      </w:r>
    </w:p>
    <w:p>
      <w:pPr>
        <w:spacing w:after="0" w:line="136" w:lineRule="exact"/>
        <w:rPr>
          <w:sz w:val="20"/>
          <w:szCs w:val="20"/>
          <w:color w:val="auto"/>
        </w:rPr>
      </w:pPr>
    </w:p>
    <w:p>
      <w:pPr>
        <w:jc w:val="both"/>
        <w:ind w:left="280"/>
        <w:spacing w:after="0" w:line="233" w:lineRule="auto"/>
        <w:rPr>
          <w:sz w:val="20"/>
          <w:szCs w:val="20"/>
          <w:color w:val="auto"/>
        </w:rPr>
      </w:pPr>
      <w:r>
        <w:rPr>
          <w:rFonts w:ascii="Arial" w:cs="Arial" w:eastAsia="Arial" w:hAnsi="Arial"/>
          <w:sz w:val="18"/>
          <w:szCs w:val="18"/>
          <w:color w:val="auto"/>
        </w:rPr>
        <w:t>We maintain a deferred compensation plan for certain highly-paid employees selected by us as eligible to participate under which a participant may elect in advance of any year to defer payment of up to 50% of salary and 100% of cash bonus payable for that year to a date no earlier than three years from the date of election, except that payments may be made earlier in the case of termination, death, disability, retirement or a change in control. Amounts deferred are deemed invested in investment vehicles identical to those offered under our qualified employees’ savings plan as the participant elects, except that the deferred compensation plan does not offer a fund for investing in the company’s stock, and earnings thereon are payable together with the deferred compensation. Payments may be made in a lump sum or in annual installments over a five year period, as the participant elects. The right of any participant to receive a payment constitutes a general unsecured claim against the company. None of our NEOs participate in the deferred compensation plan.</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007549"/>
        </w:rPr>
        <w:t>Employment Agreements and Termination Agreements</w:t>
      </w:r>
    </w:p>
    <w:p>
      <w:pPr>
        <w:spacing w:after="0" w:line="136" w:lineRule="exact"/>
        <w:rPr>
          <w:sz w:val="20"/>
          <w:szCs w:val="20"/>
          <w:color w:val="auto"/>
        </w:rPr>
      </w:pPr>
    </w:p>
    <w:p>
      <w:pPr>
        <w:jc w:val="both"/>
        <w:ind w:left="280"/>
        <w:spacing w:after="0" w:line="236" w:lineRule="auto"/>
        <w:rPr>
          <w:sz w:val="20"/>
          <w:szCs w:val="20"/>
          <w:color w:val="auto"/>
        </w:rPr>
      </w:pPr>
      <w:r>
        <w:rPr>
          <w:rFonts w:ascii="Arial" w:cs="Arial" w:eastAsia="Arial" w:hAnsi="Arial"/>
          <w:sz w:val="18"/>
          <w:szCs w:val="18"/>
          <w:color w:val="auto"/>
        </w:rPr>
        <w:t>We have no employment agreements with our NEOs other than agreements relating to credited service discussed under “Pension Benefits” and change-in-control agreements discussed under “Potential Payments upon Termination or Change in Control” and the initial terms of employment described below for Mr. Hill.</w:t>
      </w:r>
    </w:p>
    <w:p>
      <w:pPr>
        <w:spacing w:after="0" w:line="161" w:lineRule="exact"/>
        <w:rPr>
          <w:sz w:val="20"/>
          <w:szCs w:val="20"/>
          <w:color w:val="auto"/>
        </w:rPr>
      </w:pPr>
    </w:p>
    <w:p>
      <w:pPr>
        <w:jc w:val="both"/>
        <w:ind w:left="280"/>
        <w:spacing w:after="0" w:line="234" w:lineRule="auto"/>
        <w:rPr>
          <w:sz w:val="20"/>
          <w:szCs w:val="20"/>
          <w:color w:val="auto"/>
        </w:rPr>
      </w:pPr>
      <w:r>
        <w:rPr>
          <w:rFonts w:ascii="Arial" w:cs="Arial" w:eastAsia="Arial" w:hAnsi="Arial"/>
          <w:sz w:val="18"/>
          <w:szCs w:val="18"/>
          <w:color w:val="auto"/>
        </w:rPr>
        <w:t>Under the terms of employment negotiated with Mr. Hill upon joining the company in 2009, the company agreed that if the company terminates Mr. Hill’s employment without cause, he will be entitled to severance benefits equal to two times his annual base salary and target bonus for the year in which the termination occurs. The company also agreed to award credited service to Mr. Hill under the company’s pension restoration plan for the reasons described under “Compensation Discussion and Analysis”, provided Mr. Hill remains employed by the company for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1820545</wp:posOffset>
            </wp:positionH>
            <wp:positionV relativeFrom="paragraph">
              <wp:posOffset>86360</wp:posOffset>
            </wp:positionV>
            <wp:extent cx="405765" cy="2451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216" w:lineRule="exact"/>
        <w:rPr>
          <w:sz w:val="20"/>
          <w:szCs w:val="20"/>
          <w:color w:val="auto"/>
        </w:rPr>
      </w:pPr>
    </w:p>
    <w:p>
      <w:pPr>
        <w:ind w:left="760" w:hanging="474"/>
        <w:spacing w:after="0"/>
        <w:tabs>
          <w:tab w:leader="none" w:pos="760" w:val="left"/>
        </w:tabs>
        <w:numPr>
          <w:ilvl w:val="0"/>
          <w:numId w:val="71"/>
        </w:numPr>
        <w:rPr>
          <w:rFonts w:ascii="Arial" w:cs="Arial" w:eastAsia="Arial" w:hAnsi="Arial"/>
          <w:sz w:val="14"/>
          <w:szCs w:val="14"/>
          <w:b w:val="1"/>
          <w:bCs w:val="1"/>
          <w:color w:val="007549"/>
        </w:rPr>
      </w:pPr>
      <w:r>
        <w:rPr>
          <w:rFonts w:ascii="Arial" w:cs="Arial" w:eastAsia="Arial" w:hAnsi="Arial"/>
          <w:sz w:val="12"/>
          <w:szCs w:val="12"/>
          <w:b w:val="1"/>
          <w:bCs w:val="1"/>
          <w:color w:val="666666"/>
        </w:rPr>
        <w:t>2018 PROXY STATEMENT</w:t>
      </w:r>
    </w:p>
    <w:p>
      <w:pPr>
        <w:sectPr>
          <w:pgSz w:w="11900" w:h="16838" w:orient="portrait"/>
          <w:cols w:equalWidth="0" w:num="1">
            <w:col w:w="11140"/>
          </w:cols>
          <w:pgMar w:left="240" w:top="454" w:right="5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7549"/>
        </w:rPr>
        <w:t xml:space="preserve">Executive Compensation </w:t>
      </w:r>
      <w:r>
        <w:rPr>
          <w:rFonts w:ascii="Arial" w:cs="Arial" w:eastAsia="Arial" w:hAnsi="Arial"/>
          <w:sz w:val="16"/>
          <w:szCs w:val="16"/>
          <w:b w:val="1"/>
          <w:bCs w:val="1"/>
          <w:color w:val="000000"/>
        </w:rPr>
        <w:t>+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55245</wp:posOffset>
            </wp:positionV>
            <wp:extent cx="689356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234"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007549"/>
        </w:rPr>
        <w:t>Potential Payments upon Termination or Change in Control</w:t>
      </w:r>
    </w:p>
    <w:p>
      <w:pPr>
        <w:spacing w:after="0" w:line="1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007549"/>
        </w:rPr>
        <w:t>Termination</w:t>
      </w:r>
    </w:p>
    <w:p>
      <w:pPr>
        <w:spacing w:after="0" w:line="121" w:lineRule="exact"/>
        <w:rPr>
          <w:sz w:val="20"/>
          <w:szCs w:val="20"/>
          <w:color w:val="auto"/>
        </w:rPr>
      </w:pPr>
    </w:p>
    <w:p>
      <w:pPr>
        <w:jc w:val="both"/>
        <w:ind w:left="280"/>
        <w:spacing w:after="0" w:line="235" w:lineRule="auto"/>
        <w:rPr>
          <w:sz w:val="20"/>
          <w:szCs w:val="20"/>
          <w:color w:val="auto"/>
        </w:rPr>
      </w:pPr>
      <w:r>
        <w:rPr>
          <w:rFonts w:ascii="Arial" w:cs="Arial" w:eastAsia="Arial" w:hAnsi="Arial"/>
          <w:sz w:val="18"/>
          <w:szCs w:val="18"/>
          <w:color w:val="auto"/>
        </w:rPr>
        <w:t>In the event any of the NEOs’ employment terminated at the end of the last fiscal year, the officer would be entitled to the officer’s accumulated retirement benefits in accordance with the provisions of our retirement plans as described under “Pension Benefits” on page 41. Retirement benefits under the employees’ pension plan are payable only in the form of an annuity. Retirement benefits under the restoration plan are payable only in the form of a lump sum.</w:t>
      </w:r>
    </w:p>
    <w:p>
      <w:pPr>
        <w:spacing w:after="0" w:line="161" w:lineRule="exact"/>
        <w:rPr>
          <w:sz w:val="20"/>
          <w:szCs w:val="20"/>
          <w:color w:val="auto"/>
        </w:rPr>
      </w:pPr>
    </w:p>
    <w:p>
      <w:pPr>
        <w:jc w:val="both"/>
        <w:ind w:left="280"/>
        <w:spacing w:after="0" w:line="235" w:lineRule="auto"/>
        <w:rPr>
          <w:sz w:val="20"/>
          <w:szCs w:val="20"/>
          <w:color w:val="auto"/>
        </w:rPr>
      </w:pPr>
      <w:r>
        <w:rPr>
          <w:rFonts w:ascii="Arial" w:cs="Arial" w:eastAsia="Arial" w:hAnsi="Arial"/>
          <w:sz w:val="18"/>
          <w:szCs w:val="18"/>
          <w:color w:val="auto"/>
        </w:rPr>
        <w:t>In addition, because each of Messrs. Hess and Rielly were eligible for early retirement under the employees’ pension plan at December 31, 2017, a pro rata portion of their unvested equity awards would become vested at the discretion of the committee based on the number of calendar days elapsed in the applicable vesting period and they would be entitled to exercise all vested stock options until the option expiration date shown in the “Outstanding Equity Awards at Fiscal Year End” table on page 39.</w:t>
      </w:r>
    </w:p>
    <w:p>
      <w:pPr>
        <w:spacing w:after="0" w:line="174" w:lineRule="exact"/>
        <w:rPr>
          <w:sz w:val="20"/>
          <w:szCs w:val="20"/>
          <w:color w:val="auto"/>
        </w:rPr>
      </w:pPr>
    </w:p>
    <w:p>
      <w:pPr>
        <w:jc w:val="both"/>
        <w:ind w:left="280"/>
        <w:spacing w:after="0" w:line="248" w:lineRule="auto"/>
        <w:rPr>
          <w:sz w:val="20"/>
          <w:szCs w:val="20"/>
          <w:color w:val="auto"/>
        </w:rPr>
      </w:pPr>
      <w:r>
        <w:rPr>
          <w:rFonts w:ascii="Arial" w:cs="Arial" w:eastAsia="Arial" w:hAnsi="Arial"/>
          <w:sz w:val="17"/>
          <w:szCs w:val="17"/>
          <w:color w:val="auto"/>
        </w:rPr>
        <w:t>Each NEO other than Messrs. Hess and Rielly would also be entitled to exercise the stock options shown in the “Option Awards— Exercisable” column of the “Outstanding Equity Awards at Fiscal Year End” table on page 39 for a period of 60 days from the date of termination. If any of the NEOs’ employment terminated due to death or disability (i) stock options in the “Option Awards—Unexercisable” column of the “Outstanding Equity Awards at Fiscal Year End” table would have become fully exercisable, (ii) all stock options in the “Option Awards” columns of that table would remain exercisable until the option expiration date shown in the table, (iii) all restricted stock awards listed in that table would have become fully vested and (iv) PSUs would vest, to the extent earned, at the end of the applicable performance period. See that table for the market value of the unvested shares of restricted stock at the end of the last fiscal year.</w:t>
      </w:r>
    </w:p>
    <w:p>
      <w:pPr>
        <w:spacing w:after="0" w:line="156" w:lineRule="exact"/>
        <w:rPr>
          <w:sz w:val="20"/>
          <w:szCs w:val="20"/>
          <w:color w:val="auto"/>
        </w:rPr>
      </w:pPr>
    </w:p>
    <w:p>
      <w:pPr>
        <w:jc w:val="both"/>
        <w:ind w:left="280"/>
        <w:spacing w:after="0" w:line="238" w:lineRule="auto"/>
        <w:rPr>
          <w:sz w:val="20"/>
          <w:szCs w:val="20"/>
          <w:color w:val="auto"/>
        </w:rPr>
      </w:pPr>
      <w:r>
        <w:rPr>
          <w:rFonts w:ascii="Arial" w:cs="Arial" w:eastAsia="Arial" w:hAnsi="Arial"/>
          <w:sz w:val="18"/>
          <w:szCs w:val="18"/>
          <w:color w:val="auto"/>
        </w:rPr>
        <w:t>In the event the company had terminated the employment of Mr. Hill without cause at the end of the last fiscal year, Mr. Hill would have been entitled to receive a cash severance payment of $5,060,000.</w:t>
      </w:r>
    </w:p>
    <w:p>
      <w:pPr>
        <w:spacing w:after="0" w:line="140"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007549"/>
        </w:rPr>
        <w:t>Change in Control</w:t>
      </w:r>
    </w:p>
    <w:p>
      <w:pPr>
        <w:spacing w:after="0" w:line="103" w:lineRule="exact"/>
        <w:rPr>
          <w:sz w:val="20"/>
          <w:szCs w:val="20"/>
          <w:color w:val="auto"/>
        </w:rPr>
      </w:pPr>
    </w:p>
    <w:p>
      <w:pPr>
        <w:jc w:val="both"/>
        <w:ind w:left="280"/>
        <w:spacing w:after="0" w:line="233" w:lineRule="auto"/>
        <w:rPr>
          <w:sz w:val="20"/>
          <w:szCs w:val="20"/>
          <w:color w:val="auto"/>
        </w:rPr>
      </w:pPr>
      <w:r>
        <w:rPr>
          <w:rFonts w:ascii="Arial" w:cs="Arial" w:eastAsia="Arial" w:hAnsi="Arial"/>
          <w:sz w:val="18"/>
          <w:szCs w:val="18"/>
          <w:i w:val="1"/>
          <w:iCs w:val="1"/>
          <w:color w:val="007549"/>
        </w:rPr>
        <w:t xml:space="preserve">Equity Awards Under the 2008 LTIP. </w:t>
      </w:r>
      <w:r>
        <w:rPr>
          <w:rFonts w:ascii="Arial" w:cs="Arial" w:eastAsia="Arial" w:hAnsi="Arial"/>
          <w:sz w:val="18"/>
          <w:szCs w:val="18"/>
          <w:color w:val="000000"/>
        </w:rPr>
        <w:t>In the event of a change in control of the company, pursuant to the Amended and Restated 2008</w:t>
      </w:r>
      <w:r>
        <w:rPr>
          <w:rFonts w:ascii="Arial" w:cs="Arial" w:eastAsia="Arial" w:hAnsi="Arial"/>
          <w:sz w:val="18"/>
          <w:szCs w:val="18"/>
          <w:i w:val="1"/>
          <w:iCs w:val="1"/>
          <w:color w:val="007549"/>
        </w:rPr>
        <w:t xml:space="preserve"> </w:t>
      </w:r>
      <w:r>
        <w:rPr>
          <w:rFonts w:ascii="Arial" w:cs="Arial" w:eastAsia="Arial" w:hAnsi="Arial"/>
          <w:sz w:val="18"/>
          <w:szCs w:val="18"/>
          <w:color w:val="000000"/>
        </w:rPr>
        <w:t>Long-Term Incentive Plan, unexercisable stock options and unvested shares of restricted stock awarded to the NEOs will not vest solely by reason of the change in control. However, upon the occurrence of a change in control, the committee has discretion to deem all applicable performance goals fully achieved and all awards fully vested, but the committee has no current intention to exercise such discretion. In addition, except as otherwise provided in any applicable award agreement, if the surviving or successor corporation to the company, or any other corporate party to the change-in-control transaction, does not assume, or substitute equivalent awards for, options or other awards outstanding under the plan, or in the event of a liquidation of the company, or if the employment of a holder of an outstanding option or award is terminated involuntarily without “cause” or by the holder for “good reason” (as those terms are defined in the Amended and Restated 2008 Long-Term Incentive Plan) then, in general: (1) any applicable target performance goals will be deemed fully achieved and those awards and restricted stock will be fully earned and vested; (2) affected options and other awards will become fully exercisable and vested; and (3) all restrictions, deferral limitations and forfeiture conditions applicable to affected awards will lapse and those awards will be deemed fully vested. In the event of a change in control, PSUs will be paid out with respect to a pro-rated portion of PSUs awarded representing the number of days lapsed in the performance cycle through the date immediately prior to the change in control based on the company’s TSR and TSR ranking through such date and will be paid at target with respect to a pro-rata portion of the PSUs representing the number of days lapsed from the change in control through the end of the performance cycle. Such amount is payable only if the NEO remains employed until the end of the three-year performance period or, if within 24 months following a change in control, the employment of the NEO is terminated by the NEO for good reason, by the company without cause, on account of death or permanent total disability or retirement under the pension plan after five years of service. See the “Outstanding Equity Awards at Fiscal Year End” table on page 39 for the number of unexercisable options and unvested shares of restricted stock held by each NEO at the end of the last fiscal year. The NEOs would also be able to exercise the stock options shown in the “Option Awards—Exercisable” column of that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86360</wp:posOffset>
            </wp:positionV>
            <wp:extent cx="405765" cy="24511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209" w:lineRule="exact"/>
        <w:rPr>
          <w:sz w:val="20"/>
          <w:szCs w:val="20"/>
          <w:color w:val="auto"/>
        </w:rPr>
      </w:pPr>
    </w:p>
    <w:tbl>
      <w:tblPr>
        <w:tblLayout w:type="fixed"/>
        <w:tblInd w:w="9140" w:type="dxa"/>
        <w:tblCellMar>
          <w:top w:w="0" w:type="dxa"/>
          <w:left w:w="0" w:type="dxa"/>
          <w:bottom w:w="0" w:type="dxa"/>
          <w:right w:w="0" w:type="dxa"/>
        </w:tblCellMar>
      </w:tblPr>
      <w:tr>
        <w:trPr>
          <w:trHeight w:val="188"/>
        </w:trPr>
        <w:tc>
          <w:tcPr>
            <w:tcW w:w="1680" w:type="dxa"/>
            <w:vAlign w:val="bottom"/>
          </w:tcPr>
          <w:p>
            <w:pPr>
              <w:spacing w:after="0"/>
              <w:rPr>
                <w:sz w:val="20"/>
                <w:szCs w:val="20"/>
                <w:color w:val="auto"/>
              </w:rPr>
            </w:pPr>
            <w:r>
              <w:rPr>
                <w:rFonts w:ascii="Arial" w:cs="Arial" w:eastAsia="Arial" w:hAnsi="Arial"/>
                <w:sz w:val="12"/>
                <w:szCs w:val="12"/>
                <w:b w:val="1"/>
                <w:bCs w:val="1"/>
                <w:color w:val="666666"/>
              </w:rPr>
              <w:t>2018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007549"/>
              </w:rPr>
              <w:t>43</w:t>
            </w:r>
          </w:p>
        </w:tc>
      </w:tr>
    </w:tbl>
    <w:p>
      <w:pPr>
        <w:sectPr>
          <w:pgSz w:w="11900" w:h="16838" w:orient="portrait"/>
          <w:cols w:equalWidth="0" w:num="1">
            <w:col w:w="11140"/>
          </w:cols>
          <w:pgMar w:left="240" w:top="454" w:right="5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007549"/>
        </w:rPr>
        <w:t xml:space="preserve">Executive Compensation </w:t>
      </w:r>
      <w:r>
        <w:rPr>
          <w:rFonts w:ascii="Arial" w:cs="Arial" w:eastAsia="Arial" w:hAnsi="Arial"/>
          <w:sz w:val="16"/>
          <w:szCs w:val="16"/>
          <w:b w:val="1"/>
          <w:bCs w:val="1"/>
          <w:color w:val="000000"/>
        </w:rPr>
        <w:t>+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55245</wp:posOffset>
            </wp:positionV>
            <wp:extent cx="689356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266" w:lineRule="exact"/>
        <w:rPr>
          <w:sz w:val="20"/>
          <w:szCs w:val="20"/>
          <w:color w:val="auto"/>
        </w:rPr>
      </w:pPr>
    </w:p>
    <w:p>
      <w:pPr>
        <w:jc w:val="both"/>
        <w:ind w:left="280"/>
        <w:spacing w:after="0" w:line="233" w:lineRule="auto"/>
        <w:rPr>
          <w:sz w:val="20"/>
          <w:szCs w:val="20"/>
          <w:color w:val="auto"/>
        </w:rPr>
      </w:pPr>
      <w:r>
        <w:rPr>
          <w:rFonts w:ascii="Arial" w:cs="Arial" w:eastAsia="Arial" w:hAnsi="Arial"/>
          <w:sz w:val="18"/>
          <w:szCs w:val="18"/>
          <w:color w:val="auto"/>
        </w:rPr>
        <w:t>For purposes of the incentive plan, “change in control” means (i) acquisition by a person or group of 20% or more of the company’s common stock or voting securities, (ii) the persons serving as directors of the company as of the effective date of the Amended and Restated 2008 Long-Term Incentive Plan, and those replacements or additions subsequently approved by a majority vote of the board, ceasing to make up at least a majority of the board; (iii) consummation of a reorganization, merger or consolidation in which the owners of the company’s common stock and voting securities immediately prior to the transaction do not own more than 51%, respectively, of the common stock and voting securities of the surviving entity, or (iv) consummation of a liquidation, dissolution or sale of all or substantially all of the company’s assets in which the owners of the company’s common stock and voting securities immediately prior to the transaction do not own more than 51%, respectively, of the common stock and voting securities of the surviving entity.</w:t>
      </w:r>
    </w:p>
    <w:p>
      <w:pPr>
        <w:spacing w:after="0" w:line="144" w:lineRule="exact"/>
        <w:rPr>
          <w:sz w:val="20"/>
          <w:szCs w:val="20"/>
          <w:color w:val="auto"/>
        </w:rPr>
      </w:pPr>
    </w:p>
    <w:p>
      <w:pPr>
        <w:jc w:val="both"/>
        <w:ind w:left="280"/>
        <w:spacing w:after="0" w:line="245" w:lineRule="auto"/>
        <w:rPr>
          <w:sz w:val="20"/>
          <w:szCs w:val="20"/>
          <w:color w:val="auto"/>
        </w:rPr>
      </w:pPr>
      <w:r>
        <w:rPr>
          <w:rFonts w:ascii="Arial" w:cs="Arial" w:eastAsia="Arial" w:hAnsi="Arial"/>
          <w:sz w:val="18"/>
          <w:szCs w:val="18"/>
          <w:i w:val="1"/>
          <w:iCs w:val="1"/>
          <w:color w:val="007549"/>
        </w:rPr>
        <w:t xml:space="preserve">Equity Awards Under the 2017 LTIP. </w:t>
      </w:r>
      <w:r>
        <w:rPr>
          <w:rFonts w:ascii="Arial" w:cs="Arial" w:eastAsia="Arial" w:hAnsi="Arial"/>
          <w:sz w:val="18"/>
          <w:szCs w:val="18"/>
          <w:color w:val="000000"/>
        </w:rPr>
        <w:t>The 2017 Incentive Plan provides for potential acceleration of vesting or exercisability of awards,</w:t>
      </w:r>
      <w:r>
        <w:rPr>
          <w:rFonts w:ascii="Arial" w:cs="Arial" w:eastAsia="Arial" w:hAnsi="Arial"/>
          <w:sz w:val="18"/>
          <w:szCs w:val="18"/>
          <w:i w:val="1"/>
          <w:iCs w:val="1"/>
          <w:color w:val="007549"/>
        </w:rPr>
        <w:t xml:space="preserve"> </w:t>
      </w:r>
      <w:r>
        <w:rPr>
          <w:rFonts w:ascii="Arial" w:cs="Arial" w:eastAsia="Arial" w:hAnsi="Arial"/>
          <w:sz w:val="18"/>
          <w:szCs w:val="18"/>
          <w:color w:val="000000"/>
        </w:rPr>
        <w:t>and other potential changes to awards, upon the occurrence of a change in control. A change in control will generally be deemed to occur in the following circumstances:</w:t>
      </w:r>
    </w:p>
    <w:p>
      <w:pPr>
        <w:spacing w:after="0" w:line="103" w:lineRule="exact"/>
        <w:rPr>
          <w:sz w:val="20"/>
          <w:szCs w:val="20"/>
          <w:color w:val="auto"/>
        </w:rPr>
      </w:pPr>
    </w:p>
    <w:p>
      <w:pPr>
        <w:ind w:left="600" w:hanging="208"/>
        <w:spacing w:after="0" w:line="238" w:lineRule="auto"/>
        <w:tabs>
          <w:tab w:leader="none" w:pos="6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acquisition of 20% or more of the outstanding voting stock of the company by any person or entity, other than acquisitions by Hess family members or Hess family-related entities;</w:t>
      </w:r>
    </w:p>
    <w:p>
      <w:pPr>
        <w:spacing w:after="0" w:line="108" w:lineRule="exact"/>
        <w:rPr>
          <w:rFonts w:ascii="Arial" w:cs="Arial" w:eastAsia="Arial" w:hAnsi="Arial"/>
          <w:sz w:val="18"/>
          <w:szCs w:val="18"/>
          <w:color w:val="auto"/>
        </w:rPr>
      </w:pPr>
    </w:p>
    <w:p>
      <w:pPr>
        <w:ind w:left="600" w:hanging="208"/>
        <w:spacing w:after="0" w:line="238" w:lineRule="auto"/>
        <w:tabs>
          <w:tab w:leader="none" w:pos="6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persons serving as directors of the company as of the effective date of the 2017 Incentive Plan, and those replacements or additions subsequently approved by a majority vote of the board, ceasing to make up at least a majority of the board;</w:t>
      </w:r>
    </w:p>
    <w:p>
      <w:pPr>
        <w:spacing w:after="0" w:line="108" w:lineRule="exact"/>
        <w:rPr>
          <w:rFonts w:ascii="Arial" w:cs="Arial" w:eastAsia="Arial" w:hAnsi="Arial"/>
          <w:sz w:val="18"/>
          <w:szCs w:val="18"/>
          <w:color w:val="auto"/>
        </w:rPr>
      </w:pPr>
    </w:p>
    <w:p>
      <w:pPr>
        <w:ind w:left="600" w:hanging="208"/>
        <w:spacing w:after="0" w:line="238" w:lineRule="auto"/>
        <w:tabs>
          <w:tab w:leader="none" w:pos="6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consummation of a merger, consolidation or reorganization in which the stockholders of the company prior to the merger own 51% or less of the surviving corporation; or</w:t>
      </w:r>
    </w:p>
    <w:p>
      <w:pPr>
        <w:spacing w:after="0" w:line="108" w:lineRule="exact"/>
        <w:rPr>
          <w:rFonts w:ascii="Arial" w:cs="Arial" w:eastAsia="Arial" w:hAnsi="Arial"/>
          <w:sz w:val="18"/>
          <w:szCs w:val="18"/>
          <w:color w:val="auto"/>
        </w:rPr>
      </w:pPr>
    </w:p>
    <w:p>
      <w:pPr>
        <w:ind w:left="600" w:hanging="208"/>
        <w:spacing w:after="0" w:line="238" w:lineRule="auto"/>
        <w:tabs>
          <w:tab w:leader="none" w:pos="6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consummation of a complete liquidation or dissolution of the company or sale of all or substantially all of the assets of the company, other than to a corporation more than 51% of which is owned after such sale by stockholders of the company prior to the sale.</w:t>
      </w:r>
    </w:p>
    <w:p>
      <w:pPr>
        <w:spacing w:after="0" w:line="175" w:lineRule="exact"/>
        <w:rPr>
          <w:sz w:val="20"/>
          <w:szCs w:val="20"/>
          <w:color w:val="auto"/>
        </w:rPr>
      </w:pPr>
    </w:p>
    <w:p>
      <w:pPr>
        <w:jc w:val="both"/>
        <w:ind w:left="280"/>
        <w:spacing w:after="0" w:line="232" w:lineRule="auto"/>
        <w:rPr>
          <w:sz w:val="20"/>
          <w:szCs w:val="20"/>
          <w:color w:val="auto"/>
        </w:rPr>
      </w:pPr>
      <w:r>
        <w:rPr>
          <w:rFonts w:ascii="Arial" w:cs="Arial" w:eastAsia="Arial" w:hAnsi="Arial"/>
          <w:sz w:val="18"/>
          <w:szCs w:val="18"/>
          <w:color w:val="auto"/>
        </w:rPr>
        <w:t>Under the 2017 Incentive Plan, unless otherwise determined by the committee (or unless otherwise set forth in a change-in-control, employment or similar agreement or an award agreement), if a participant’s employment is terminated without cause or on account of good reason within 2 years following a change in control, each award will become fully vested. Unless otherwise set forth in a change-in-control, employment or similar agreement or an award agreement, the committee, in its discretion, may provide that performance-based awards shall be (x) considered to be earned and payable based on achievement of performance goals or based on target performance (either in full or pro rata based on the portion of performance period completed as of the date of the change in control) or (y) converted into time-vesting restricted stock or restricted stock unit awards). In the event of a change in control, unless otherwise set forth in an employment, change-in-control or similar agreement or an award agreement, the committee may in its sole discretion provide: (i) for the cancelation of such awards for fair value; (ii) for the assumption or replacement of awards; (iii) for a period of at least 20 days prior to the change in control to exercise options or SARs whether vested or unvested or (iv) that any shares of restricted stock become fully vested.</w:t>
      </w:r>
    </w:p>
    <w:p>
      <w:pPr>
        <w:spacing w:after="0" w:line="150" w:lineRule="exact"/>
        <w:rPr>
          <w:sz w:val="20"/>
          <w:szCs w:val="20"/>
          <w:color w:val="auto"/>
        </w:rPr>
      </w:pPr>
    </w:p>
    <w:p>
      <w:pPr>
        <w:jc w:val="both"/>
        <w:ind w:left="280"/>
        <w:spacing w:after="0" w:line="235" w:lineRule="auto"/>
        <w:rPr>
          <w:sz w:val="20"/>
          <w:szCs w:val="20"/>
          <w:color w:val="auto"/>
        </w:rPr>
      </w:pPr>
      <w:r>
        <w:rPr>
          <w:rFonts w:ascii="Arial" w:cs="Arial" w:eastAsia="Arial" w:hAnsi="Arial"/>
          <w:sz w:val="18"/>
          <w:szCs w:val="18"/>
          <w:i w:val="1"/>
          <w:iCs w:val="1"/>
          <w:color w:val="007549"/>
        </w:rPr>
        <w:t xml:space="preserve">Severance Payments. </w:t>
      </w:r>
      <w:r>
        <w:rPr>
          <w:rFonts w:ascii="Arial" w:cs="Arial" w:eastAsia="Arial" w:hAnsi="Arial"/>
          <w:sz w:val="18"/>
          <w:szCs w:val="18"/>
          <w:color w:val="000000"/>
        </w:rPr>
        <w:t>The company has entered into change-in-control termination benefit agreements with the NEOs and certain other</w:t>
      </w:r>
      <w:r>
        <w:rPr>
          <w:rFonts w:ascii="Arial" w:cs="Arial" w:eastAsia="Arial" w:hAnsi="Arial"/>
          <w:sz w:val="18"/>
          <w:szCs w:val="18"/>
          <w:i w:val="1"/>
          <w:iCs w:val="1"/>
          <w:color w:val="007549"/>
        </w:rPr>
        <w:t xml:space="preserve"> </w:t>
      </w:r>
      <w:r>
        <w:rPr>
          <w:rFonts w:ascii="Arial" w:cs="Arial" w:eastAsia="Arial" w:hAnsi="Arial"/>
          <w:sz w:val="18"/>
          <w:szCs w:val="18"/>
          <w:color w:val="000000"/>
        </w:rPr>
        <w:t>officers of the company. These agreements provide for lump sum cash payments equal to a multiple of an executive’s annual compensation if within 24 months following a change in control the employment of the executive is terminated by the executive for good reason or by the company without cause. For these purposes, annual compensation consists of the executive’s base pay at the date of his termination or immediately before the change in control, whichever is higher, plus the greater of his or her target bonus for the year in which the change in control occurs or the highest bonus earned in the three fiscal years preceding the change in control. The multiple of annual compensation received is three times for Mr. Hess and two times for Messrs. Hill, Goodell, Rielly and Turner and all other officers with whom such agreements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1820545</wp:posOffset>
            </wp:positionH>
            <wp:positionV relativeFrom="paragraph">
              <wp:posOffset>224155</wp:posOffset>
            </wp:positionV>
            <wp:extent cx="405765" cy="2451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760" w:hanging="474"/>
        <w:spacing w:after="0"/>
        <w:tabs>
          <w:tab w:leader="none" w:pos="760" w:val="left"/>
        </w:tabs>
        <w:numPr>
          <w:ilvl w:val="0"/>
          <w:numId w:val="73"/>
        </w:numPr>
        <w:rPr>
          <w:rFonts w:ascii="Arial" w:cs="Arial" w:eastAsia="Arial" w:hAnsi="Arial"/>
          <w:sz w:val="14"/>
          <w:szCs w:val="14"/>
          <w:b w:val="1"/>
          <w:bCs w:val="1"/>
          <w:color w:val="007549"/>
        </w:rPr>
      </w:pPr>
      <w:r>
        <w:rPr>
          <w:rFonts w:ascii="Arial" w:cs="Arial" w:eastAsia="Arial" w:hAnsi="Arial"/>
          <w:sz w:val="12"/>
          <w:szCs w:val="12"/>
          <w:b w:val="1"/>
          <w:bCs w:val="1"/>
          <w:color w:val="666666"/>
        </w:rPr>
        <w:t>2018 PROXY STATEMENT</w:t>
      </w:r>
    </w:p>
    <w:p>
      <w:pPr>
        <w:sectPr>
          <w:pgSz w:w="11900" w:h="16838" w:orient="portrait"/>
          <w:cols w:equalWidth="0" w:num="1">
            <w:col w:w="11140"/>
          </w:cols>
          <w:pgMar w:left="240" w:top="454" w:right="5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7549"/>
        </w:rPr>
        <w:t xml:space="preserve">Executive Compensation </w:t>
      </w:r>
      <w:r>
        <w:rPr>
          <w:rFonts w:ascii="Arial" w:cs="Arial" w:eastAsia="Arial" w:hAnsi="Arial"/>
          <w:sz w:val="16"/>
          <w:szCs w:val="16"/>
          <w:b w:val="1"/>
          <w:bCs w:val="1"/>
          <w:color w:val="000000"/>
        </w:rPr>
        <w:t>+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55245</wp:posOffset>
            </wp:positionV>
            <wp:extent cx="689356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266" w:lineRule="exact"/>
        <w:rPr>
          <w:sz w:val="20"/>
          <w:szCs w:val="20"/>
          <w:color w:val="auto"/>
        </w:rPr>
      </w:pPr>
    </w:p>
    <w:p>
      <w:pPr>
        <w:jc w:val="both"/>
        <w:ind w:left="280"/>
        <w:spacing w:after="0" w:line="232" w:lineRule="auto"/>
        <w:rPr>
          <w:sz w:val="20"/>
          <w:szCs w:val="20"/>
          <w:color w:val="auto"/>
        </w:rPr>
      </w:pPr>
      <w:r>
        <w:rPr>
          <w:rFonts w:ascii="Arial" w:cs="Arial" w:eastAsia="Arial" w:hAnsi="Arial"/>
          <w:sz w:val="18"/>
          <w:szCs w:val="18"/>
          <w:color w:val="auto"/>
        </w:rPr>
        <w:t>In addition, the executive is entitled to receive a pro rata portion of his or her target bonus for the fiscal year in which termination occurs, and continuation of medical, dental and other welfare benefits. The benefits continuation period is 36 months following termination for Mr. Hess and 24 months following termination for Messrs. Hill, Goodell, Rielly and Turner and all other officers with whom such agreements were entered into. The agreements provide for immediate vesting of retirement benefits upon termination, deemed age and service credit in determining retirement benefits for the number of years equal to the severance multiple, and deemed compensation in determining retirement benefits equal to the salary and bonus taken into account in determining the lump sum severance payment. The NEOs, other than Mr. Turner, are also entitled to a “gross-up” payment from the company for any excise tax imposed by the Code on “excess parachute payments” resulting from a change in control. However, the compensation and management development committee decided in 2010 to eliminate tax gross-up provisions in any change-in-control termination benefit agreements to be entered into thereafter. As a result, our change-in-control agreement with Mr. Turner, which was entered into during 2015, does not contain a tax gross up provision.</w:t>
      </w:r>
    </w:p>
    <w:p>
      <w:pPr>
        <w:spacing w:after="0" w:line="149" w:lineRule="exact"/>
        <w:rPr>
          <w:sz w:val="20"/>
          <w:szCs w:val="20"/>
          <w:color w:val="auto"/>
        </w:rPr>
      </w:pPr>
    </w:p>
    <w:p>
      <w:pPr>
        <w:jc w:val="both"/>
        <w:ind w:left="280"/>
        <w:spacing w:after="0"/>
        <w:rPr>
          <w:sz w:val="20"/>
          <w:szCs w:val="20"/>
          <w:color w:val="auto"/>
        </w:rPr>
      </w:pPr>
      <w:r>
        <w:rPr>
          <w:rFonts w:ascii="Arial" w:cs="Arial" w:eastAsia="Arial" w:hAnsi="Arial"/>
          <w:sz w:val="18"/>
          <w:szCs w:val="18"/>
          <w:i w:val="1"/>
          <w:iCs w:val="1"/>
          <w:color w:val="007549"/>
        </w:rPr>
        <w:t xml:space="preserve">Potential Change-in-Control Payments and Benefits. </w:t>
      </w:r>
      <w:r>
        <w:rPr>
          <w:rFonts w:ascii="Arial" w:cs="Arial" w:eastAsia="Arial" w:hAnsi="Arial"/>
          <w:sz w:val="18"/>
          <w:szCs w:val="18"/>
          <w:color w:val="000000"/>
        </w:rPr>
        <w:t>Set forth below is the total estimated value, assuming that a change in control</w:t>
      </w:r>
      <w:r>
        <w:rPr>
          <w:rFonts w:ascii="Arial" w:cs="Arial" w:eastAsia="Arial" w:hAnsi="Arial"/>
          <w:sz w:val="18"/>
          <w:szCs w:val="18"/>
          <w:i w:val="1"/>
          <w:iCs w:val="1"/>
          <w:color w:val="007549"/>
        </w:rPr>
        <w:t xml:space="preserve"> </w:t>
      </w:r>
      <w:r>
        <w:rPr>
          <w:rFonts w:ascii="Arial" w:cs="Arial" w:eastAsia="Arial" w:hAnsi="Arial"/>
          <w:sz w:val="18"/>
          <w:szCs w:val="18"/>
          <w:color w:val="000000"/>
        </w:rPr>
        <w:t>occurred on December 31, 2017 and the employment of each NEO terminated on that date under circumstances entitling them to severance payments and benefits under the change-in-control termination benefit agreements, as well as the value of their unvested equity awards as of December 31, 2017.</w:t>
      </w:r>
    </w:p>
    <w:p>
      <w:pPr>
        <w:spacing w:after="0" w:line="177" w:lineRule="exact"/>
        <w:rPr>
          <w:sz w:val="20"/>
          <w:szCs w:val="20"/>
          <w:color w:val="auto"/>
        </w:rPr>
      </w:pPr>
    </w:p>
    <w:tbl>
      <w:tblPr>
        <w:tblLayout w:type="fixed"/>
        <w:tblInd w:w="280" w:type="dxa"/>
        <w:tblCellMar>
          <w:top w:w="0" w:type="dxa"/>
          <w:left w:w="0" w:type="dxa"/>
          <w:bottom w:w="0" w:type="dxa"/>
          <w:right w:w="0" w:type="dxa"/>
        </w:tblCellMar>
      </w:tblPr>
      <w:tr>
        <w:trPr>
          <w:trHeight w:val="138"/>
        </w:trPr>
        <w:tc>
          <w:tcPr>
            <w:tcW w:w="1760" w:type="dxa"/>
            <w:vAlign w:val="bottom"/>
            <w:shd w:val="clear" w:color="auto" w:fill="007549"/>
          </w:tcPr>
          <w:p>
            <w:pPr>
              <w:spacing w:after="0"/>
              <w:rPr>
                <w:sz w:val="12"/>
                <w:szCs w:val="12"/>
                <w:color w:val="auto"/>
              </w:rPr>
            </w:pPr>
          </w:p>
        </w:tc>
        <w:tc>
          <w:tcPr>
            <w:tcW w:w="1200" w:type="dxa"/>
            <w:vAlign w:val="bottom"/>
            <w:shd w:val="clear" w:color="auto" w:fill="007549"/>
          </w:tcPr>
          <w:p>
            <w:pPr>
              <w:jc w:val="center"/>
              <w:ind w:left="133"/>
              <w:spacing w:after="0"/>
              <w:rPr>
                <w:sz w:val="20"/>
                <w:szCs w:val="20"/>
                <w:color w:val="auto"/>
              </w:rPr>
            </w:pPr>
            <w:r>
              <w:rPr>
                <w:rFonts w:ascii="Arial" w:cs="Arial" w:eastAsia="Arial" w:hAnsi="Arial"/>
                <w:sz w:val="12"/>
                <w:szCs w:val="12"/>
                <w:b w:val="1"/>
                <w:bCs w:val="1"/>
                <w:color w:val="FFFFFF"/>
              </w:rPr>
              <w:t>Cash</w:t>
            </w:r>
          </w:p>
        </w:tc>
        <w:tc>
          <w:tcPr>
            <w:tcW w:w="740" w:type="dxa"/>
            <w:vAlign w:val="bottom"/>
            <w:shd w:val="clear" w:color="auto" w:fill="007549"/>
          </w:tcPr>
          <w:p>
            <w:pPr>
              <w:spacing w:after="0"/>
              <w:rPr>
                <w:sz w:val="12"/>
                <w:szCs w:val="12"/>
                <w:color w:val="auto"/>
              </w:rPr>
            </w:pPr>
          </w:p>
        </w:tc>
        <w:tc>
          <w:tcPr>
            <w:tcW w:w="1000" w:type="dxa"/>
            <w:vAlign w:val="bottom"/>
            <w:shd w:val="clear" w:color="auto" w:fill="007549"/>
          </w:tcPr>
          <w:p>
            <w:pPr>
              <w:spacing w:after="0"/>
              <w:rPr>
                <w:sz w:val="12"/>
                <w:szCs w:val="12"/>
                <w:color w:val="auto"/>
              </w:rPr>
            </w:pPr>
          </w:p>
        </w:tc>
        <w:tc>
          <w:tcPr>
            <w:tcW w:w="1240" w:type="dxa"/>
            <w:vAlign w:val="bottom"/>
            <w:shd w:val="clear" w:color="auto" w:fill="007549"/>
          </w:tcPr>
          <w:p>
            <w:pPr>
              <w:spacing w:after="0"/>
              <w:rPr>
                <w:sz w:val="12"/>
                <w:szCs w:val="12"/>
                <w:color w:val="auto"/>
              </w:rPr>
            </w:pPr>
          </w:p>
        </w:tc>
        <w:tc>
          <w:tcPr>
            <w:tcW w:w="940" w:type="dxa"/>
            <w:vAlign w:val="bottom"/>
            <w:shd w:val="clear" w:color="auto" w:fill="007549"/>
          </w:tcPr>
          <w:p>
            <w:pPr>
              <w:spacing w:after="0"/>
              <w:rPr>
                <w:sz w:val="12"/>
                <w:szCs w:val="12"/>
                <w:color w:val="auto"/>
              </w:rPr>
            </w:pPr>
          </w:p>
        </w:tc>
        <w:tc>
          <w:tcPr>
            <w:tcW w:w="1220" w:type="dxa"/>
            <w:vAlign w:val="bottom"/>
            <w:shd w:val="clear" w:color="auto" w:fill="007549"/>
          </w:tcPr>
          <w:p>
            <w:pPr>
              <w:spacing w:after="0"/>
              <w:rPr>
                <w:sz w:val="12"/>
                <w:szCs w:val="12"/>
                <w:color w:val="auto"/>
              </w:rPr>
            </w:pPr>
          </w:p>
        </w:tc>
        <w:tc>
          <w:tcPr>
            <w:tcW w:w="980" w:type="dxa"/>
            <w:vAlign w:val="bottom"/>
            <w:shd w:val="clear" w:color="auto" w:fill="007549"/>
          </w:tcPr>
          <w:p>
            <w:pPr>
              <w:jc w:val="center"/>
              <w:spacing w:after="0"/>
              <w:rPr>
                <w:sz w:val="20"/>
                <w:szCs w:val="20"/>
                <w:color w:val="auto"/>
              </w:rPr>
            </w:pPr>
            <w:r>
              <w:rPr>
                <w:rFonts w:ascii="Arial" w:cs="Arial" w:eastAsia="Arial" w:hAnsi="Arial"/>
                <w:sz w:val="12"/>
                <w:szCs w:val="12"/>
                <w:b w:val="1"/>
                <w:bCs w:val="1"/>
                <w:color w:val="FFFFFF"/>
              </w:rPr>
              <w:t>Additional</w:t>
            </w:r>
          </w:p>
        </w:tc>
        <w:tc>
          <w:tcPr>
            <w:tcW w:w="860" w:type="dxa"/>
            <w:vAlign w:val="bottom"/>
            <w:shd w:val="clear" w:color="auto" w:fill="007549"/>
          </w:tcPr>
          <w:p>
            <w:pPr>
              <w:jc w:val="center"/>
              <w:ind w:right="13"/>
              <w:spacing w:after="0"/>
              <w:rPr>
                <w:sz w:val="20"/>
                <w:szCs w:val="20"/>
                <w:color w:val="auto"/>
              </w:rPr>
            </w:pPr>
            <w:r>
              <w:rPr>
                <w:rFonts w:ascii="Arial" w:cs="Arial" w:eastAsia="Arial" w:hAnsi="Arial"/>
                <w:sz w:val="12"/>
                <w:szCs w:val="12"/>
                <w:b w:val="1"/>
                <w:bCs w:val="1"/>
                <w:color w:val="FFFFFF"/>
                <w:w w:val="99"/>
              </w:rPr>
              <w:t>Excise</w:t>
            </w:r>
          </w:p>
        </w:tc>
        <w:tc>
          <w:tcPr>
            <w:tcW w:w="920" w:type="dxa"/>
            <w:vAlign w:val="bottom"/>
            <w:shd w:val="clear" w:color="auto" w:fill="007549"/>
          </w:tcPr>
          <w:p>
            <w:pPr>
              <w:spacing w:after="0"/>
              <w:rPr>
                <w:sz w:val="12"/>
                <w:szCs w:val="12"/>
                <w:color w:val="auto"/>
              </w:rPr>
            </w:pPr>
          </w:p>
        </w:tc>
      </w:tr>
      <w:tr>
        <w:trPr>
          <w:trHeight w:val="133"/>
        </w:trPr>
        <w:tc>
          <w:tcPr>
            <w:tcW w:w="1760" w:type="dxa"/>
            <w:vAlign w:val="bottom"/>
            <w:shd w:val="clear" w:color="auto" w:fill="007549"/>
          </w:tcPr>
          <w:p>
            <w:pPr>
              <w:spacing w:after="0"/>
              <w:rPr>
                <w:sz w:val="11"/>
                <w:szCs w:val="11"/>
                <w:color w:val="auto"/>
              </w:rPr>
            </w:pPr>
          </w:p>
        </w:tc>
        <w:tc>
          <w:tcPr>
            <w:tcW w:w="1200" w:type="dxa"/>
            <w:vAlign w:val="bottom"/>
            <w:shd w:val="clear" w:color="auto" w:fill="007549"/>
          </w:tcPr>
          <w:p>
            <w:pPr>
              <w:jc w:val="center"/>
              <w:ind w:left="153"/>
              <w:spacing w:after="0" w:line="133" w:lineRule="exact"/>
              <w:rPr>
                <w:sz w:val="20"/>
                <w:szCs w:val="20"/>
                <w:color w:val="auto"/>
              </w:rPr>
            </w:pPr>
            <w:r>
              <w:rPr>
                <w:rFonts w:ascii="Arial" w:cs="Arial" w:eastAsia="Arial" w:hAnsi="Arial"/>
                <w:sz w:val="12"/>
                <w:szCs w:val="12"/>
                <w:b w:val="1"/>
                <w:bCs w:val="1"/>
                <w:color w:val="FFFFFF"/>
              </w:rPr>
              <w:t>Severance</w:t>
            </w:r>
          </w:p>
        </w:tc>
        <w:tc>
          <w:tcPr>
            <w:tcW w:w="74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rPr>
              <w:t>Stock</w:t>
            </w:r>
          </w:p>
        </w:tc>
        <w:tc>
          <w:tcPr>
            <w:tcW w:w="1000" w:type="dxa"/>
            <w:vAlign w:val="bottom"/>
            <w:shd w:val="clear" w:color="auto" w:fill="007549"/>
          </w:tcPr>
          <w:p>
            <w:pPr>
              <w:jc w:val="center"/>
              <w:ind w:right="112"/>
              <w:spacing w:after="0" w:line="133" w:lineRule="exact"/>
              <w:rPr>
                <w:sz w:val="20"/>
                <w:szCs w:val="20"/>
                <w:color w:val="auto"/>
              </w:rPr>
            </w:pPr>
            <w:r>
              <w:rPr>
                <w:rFonts w:ascii="Arial" w:cs="Arial" w:eastAsia="Arial" w:hAnsi="Arial"/>
                <w:sz w:val="12"/>
                <w:szCs w:val="12"/>
                <w:b w:val="1"/>
                <w:bCs w:val="1"/>
                <w:color w:val="FFFFFF"/>
              </w:rPr>
              <w:t>Restricted</w:t>
            </w:r>
          </w:p>
        </w:tc>
        <w:tc>
          <w:tcPr>
            <w:tcW w:w="1240" w:type="dxa"/>
            <w:vAlign w:val="bottom"/>
            <w:shd w:val="clear" w:color="auto" w:fill="007549"/>
          </w:tcPr>
          <w:p>
            <w:pPr>
              <w:jc w:val="right"/>
              <w:ind w:right="172"/>
              <w:spacing w:after="0" w:line="133" w:lineRule="exact"/>
              <w:rPr>
                <w:sz w:val="20"/>
                <w:szCs w:val="20"/>
                <w:color w:val="auto"/>
              </w:rPr>
            </w:pPr>
            <w:r>
              <w:rPr>
                <w:rFonts w:ascii="Arial" w:cs="Arial" w:eastAsia="Arial" w:hAnsi="Arial"/>
                <w:sz w:val="12"/>
                <w:szCs w:val="12"/>
                <w:b w:val="1"/>
                <w:bCs w:val="1"/>
                <w:color w:val="FFFFFF"/>
              </w:rPr>
              <w:t>Performance</w:t>
            </w:r>
          </w:p>
        </w:tc>
        <w:tc>
          <w:tcPr>
            <w:tcW w:w="94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rPr>
              <w:t>Welfare</w:t>
            </w:r>
          </w:p>
        </w:tc>
        <w:tc>
          <w:tcPr>
            <w:tcW w:w="1220" w:type="dxa"/>
            <w:vAlign w:val="bottom"/>
            <w:shd w:val="clear" w:color="auto" w:fill="007549"/>
          </w:tcPr>
          <w:p>
            <w:pPr>
              <w:jc w:val="right"/>
              <w:ind w:right="152"/>
              <w:spacing w:after="0" w:line="133" w:lineRule="exact"/>
              <w:rPr>
                <w:sz w:val="20"/>
                <w:szCs w:val="20"/>
                <w:color w:val="auto"/>
              </w:rPr>
            </w:pPr>
            <w:r>
              <w:rPr>
                <w:rFonts w:ascii="Arial" w:cs="Arial" w:eastAsia="Arial" w:hAnsi="Arial"/>
                <w:sz w:val="12"/>
                <w:szCs w:val="12"/>
                <w:b w:val="1"/>
                <w:bCs w:val="1"/>
                <w:color w:val="FFFFFF"/>
              </w:rPr>
              <w:t>Outplacement</w:t>
            </w:r>
          </w:p>
        </w:tc>
        <w:tc>
          <w:tcPr>
            <w:tcW w:w="98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rPr>
              <w:t>Pension</w:t>
            </w:r>
          </w:p>
        </w:tc>
        <w:tc>
          <w:tcPr>
            <w:tcW w:w="860" w:type="dxa"/>
            <w:vAlign w:val="bottom"/>
            <w:shd w:val="clear" w:color="auto" w:fill="007549"/>
          </w:tcPr>
          <w:p>
            <w:pPr>
              <w:jc w:val="center"/>
              <w:ind w:right="13"/>
              <w:spacing w:after="0" w:line="133" w:lineRule="exact"/>
              <w:rPr>
                <w:sz w:val="20"/>
                <w:szCs w:val="20"/>
                <w:color w:val="auto"/>
              </w:rPr>
            </w:pPr>
            <w:r>
              <w:rPr>
                <w:rFonts w:ascii="Arial" w:cs="Arial" w:eastAsia="Arial" w:hAnsi="Arial"/>
                <w:sz w:val="12"/>
                <w:szCs w:val="12"/>
                <w:b w:val="1"/>
                <w:bCs w:val="1"/>
                <w:color w:val="FFFFFF"/>
              </w:rPr>
              <w:t>Tax</w:t>
            </w:r>
          </w:p>
        </w:tc>
        <w:tc>
          <w:tcPr>
            <w:tcW w:w="920" w:type="dxa"/>
            <w:vAlign w:val="bottom"/>
            <w:shd w:val="clear" w:color="auto" w:fill="007549"/>
          </w:tcPr>
          <w:p>
            <w:pPr>
              <w:spacing w:after="0"/>
              <w:rPr>
                <w:sz w:val="11"/>
                <w:szCs w:val="11"/>
                <w:color w:val="auto"/>
              </w:rPr>
            </w:pPr>
          </w:p>
        </w:tc>
      </w:tr>
      <w:tr>
        <w:trPr>
          <w:trHeight w:val="133"/>
        </w:trPr>
        <w:tc>
          <w:tcPr>
            <w:tcW w:w="1760" w:type="dxa"/>
            <w:vAlign w:val="bottom"/>
            <w:shd w:val="clear" w:color="auto" w:fill="007549"/>
          </w:tcPr>
          <w:p>
            <w:pPr>
              <w:ind w:left="80"/>
              <w:spacing w:after="0" w:line="133" w:lineRule="exact"/>
              <w:rPr>
                <w:sz w:val="20"/>
                <w:szCs w:val="20"/>
                <w:color w:val="auto"/>
              </w:rPr>
            </w:pPr>
            <w:r>
              <w:rPr>
                <w:rFonts w:ascii="Arial" w:cs="Arial" w:eastAsia="Arial" w:hAnsi="Arial"/>
                <w:sz w:val="12"/>
                <w:szCs w:val="12"/>
                <w:b w:val="1"/>
                <w:bCs w:val="1"/>
                <w:color w:val="FFFFFF"/>
              </w:rPr>
              <w:t>Named</w:t>
            </w:r>
          </w:p>
        </w:tc>
        <w:tc>
          <w:tcPr>
            <w:tcW w:w="1200" w:type="dxa"/>
            <w:vAlign w:val="bottom"/>
            <w:shd w:val="clear" w:color="auto" w:fill="007549"/>
          </w:tcPr>
          <w:p>
            <w:pPr>
              <w:jc w:val="center"/>
              <w:ind w:left="133"/>
              <w:spacing w:after="0" w:line="133" w:lineRule="exact"/>
              <w:rPr>
                <w:sz w:val="20"/>
                <w:szCs w:val="20"/>
                <w:color w:val="auto"/>
              </w:rPr>
            </w:pPr>
            <w:r>
              <w:rPr>
                <w:rFonts w:ascii="Arial" w:cs="Arial" w:eastAsia="Arial" w:hAnsi="Arial"/>
                <w:sz w:val="12"/>
                <w:szCs w:val="12"/>
                <w:b w:val="1"/>
                <w:bCs w:val="1"/>
                <w:color w:val="FFFFFF"/>
              </w:rPr>
              <w:t>Payment</w:t>
            </w:r>
          </w:p>
        </w:tc>
        <w:tc>
          <w:tcPr>
            <w:tcW w:w="74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rPr>
              <w:t>Options</w:t>
            </w:r>
          </w:p>
        </w:tc>
        <w:tc>
          <w:tcPr>
            <w:tcW w:w="1000" w:type="dxa"/>
            <w:vAlign w:val="bottom"/>
            <w:shd w:val="clear" w:color="auto" w:fill="007549"/>
          </w:tcPr>
          <w:p>
            <w:pPr>
              <w:jc w:val="center"/>
              <w:ind w:right="112"/>
              <w:spacing w:after="0" w:line="133" w:lineRule="exact"/>
              <w:rPr>
                <w:sz w:val="20"/>
                <w:szCs w:val="20"/>
                <w:color w:val="auto"/>
              </w:rPr>
            </w:pPr>
            <w:r>
              <w:rPr>
                <w:rFonts w:ascii="Arial" w:cs="Arial" w:eastAsia="Arial" w:hAnsi="Arial"/>
                <w:sz w:val="12"/>
                <w:szCs w:val="12"/>
                <w:b w:val="1"/>
                <w:bCs w:val="1"/>
                <w:color w:val="FFFFFF"/>
              </w:rPr>
              <w:t>Stock</w:t>
            </w:r>
          </w:p>
        </w:tc>
        <w:tc>
          <w:tcPr>
            <w:tcW w:w="1240" w:type="dxa"/>
            <w:vAlign w:val="bottom"/>
            <w:shd w:val="clear" w:color="auto" w:fill="007549"/>
          </w:tcPr>
          <w:p>
            <w:pPr>
              <w:jc w:val="right"/>
              <w:ind w:right="212"/>
              <w:spacing w:after="0" w:line="133" w:lineRule="exact"/>
              <w:rPr>
                <w:sz w:val="20"/>
                <w:szCs w:val="20"/>
                <w:color w:val="auto"/>
              </w:rPr>
            </w:pPr>
            <w:r>
              <w:rPr>
                <w:rFonts w:ascii="Arial" w:cs="Arial" w:eastAsia="Arial" w:hAnsi="Arial"/>
                <w:sz w:val="12"/>
                <w:szCs w:val="12"/>
                <w:b w:val="1"/>
                <w:bCs w:val="1"/>
                <w:color w:val="FFFFFF"/>
              </w:rPr>
              <w:t>Share Units</w:t>
            </w:r>
          </w:p>
        </w:tc>
        <w:tc>
          <w:tcPr>
            <w:tcW w:w="940" w:type="dxa"/>
            <w:vAlign w:val="bottom"/>
            <w:shd w:val="clear" w:color="auto" w:fill="007549"/>
          </w:tcPr>
          <w:p>
            <w:pPr>
              <w:jc w:val="center"/>
              <w:spacing w:after="0" w:line="133" w:lineRule="exact"/>
              <w:rPr>
                <w:sz w:val="20"/>
                <w:szCs w:val="20"/>
                <w:color w:val="auto"/>
              </w:rPr>
            </w:pPr>
            <w:r>
              <w:rPr>
                <w:rFonts w:ascii="Arial" w:cs="Arial" w:eastAsia="Arial" w:hAnsi="Arial"/>
                <w:sz w:val="12"/>
                <w:szCs w:val="12"/>
                <w:b w:val="1"/>
                <w:bCs w:val="1"/>
                <w:color w:val="FFFFFF"/>
              </w:rPr>
              <w:t>Benefits</w:t>
            </w:r>
          </w:p>
        </w:tc>
        <w:tc>
          <w:tcPr>
            <w:tcW w:w="1220" w:type="dxa"/>
            <w:vAlign w:val="bottom"/>
            <w:shd w:val="clear" w:color="auto" w:fill="007549"/>
          </w:tcPr>
          <w:p>
            <w:pPr>
              <w:jc w:val="right"/>
              <w:ind w:right="312"/>
              <w:spacing w:after="0" w:line="133" w:lineRule="exact"/>
              <w:rPr>
                <w:sz w:val="20"/>
                <w:szCs w:val="20"/>
                <w:color w:val="auto"/>
              </w:rPr>
            </w:pPr>
            <w:r>
              <w:rPr>
                <w:rFonts w:ascii="Arial" w:cs="Arial" w:eastAsia="Arial" w:hAnsi="Arial"/>
                <w:sz w:val="12"/>
                <w:szCs w:val="12"/>
                <w:b w:val="1"/>
                <w:bCs w:val="1"/>
                <w:color w:val="FFFFFF"/>
              </w:rPr>
              <w:t>Benefits</w:t>
            </w:r>
          </w:p>
        </w:tc>
        <w:tc>
          <w:tcPr>
            <w:tcW w:w="980" w:type="dxa"/>
            <w:vAlign w:val="bottom"/>
            <w:shd w:val="clear" w:color="auto" w:fill="007549"/>
          </w:tcPr>
          <w:p>
            <w:pPr>
              <w:ind w:left="240"/>
              <w:spacing w:after="0" w:line="133" w:lineRule="exact"/>
              <w:rPr>
                <w:sz w:val="20"/>
                <w:szCs w:val="20"/>
                <w:color w:val="auto"/>
              </w:rPr>
            </w:pPr>
            <w:r>
              <w:rPr>
                <w:rFonts w:ascii="Arial" w:cs="Arial" w:eastAsia="Arial" w:hAnsi="Arial"/>
                <w:sz w:val="12"/>
                <w:szCs w:val="12"/>
                <w:b w:val="1"/>
                <w:bCs w:val="1"/>
                <w:color w:val="FFFFFF"/>
              </w:rPr>
              <w:t>Benefits</w:t>
            </w:r>
          </w:p>
        </w:tc>
        <w:tc>
          <w:tcPr>
            <w:tcW w:w="860" w:type="dxa"/>
            <w:vAlign w:val="bottom"/>
            <w:shd w:val="clear" w:color="auto" w:fill="007549"/>
          </w:tcPr>
          <w:p>
            <w:pPr>
              <w:jc w:val="center"/>
              <w:ind w:right="13"/>
              <w:spacing w:after="0" w:line="133" w:lineRule="exact"/>
              <w:rPr>
                <w:sz w:val="20"/>
                <w:szCs w:val="20"/>
                <w:color w:val="auto"/>
              </w:rPr>
            </w:pPr>
            <w:r>
              <w:rPr>
                <w:rFonts w:ascii="Arial" w:cs="Arial" w:eastAsia="Arial" w:hAnsi="Arial"/>
                <w:sz w:val="12"/>
                <w:szCs w:val="12"/>
                <w:b w:val="1"/>
                <w:bCs w:val="1"/>
                <w:color w:val="FFFFFF"/>
              </w:rPr>
              <w:t>Gross-Up</w:t>
            </w:r>
          </w:p>
        </w:tc>
        <w:tc>
          <w:tcPr>
            <w:tcW w:w="920" w:type="dxa"/>
            <w:vAlign w:val="bottom"/>
            <w:shd w:val="clear" w:color="auto" w:fill="007549"/>
          </w:tcPr>
          <w:p>
            <w:pPr>
              <w:jc w:val="right"/>
              <w:ind w:right="232"/>
              <w:spacing w:after="0" w:line="133" w:lineRule="exact"/>
              <w:rPr>
                <w:sz w:val="20"/>
                <w:szCs w:val="20"/>
                <w:color w:val="auto"/>
              </w:rPr>
            </w:pPr>
            <w:r>
              <w:rPr>
                <w:rFonts w:ascii="Arial" w:cs="Arial" w:eastAsia="Arial" w:hAnsi="Arial"/>
                <w:sz w:val="12"/>
                <w:szCs w:val="12"/>
                <w:b w:val="1"/>
                <w:bCs w:val="1"/>
                <w:color w:val="FFFFFF"/>
              </w:rPr>
              <w:t>Total</w:t>
            </w:r>
          </w:p>
        </w:tc>
      </w:tr>
      <w:tr>
        <w:trPr>
          <w:trHeight w:val="180"/>
        </w:trPr>
        <w:tc>
          <w:tcPr>
            <w:tcW w:w="1760" w:type="dxa"/>
            <w:vAlign w:val="bottom"/>
            <w:shd w:val="clear" w:color="auto" w:fill="007549"/>
          </w:tcPr>
          <w:p>
            <w:pPr>
              <w:ind w:left="80"/>
              <w:spacing w:after="0"/>
              <w:rPr>
                <w:sz w:val="20"/>
                <w:szCs w:val="20"/>
                <w:color w:val="auto"/>
              </w:rPr>
            </w:pPr>
            <w:r>
              <w:rPr>
                <w:rFonts w:ascii="Arial" w:cs="Arial" w:eastAsia="Arial" w:hAnsi="Arial"/>
                <w:sz w:val="12"/>
                <w:szCs w:val="12"/>
                <w:b w:val="1"/>
                <w:bCs w:val="1"/>
                <w:color w:val="FFFFFF"/>
              </w:rPr>
              <w:t>Executive Officer</w:t>
            </w:r>
          </w:p>
        </w:tc>
        <w:tc>
          <w:tcPr>
            <w:tcW w:w="1200" w:type="dxa"/>
            <w:vAlign w:val="bottom"/>
            <w:shd w:val="clear" w:color="auto" w:fill="007549"/>
          </w:tcPr>
          <w:p>
            <w:pPr>
              <w:jc w:val="center"/>
              <w:ind w:left="133"/>
              <w:spacing w:after="0"/>
              <w:rPr>
                <w:sz w:val="20"/>
                <w:szCs w:val="20"/>
                <w:color w:val="auto"/>
              </w:rPr>
            </w:pPr>
            <w:r>
              <w:rPr>
                <w:rFonts w:ascii="Arial" w:cs="Arial" w:eastAsia="Arial" w:hAnsi="Arial"/>
                <w:sz w:val="12"/>
                <w:szCs w:val="12"/>
                <w:b w:val="1"/>
                <w:bCs w:val="1"/>
                <w:color w:val="FFFFFF"/>
              </w:rPr>
              <w:t>($)</w:t>
            </w:r>
          </w:p>
        </w:tc>
        <w:tc>
          <w:tcPr>
            <w:tcW w:w="740" w:type="dxa"/>
            <w:vAlign w:val="bottom"/>
            <w:shd w:val="clear" w:color="auto" w:fill="007549"/>
          </w:tcPr>
          <w:p>
            <w:pPr>
              <w:jc w:val="center"/>
              <w:spacing w:after="0"/>
              <w:rPr>
                <w:sz w:val="20"/>
                <w:szCs w:val="20"/>
                <w:color w:val="auto"/>
              </w:rPr>
            </w:pPr>
            <w:r>
              <w:rPr>
                <w:rFonts w:ascii="Arial" w:cs="Arial" w:eastAsia="Arial" w:hAnsi="Arial"/>
                <w:sz w:val="12"/>
                <w:szCs w:val="12"/>
                <w:b w:val="1"/>
                <w:bCs w:val="1"/>
                <w:color w:val="FFFFFF"/>
              </w:rPr>
              <w:t>($)(1)</w:t>
            </w:r>
          </w:p>
        </w:tc>
        <w:tc>
          <w:tcPr>
            <w:tcW w:w="1000" w:type="dxa"/>
            <w:vAlign w:val="bottom"/>
            <w:shd w:val="clear" w:color="auto" w:fill="007549"/>
          </w:tcPr>
          <w:p>
            <w:pPr>
              <w:jc w:val="center"/>
              <w:ind w:right="112"/>
              <w:spacing w:after="0"/>
              <w:rPr>
                <w:sz w:val="20"/>
                <w:szCs w:val="20"/>
                <w:color w:val="auto"/>
              </w:rPr>
            </w:pPr>
            <w:r>
              <w:rPr>
                <w:rFonts w:ascii="Arial" w:cs="Arial" w:eastAsia="Arial" w:hAnsi="Arial"/>
                <w:sz w:val="12"/>
                <w:szCs w:val="12"/>
                <w:b w:val="1"/>
                <w:bCs w:val="1"/>
                <w:color w:val="FFFFFF"/>
                <w:w w:val="95"/>
              </w:rPr>
              <w:t>($)</w:t>
            </w:r>
          </w:p>
        </w:tc>
        <w:tc>
          <w:tcPr>
            <w:tcW w:w="1240" w:type="dxa"/>
            <w:vAlign w:val="bottom"/>
            <w:shd w:val="clear" w:color="auto" w:fill="007549"/>
          </w:tcPr>
          <w:p>
            <w:pPr>
              <w:jc w:val="right"/>
              <w:ind w:right="392"/>
              <w:spacing w:after="0"/>
              <w:rPr>
                <w:sz w:val="20"/>
                <w:szCs w:val="20"/>
                <w:color w:val="auto"/>
              </w:rPr>
            </w:pPr>
            <w:r>
              <w:rPr>
                <w:rFonts w:ascii="Arial" w:cs="Arial" w:eastAsia="Arial" w:hAnsi="Arial"/>
                <w:sz w:val="12"/>
                <w:szCs w:val="12"/>
                <w:b w:val="1"/>
                <w:bCs w:val="1"/>
                <w:color w:val="FFFFFF"/>
              </w:rPr>
              <w:t>($)(2)</w:t>
            </w:r>
          </w:p>
        </w:tc>
        <w:tc>
          <w:tcPr>
            <w:tcW w:w="940" w:type="dxa"/>
            <w:vAlign w:val="bottom"/>
            <w:shd w:val="clear" w:color="auto" w:fill="007549"/>
          </w:tcPr>
          <w:p>
            <w:pPr>
              <w:jc w:val="center"/>
              <w:spacing w:after="0"/>
              <w:rPr>
                <w:sz w:val="20"/>
                <w:szCs w:val="20"/>
                <w:color w:val="auto"/>
              </w:rPr>
            </w:pPr>
            <w:r>
              <w:rPr>
                <w:rFonts w:ascii="Arial" w:cs="Arial" w:eastAsia="Arial" w:hAnsi="Arial"/>
                <w:sz w:val="12"/>
                <w:szCs w:val="12"/>
                <w:b w:val="1"/>
                <w:bCs w:val="1"/>
                <w:color w:val="FFFFFF"/>
                <w:w w:val="95"/>
              </w:rPr>
              <w:t>($)</w:t>
            </w:r>
          </w:p>
        </w:tc>
        <w:tc>
          <w:tcPr>
            <w:tcW w:w="1220" w:type="dxa"/>
            <w:vAlign w:val="bottom"/>
            <w:shd w:val="clear" w:color="auto" w:fill="007549"/>
          </w:tcPr>
          <w:p>
            <w:pPr>
              <w:jc w:val="right"/>
              <w:ind w:right="492"/>
              <w:spacing w:after="0"/>
              <w:rPr>
                <w:sz w:val="20"/>
                <w:szCs w:val="20"/>
                <w:color w:val="auto"/>
              </w:rPr>
            </w:pPr>
            <w:r>
              <w:rPr>
                <w:rFonts w:ascii="Arial" w:cs="Arial" w:eastAsia="Arial" w:hAnsi="Arial"/>
                <w:sz w:val="12"/>
                <w:szCs w:val="12"/>
                <w:b w:val="1"/>
                <w:bCs w:val="1"/>
                <w:color w:val="FFFFFF"/>
              </w:rPr>
              <w:t>($)</w:t>
            </w:r>
          </w:p>
        </w:tc>
        <w:tc>
          <w:tcPr>
            <w:tcW w:w="980" w:type="dxa"/>
            <w:vAlign w:val="bottom"/>
            <w:shd w:val="clear" w:color="auto" w:fill="007549"/>
          </w:tcPr>
          <w:p>
            <w:pPr>
              <w:jc w:val="center"/>
              <w:spacing w:after="0"/>
              <w:rPr>
                <w:sz w:val="20"/>
                <w:szCs w:val="20"/>
                <w:color w:val="auto"/>
              </w:rPr>
            </w:pPr>
            <w:r>
              <w:rPr>
                <w:rFonts w:ascii="Arial" w:cs="Arial" w:eastAsia="Arial" w:hAnsi="Arial"/>
                <w:sz w:val="12"/>
                <w:szCs w:val="12"/>
                <w:b w:val="1"/>
                <w:bCs w:val="1"/>
                <w:color w:val="FFFFFF"/>
              </w:rPr>
              <w:t>($)(3)</w:t>
            </w:r>
          </w:p>
        </w:tc>
        <w:tc>
          <w:tcPr>
            <w:tcW w:w="860" w:type="dxa"/>
            <w:vAlign w:val="bottom"/>
            <w:shd w:val="clear" w:color="auto" w:fill="007549"/>
          </w:tcPr>
          <w:p>
            <w:pPr>
              <w:jc w:val="center"/>
              <w:ind w:right="13"/>
              <w:spacing w:after="0"/>
              <w:rPr>
                <w:sz w:val="20"/>
                <w:szCs w:val="20"/>
                <w:color w:val="auto"/>
              </w:rPr>
            </w:pPr>
            <w:r>
              <w:rPr>
                <w:rFonts w:ascii="Arial" w:cs="Arial" w:eastAsia="Arial" w:hAnsi="Arial"/>
                <w:sz w:val="12"/>
                <w:szCs w:val="12"/>
                <w:b w:val="1"/>
                <w:bCs w:val="1"/>
                <w:color w:val="FFFFFF"/>
                <w:w w:val="95"/>
              </w:rPr>
              <w:t>($)</w:t>
            </w:r>
          </w:p>
        </w:tc>
        <w:tc>
          <w:tcPr>
            <w:tcW w:w="920" w:type="dxa"/>
            <w:vAlign w:val="bottom"/>
            <w:shd w:val="clear" w:color="auto" w:fill="007549"/>
          </w:tcPr>
          <w:p>
            <w:pPr>
              <w:jc w:val="right"/>
              <w:ind w:right="292"/>
              <w:spacing w:after="0"/>
              <w:rPr>
                <w:sz w:val="20"/>
                <w:szCs w:val="20"/>
                <w:color w:val="auto"/>
              </w:rPr>
            </w:pPr>
            <w:r>
              <w:rPr>
                <w:rFonts w:ascii="Arial" w:cs="Arial" w:eastAsia="Arial" w:hAnsi="Arial"/>
                <w:sz w:val="12"/>
                <w:szCs w:val="12"/>
                <w:b w:val="1"/>
                <w:bCs w:val="1"/>
                <w:color w:val="FFFFFF"/>
              </w:rPr>
              <w:t>($)</w:t>
            </w:r>
          </w:p>
        </w:tc>
      </w:tr>
      <w:tr>
        <w:trPr>
          <w:trHeight w:val="226"/>
        </w:trPr>
        <w:tc>
          <w:tcPr>
            <w:tcW w:w="1760" w:type="dxa"/>
            <w:vAlign w:val="bottom"/>
            <w:shd w:val="clear" w:color="auto" w:fill="E5E5E5"/>
          </w:tcPr>
          <w:p>
            <w:pPr>
              <w:ind w:left="80"/>
              <w:spacing w:after="0"/>
              <w:rPr>
                <w:sz w:val="20"/>
                <w:szCs w:val="20"/>
                <w:color w:val="auto"/>
              </w:rPr>
            </w:pPr>
            <w:r>
              <w:rPr>
                <w:rFonts w:ascii="Arial" w:cs="Arial" w:eastAsia="Arial" w:hAnsi="Arial"/>
                <w:sz w:val="14"/>
                <w:szCs w:val="14"/>
                <w:color w:val="auto"/>
              </w:rPr>
              <w:t>Hess, John B</w:t>
            </w:r>
          </w:p>
        </w:tc>
        <w:tc>
          <w:tcPr>
            <w:tcW w:w="1200" w:type="dxa"/>
            <w:vAlign w:val="bottom"/>
            <w:shd w:val="clear" w:color="auto" w:fill="E5E5E5"/>
          </w:tcPr>
          <w:p>
            <w:pPr>
              <w:jc w:val="right"/>
              <w:ind w:right="33"/>
              <w:spacing w:after="0"/>
              <w:rPr>
                <w:sz w:val="20"/>
                <w:szCs w:val="20"/>
                <w:color w:val="auto"/>
              </w:rPr>
            </w:pPr>
            <w:r>
              <w:rPr>
                <w:rFonts w:ascii="Arial" w:cs="Arial" w:eastAsia="Arial" w:hAnsi="Arial"/>
                <w:sz w:val="14"/>
                <w:szCs w:val="14"/>
                <w:color w:val="auto"/>
              </w:rPr>
              <w:t>13,612,500</w:t>
            </w:r>
          </w:p>
        </w:tc>
        <w:tc>
          <w:tcPr>
            <w:tcW w:w="740" w:type="dxa"/>
            <w:vAlign w:val="bottom"/>
            <w:shd w:val="clear" w:color="auto" w:fill="E5E5E5"/>
          </w:tcPr>
          <w:p>
            <w:pPr>
              <w:jc w:val="right"/>
              <w:ind w:right="32"/>
              <w:spacing w:after="0"/>
              <w:rPr>
                <w:sz w:val="20"/>
                <w:szCs w:val="20"/>
                <w:color w:val="auto"/>
              </w:rPr>
            </w:pPr>
            <w:r>
              <w:rPr>
                <w:rFonts w:ascii="Arial" w:cs="Arial" w:eastAsia="Arial" w:hAnsi="Arial"/>
                <w:sz w:val="14"/>
                <w:szCs w:val="14"/>
                <w:color w:val="auto"/>
              </w:rPr>
              <w:t>450,711</w:t>
            </w:r>
          </w:p>
        </w:tc>
        <w:tc>
          <w:tcPr>
            <w:tcW w:w="1000" w:type="dxa"/>
            <w:vAlign w:val="bottom"/>
            <w:shd w:val="clear" w:color="auto" w:fill="E5E5E5"/>
          </w:tcPr>
          <w:p>
            <w:pPr>
              <w:jc w:val="right"/>
              <w:ind w:right="172"/>
              <w:spacing w:after="0"/>
              <w:rPr>
                <w:sz w:val="20"/>
                <w:szCs w:val="20"/>
                <w:color w:val="auto"/>
              </w:rPr>
            </w:pPr>
            <w:r>
              <w:rPr>
                <w:rFonts w:ascii="Arial" w:cs="Arial" w:eastAsia="Arial" w:hAnsi="Arial"/>
                <w:sz w:val="14"/>
                <w:szCs w:val="14"/>
                <w:color w:val="auto"/>
              </w:rPr>
              <w:t>1,210,817</w:t>
            </w:r>
          </w:p>
        </w:tc>
        <w:tc>
          <w:tcPr>
            <w:tcW w:w="1240" w:type="dxa"/>
            <w:vAlign w:val="bottom"/>
            <w:shd w:val="clear" w:color="auto" w:fill="E5E5E5"/>
          </w:tcPr>
          <w:p>
            <w:pPr>
              <w:jc w:val="right"/>
              <w:ind w:right="212"/>
              <w:spacing w:after="0"/>
              <w:rPr>
                <w:sz w:val="20"/>
                <w:szCs w:val="20"/>
                <w:color w:val="auto"/>
              </w:rPr>
            </w:pPr>
            <w:r>
              <w:rPr>
                <w:rFonts w:ascii="Arial" w:cs="Arial" w:eastAsia="Arial" w:hAnsi="Arial"/>
                <w:sz w:val="14"/>
                <w:szCs w:val="14"/>
                <w:color w:val="auto"/>
              </w:rPr>
              <w:t>8,266,010</w:t>
            </w:r>
          </w:p>
        </w:tc>
        <w:tc>
          <w:tcPr>
            <w:tcW w:w="940" w:type="dxa"/>
            <w:vAlign w:val="bottom"/>
            <w:shd w:val="clear" w:color="auto" w:fill="E5E5E5"/>
          </w:tcPr>
          <w:p>
            <w:pPr>
              <w:jc w:val="right"/>
              <w:ind w:right="132"/>
              <w:spacing w:after="0"/>
              <w:rPr>
                <w:sz w:val="20"/>
                <w:szCs w:val="20"/>
                <w:color w:val="auto"/>
              </w:rPr>
            </w:pPr>
            <w:r>
              <w:rPr>
                <w:rFonts w:ascii="Arial" w:cs="Arial" w:eastAsia="Arial" w:hAnsi="Arial"/>
                <w:sz w:val="14"/>
                <w:szCs w:val="14"/>
                <w:color w:val="auto"/>
              </w:rPr>
              <w:t>58,920</w:t>
            </w:r>
          </w:p>
        </w:tc>
        <w:tc>
          <w:tcPr>
            <w:tcW w:w="1220" w:type="dxa"/>
            <w:vAlign w:val="bottom"/>
            <w:shd w:val="clear" w:color="auto" w:fill="E5E5E5"/>
          </w:tcPr>
          <w:p>
            <w:pPr>
              <w:jc w:val="right"/>
              <w:ind w:right="332"/>
              <w:spacing w:after="0"/>
              <w:rPr>
                <w:sz w:val="20"/>
                <w:szCs w:val="20"/>
                <w:color w:val="auto"/>
              </w:rPr>
            </w:pPr>
            <w:r>
              <w:rPr>
                <w:rFonts w:ascii="Arial" w:cs="Arial" w:eastAsia="Arial" w:hAnsi="Arial"/>
                <w:sz w:val="14"/>
                <w:szCs w:val="14"/>
                <w:color w:val="auto"/>
              </w:rPr>
              <w:t>30,000</w:t>
            </w:r>
          </w:p>
        </w:tc>
        <w:tc>
          <w:tcPr>
            <w:tcW w:w="980" w:type="dxa"/>
            <w:vAlign w:val="bottom"/>
            <w:shd w:val="clear" w:color="auto" w:fill="E5E5E5"/>
          </w:tcPr>
          <w:p>
            <w:pPr>
              <w:ind w:left="220"/>
              <w:spacing w:after="0"/>
              <w:rPr>
                <w:sz w:val="20"/>
                <w:szCs w:val="20"/>
                <w:color w:val="auto"/>
              </w:rPr>
            </w:pPr>
            <w:r>
              <w:rPr>
                <w:rFonts w:ascii="Arial" w:cs="Arial" w:eastAsia="Arial" w:hAnsi="Arial"/>
                <w:sz w:val="14"/>
                <w:szCs w:val="14"/>
                <w:color w:val="auto"/>
              </w:rPr>
              <w:t>1,981,370</w:t>
            </w:r>
          </w:p>
        </w:tc>
        <w:tc>
          <w:tcPr>
            <w:tcW w:w="860" w:type="dxa"/>
            <w:vAlign w:val="bottom"/>
            <w:shd w:val="clear" w:color="auto" w:fill="E5E5E5"/>
          </w:tcPr>
          <w:p>
            <w:pPr>
              <w:ind w:left="520"/>
              <w:spacing w:after="0"/>
              <w:rPr>
                <w:sz w:val="20"/>
                <w:szCs w:val="20"/>
                <w:color w:val="auto"/>
              </w:rPr>
            </w:pPr>
            <w:r>
              <w:rPr>
                <w:rFonts w:ascii="Arial" w:cs="Arial" w:eastAsia="Arial" w:hAnsi="Arial"/>
                <w:sz w:val="14"/>
                <w:szCs w:val="14"/>
                <w:color w:val="auto"/>
              </w:rPr>
              <w:t>—</w:t>
            </w:r>
          </w:p>
        </w:tc>
        <w:tc>
          <w:tcPr>
            <w:tcW w:w="920" w:type="dxa"/>
            <w:vAlign w:val="bottom"/>
            <w:shd w:val="clear" w:color="auto" w:fill="E5E5E5"/>
          </w:tcPr>
          <w:p>
            <w:pPr>
              <w:jc w:val="right"/>
              <w:ind w:right="12"/>
              <w:spacing w:after="0"/>
              <w:rPr>
                <w:sz w:val="20"/>
                <w:szCs w:val="20"/>
                <w:color w:val="auto"/>
              </w:rPr>
            </w:pPr>
            <w:r>
              <w:rPr>
                <w:rFonts w:ascii="Arial" w:cs="Arial" w:eastAsia="Arial" w:hAnsi="Arial"/>
                <w:sz w:val="14"/>
                <w:szCs w:val="14"/>
                <w:color w:val="auto"/>
              </w:rPr>
              <w:t>25,610,328</w:t>
            </w:r>
          </w:p>
        </w:tc>
      </w:tr>
      <w:tr>
        <w:trPr>
          <w:trHeight w:val="221"/>
        </w:trPr>
        <w:tc>
          <w:tcPr>
            <w:tcW w:w="1760" w:type="dxa"/>
            <w:vAlign w:val="bottom"/>
          </w:tcPr>
          <w:p>
            <w:pPr>
              <w:ind w:left="80"/>
              <w:spacing w:after="0"/>
              <w:rPr>
                <w:sz w:val="20"/>
                <w:szCs w:val="20"/>
                <w:color w:val="auto"/>
              </w:rPr>
            </w:pPr>
            <w:r>
              <w:rPr>
                <w:rFonts w:ascii="Arial" w:cs="Arial" w:eastAsia="Arial" w:hAnsi="Arial"/>
                <w:sz w:val="14"/>
                <w:szCs w:val="14"/>
                <w:color w:val="auto"/>
              </w:rPr>
              <w:t>Hill, Gregory P</w:t>
            </w:r>
          </w:p>
        </w:tc>
        <w:tc>
          <w:tcPr>
            <w:tcW w:w="1200" w:type="dxa"/>
            <w:vAlign w:val="bottom"/>
          </w:tcPr>
          <w:p>
            <w:pPr>
              <w:jc w:val="right"/>
              <w:ind w:right="33"/>
              <w:spacing w:after="0"/>
              <w:rPr>
                <w:sz w:val="20"/>
                <w:szCs w:val="20"/>
                <w:color w:val="auto"/>
              </w:rPr>
            </w:pPr>
            <w:r>
              <w:rPr>
                <w:rFonts w:ascii="Arial" w:cs="Arial" w:eastAsia="Arial" w:hAnsi="Arial"/>
                <w:sz w:val="14"/>
                <w:szCs w:val="14"/>
                <w:color w:val="auto"/>
              </w:rPr>
              <w:t>6,200,000</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149,354</w:t>
            </w:r>
          </w:p>
        </w:tc>
        <w:tc>
          <w:tcPr>
            <w:tcW w:w="1000" w:type="dxa"/>
            <w:vAlign w:val="bottom"/>
          </w:tcPr>
          <w:p>
            <w:pPr>
              <w:jc w:val="right"/>
              <w:ind w:right="172"/>
              <w:spacing w:after="0"/>
              <w:rPr>
                <w:sz w:val="20"/>
                <w:szCs w:val="20"/>
                <w:color w:val="auto"/>
              </w:rPr>
            </w:pPr>
            <w:r>
              <w:rPr>
                <w:rFonts w:ascii="Arial" w:cs="Arial" w:eastAsia="Arial" w:hAnsi="Arial"/>
                <w:sz w:val="14"/>
                <w:szCs w:val="14"/>
                <w:color w:val="auto"/>
              </w:rPr>
              <w:t>2,341,838</w:t>
            </w:r>
          </w:p>
        </w:tc>
        <w:tc>
          <w:tcPr>
            <w:tcW w:w="1240" w:type="dxa"/>
            <w:vAlign w:val="bottom"/>
          </w:tcPr>
          <w:p>
            <w:pPr>
              <w:jc w:val="right"/>
              <w:ind w:right="212"/>
              <w:spacing w:after="0"/>
              <w:rPr>
                <w:sz w:val="20"/>
                <w:szCs w:val="20"/>
                <w:color w:val="auto"/>
              </w:rPr>
            </w:pPr>
            <w:r>
              <w:rPr>
                <w:rFonts w:ascii="Arial" w:cs="Arial" w:eastAsia="Arial" w:hAnsi="Arial"/>
                <w:sz w:val="14"/>
                <w:szCs w:val="14"/>
                <w:color w:val="auto"/>
              </w:rPr>
              <w:t>3,841,652</w:t>
            </w:r>
          </w:p>
        </w:tc>
        <w:tc>
          <w:tcPr>
            <w:tcW w:w="940" w:type="dxa"/>
            <w:vAlign w:val="bottom"/>
          </w:tcPr>
          <w:p>
            <w:pPr>
              <w:jc w:val="right"/>
              <w:ind w:right="132"/>
              <w:spacing w:after="0"/>
              <w:rPr>
                <w:sz w:val="20"/>
                <w:szCs w:val="20"/>
                <w:color w:val="auto"/>
              </w:rPr>
            </w:pPr>
            <w:r>
              <w:rPr>
                <w:rFonts w:ascii="Arial" w:cs="Arial" w:eastAsia="Arial" w:hAnsi="Arial"/>
                <w:sz w:val="14"/>
                <w:szCs w:val="14"/>
                <w:color w:val="auto"/>
              </w:rPr>
              <w:t>28,507</w:t>
            </w:r>
          </w:p>
        </w:tc>
        <w:tc>
          <w:tcPr>
            <w:tcW w:w="1220" w:type="dxa"/>
            <w:vAlign w:val="bottom"/>
          </w:tcPr>
          <w:p>
            <w:pPr>
              <w:jc w:val="right"/>
              <w:ind w:right="332"/>
              <w:spacing w:after="0"/>
              <w:rPr>
                <w:sz w:val="20"/>
                <w:szCs w:val="20"/>
                <w:color w:val="auto"/>
              </w:rPr>
            </w:pPr>
            <w:r>
              <w:rPr>
                <w:rFonts w:ascii="Arial" w:cs="Arial" w:eastAsia="Arial" w:hAnsi="Arial"/>
                <w:sz w:val="14"/>
                <w:szCs w:val="14"/>
                <w:color w:val="auto"/>
              </w:rPr>
              <w:t>30,000</w:t>
            </w:r>
          </w:p>
        </w:tc>
        <w:tc>
          <w:tcPr>
            <w:tcW w:w="980" w:type="dxa"/>
            <w:vAlign w:val="bottom"/>
          </w:tcPr>
          <w:p>
            <w:pPr>
              <w:ind w:left="220"/>
              <w:spacing w:after="0"/>
              <w:rPr>
                <w:sz w:val="20"/>
                <w:szCs w:val="20"/>
                <w:color w:val="auto"/>
              </w:rPr>
            </w:pPr>
            <w:r>
              <w:rPr>
                <w:rFonts w:ascii="Arial" w:cs="Arial" w:eastAsia="Arial" w:hAnsi="Arial"/>
                <w:sz w:val="14"/>
                <w:szCs w:val="14"/>
                <w:color w:val="auto"/>
              </w:rPr>
              <w:t>9,575,744</w:t>
            </w:r>
          </w:p>
        </w:tc>
        <w:tc>
          <w:tcPr>
            <w:tcW w:w="860" w:type="dxa"/>
            <w:vAlign w:val="bottom"/>
          </w:tcPr>
          <w:p>
            <w:pPr>
              <w:ind w:left="120"/>
              <w:spacing w:after="0"/>
              <w:rPr>
                <w:sz w:val="20"/>
                <w:szCs w:val="20"/>
                <w:color w:val="auto"/>
              </w:rPr>
            </w:pPr>
            <w:r>
              <w:rPr>
                <w:rFonts w:ascii="Arial" w:cs="Arial" w:eastAsia="Arial" w:hAnsi="Arial"/>
                <w:sz w:val="14"/>
                <w:szCs w:val="14"/>
                <w:color w:val="auto"/>
              </w:rPr>
              <w:t>7,110,454</w:t>
            </w:r>
          </w:p>
        </w:tc>
        <w:tc>
          <w:tcPr>
            <w:tcW w:w="920" w:type="dxa"/>
            <w:vAlign w:val="bottom"/>
          </w:tcPr>
          <w:p>
            <w:pPr>
              <w:jc w:val="right"/>
              <w:ind w:right="12"/>
              <w:spacing w:after="0"/>
              <w:rPr>
                <w:sz w:val="20"/>
                <w:szCs w:val="20"/>
                <w:color w:val="auto"/>
              </w:rPr>
            </w:pPr>
            <w:r>
              <w:rPr>
                <w:rFonts w:ascii="Arial" w:cs="Arial" w:eastAsia="Arial" w:hAnsi="Arial"/>
                <w:sz w:val="14"/>
                <w:szCs w:val="14"/>
                <w:color w:val="auto"/>
              </w:rPr>
              <w:t>29,277,549</w:t>
            </w:r>
          </w:p>
        </w:tc>
      </w:tr>
      <w:tr>
        <w:trPr>
          <w:trHeight w:val="232"/>
        </w:trPr>
        <w:tc>
          <w:tcPr>
            <w:tcW w:w="1760" w:type="dxa"/>
            <w:vAlign w:val="bottom"/>
            <w:shd w:val="clear" w:color="auto" w:fill="E5E5E5"/>
          </w:tcPr>
          <w:p>
            <w:pPr>
              <w:ind w:left="80"/>
              <w:spacing w:after="0"/>
              <w:rPr>
                <w:sz w:val="20"/>
                <w:szCs w:val="20"/>
                <w:color w:val="auto"/>
              </w:rPr>
            </w:pPr>
            <w:r>
              <w:rPr>
                <w:rFonts w:ascii="Arial" w:cs="Arial" w:eastAsia="Arial" w:hAnsi="Arial"/>
                <w:sz w:val="14"/>
                <w:szCs w:val="14"/>
                <w:color w:val="auto"/>
              </w:rPr>
              <w:t>Goodell, Timothy B</w:t>
            </w:r>
          </w:p>
        </w:tc>
        <w:tc>
          <w:tcPr>
            <w:tcW w:w="1200" w:type="dxa"/>
            <w:vAlign w:val="bottom"/>
            <w:shd w:val="clear" w:color="auto" w:fill="E5E5E5"/>
          </w:tcPr>
          <w:p>
            <w:pPr>
              <w:jc w:val="right"/>
              <w:ind w:right="33"/>
              <w:spacing w:after="0"/>
              <w:rPr>
                <w:sz w:val="20"/>
                <w:szCs w:val="20"/>
                <w:color w:val="auto"/>
              </w:rPr>
            </w:pPr>
            <w:r>
              <w:rPr>
                <w:rFonts w:ascii="Arial" w:cs="Arial" w:eastAsia="Arial" w:hAnsi="Arial"/>
                <w:sz w:val="14"/>
                <w:szCs w:val="14"/>
                <w:color w:val="auto"/>
              </w:rPr>
              <w:t>3,390,000</w:t>
            </w:r>
          </w:p>
        </w:tc>
        <w:tc>
          <w:tcPr>
            <w:tcW w:w="740" w:type="dxa"/>
            <w:vAlign w:val="bottom"/>
            <w:shd w:val="clear" w:color="auto" w:fill="E5E5E5"/>
          </w:tcPr>
          <w:p>
            <w:pPr>
              <w:jc w:val="right"/>
              <w:ind w:right="32"/>
              <w:spacing w:after="0"/>
              <w:rPr>
                <w:sz w:val="20"/>
                <w:szCs w:val="20"/>
                <w:color w:val="auto"/>
              </w:rPr>
            </w:pPr>
            <w:r>
              <w:rPr>
                <w:rFonts w:ascii="Arial" w:cs="Arial" w:eastAsia="Arial" w:hAnsi="Arial"/>
                <w:sz w:val="14"/>
                <w:szCs w:val="14"/>
                <w:color w:val="auto"/>
              </w:rPr>
              <w:t>63,219</w:t>
            </w:r>
          </w:p>
        </w:tc>
        <w:tc>
          <w:tcPr>
            <w:tcW w:w="1000" w:type="dxa"/>
            <w:vAlign w:val="bottom"/>
            <w:shd w:val="clear" w:color="auto" w:fill="E5E5E5"/>
          </w:tcPr>
          <w:p>
            <w:pPr>
              <w:jc w:val="right"/>
              <w:ind w:right="172"/>
              <w:spacing w:after="0"/>
              <w:rPr>
                <w:sz w:val="20"/>
                <w:szCs w:val="20"/>
                <w:color w:val="auto"/>
              </w:rPr>
            </w:pPr>
            <w:r>
              <w:rPr>
                <w:rFonts w:ascii="Arial" w:cs="Arial" w:eastAsia="Arial" w:hAnsi="Arial"/>
                <w:sz w:val="14"/>
                <w:szCs w:val="14"/>
                <w:color w:val="auto"/>
              </w:rPr>
              <w:t>991,269</w:t>
            </w:r>
          </w:p>
        </w:tc>
        <w:tc>
          <w:tcPr>
            <w:tcW w:w="1240" w:type="dxa"/>
            <w:vAlign w:val="bottom"/>
            <w:shd w:val="clear" w:color="auto" w:fill="E5E5E5"/>
          </w:tcPr>
          <w:p>
            <w:pPr>
              <w:jc w:val="right"/>
              <w:ind w:right="212"/>
              <w:spacing w:after="0"/>
              <w:rPr>
                <w:sz w:val="20"/>
                <w:szCs w:val="20"/>
                <w:color w:val="auto"/>
              </w:rPr>
            </w:pPr>
            <w:r>
              <w:rPr>
                <w:rFonts w:ascii="Arial" w:cs="Arial" w:eastAsia="Arial" w:hAnsi="Arial"/>
                <w:sz w:val="14"/>
                <w:szCs w:val="14"/>
                <w:color w:val="auto"/>
              </w:rPr>
              <w:t>1,626,093</w:t>
            </w:r>
          </w:p>
        </w:tc>
        <w:tc>
          <w:tcPr>
            <w:tcW w:w="940" w:type="dxa"/>
            <w:vAlign w:val="bottom"/>
            <w:shd w:val="clear" w:color="auto" w:fill="E5E5E5"/>
          </w:tcPr>
          <w:p>
            <w:pPr>
              <w:jc w:val="right"/>
              <w:ind w:right="132"/>
              <w:spacing w:after="0"/>
              <w:rPr>
                <w:sz w:val="20"/>
                <w:szCs w:val="20"/>
                <w:color w:val="auto"/>
              </w:rPr>
            </w:pPr>
            <w:r>
              <w:rPr>
                <w:rFonts w:ascii="Arial" w:cs="Arial" w:eastAsia="Arial" w:hAnsi="Arial"/>
                <w:sz w:val="14"/>
                <w:szCs w:val="14"/>
                <w:color w:val="auto"/>
              </w:rPr>
              <w:t>39,280</w:t>
            </w:r>
          </w:p>
        </w:tc>
        <w:tc>
          <w:tcPr>
            <w:tcW w:w="1220" w:type="dxa"/>
            <w:vAlign w:val="bottom"/>
            <w:shd w:val="clear" w:color="auto" w:fill="E5E5E5"/>
          </w:tcPr>
          <w:p>
            <w:pPr>
              <w:jc w:val="right"/>
              <w:ind w:right="332"/>
              <w:spacing w:after="0"/>
              <w:rPr>
                <w:sz w:val="20"/>
                <w:szCs w:val="20"/>
                <w:color w:val="auto"/>
              </w:rPr>
            </w:pPr>
            <w:r>
              <w:rPr>
                <w:rFonts w:ascii="Arial" w:cs="Arial" w:eastAsia="Arial" w:hAnsi="Arial"/>
                <w:sz w:val="14"/>
                <w:szCs w:val="14"/>
                <w:color w:val="auto"/>
              </w:rPr>
              <w:t>30,000</w:t>
            </w:r>
          </w:p>
        </w:tc>
        <w:tc>
          <w:tcPr>
            <w:tcW w:w="980" w:type="dxa"/>
            <w:vAlign w:val="bottom"/>
            <w:shd w:val="clear" w:color="auto" w:fill="E5E5E5"/>
          </w:tcPr>
          <w:p>
            <w:pPr>
              <w:ind w:left="220"/>
              <w:spacing w:after="0"/>
              <w:rPr>
                <w:sz w:val="20"/>
                <w:szCs w:val="20"/>
                <w:color w:val="auto"/>
              </w:rPr>
            </w:pPr>
            <w:r>
              <w:rPr>
                <w:rFonts w:ascii="Arial" w:cs="Arial" w:eastAsia="Arial" w:hAnsi="Arial"/>
                <w:sz w:val="14"/>
                <w:szCs w:val="14"/>
                <w:color w:val="auto"/>
              </w:rPr>
              <w:t>1,923,889</w:t>
            </w:r>
          </w:p>
        </w:tc>
        <w:tc>
          <w:tcPr>
            <w:tcW w:w="860" w:type="dxa"/>
            <w:vAlign w:val="bottom"/>
            <w:shd w:val="clear" w:color="auto" w:fill="E5E5E5"/>
          </w:tcPr>
          <w:p>
            <w:pPr>
              <w:ind w:left="520"/>
              <w:spacing w:after="0"/>
              <w:rPr>
                <w:sz w:val="20"/>
                <w:szCs w:val="20"/>
                <w:color w:val="auto"/>
              </w:rPr>
            </w:pPr>
            <w:r>
              <w:rPr>
                <w:rFonts w:ascii="Arial" w:cs="Arial" w:eastAsia="Arial" w:hAnsi="Arial"/>
                <w:sz w:val="14"/>
                <w:szCs w:val="14"/>
                <w:color w:val="auto"/>
              </w:rPr>
              <w:t>—</w:t>
            </w:r>
          </w:p>
        </w:tc>
        <w:tc>
          <w:tcPr>
            <w:tcW w:w="920" w:type="dxa"/>
            <w:vAlign w:val="bottom"/>
            <w:shd w:val="clear" w:color="auto" w:fill="E5E5E5"/>
          </w:tcPr>
          <w:p>
            <w:pPr>
              <w:jc w:val="right"/>
              <w:ind w:right="12"/>
              <w:spacing w:after="0"/>
              <w:rPr>
                <w:sz w:val="20"/>
                <w:szCs w:val="20"/>
                <w:color w:val="auto"/>
              </w:rPr>
            </w:pPr>
            <w:r>
              <w:rPr>
                <w:rFonts w:ascii="Arial" w:cs="Arial" w:eastAsia="Arial" w:hAnsi="Arial"/>
                <w:sz w:val="14"/>
                <w:szCs w:val="14"/>
                <w:color w:val="auto"/>
              </w:rPr>
              <w:t>8,063,750</w:t>
            </w:r>
          </w:p>
        </w:tc>
      </w:tr>
      <w:tr>
        <w:trPr>
          <w:trHeight w:val="221"/>
        </w:trPr>
        <w:tc>
          <w:tcPr>
            <w:tcW w:w="1760" w:type="dxa"/>
            <w:vAlign w:val="bottom"/>
          </w:tcPr>
          <w:p>
            <w:pPr>
              <w:ind w:left="80"/>
              <w:spacing w:after="0"/>
              <w:rPr>
                <w:sz w:val="20"/>
                <w:szCs w:val="20"/>
                <w:color w:val="auto"/>
              </w:rPr>
            </w:pPr>
            <w:r>
              <w:rPr>
                <w:rFonts w:ascii="Arial" w:cs="Arial" w:eastAsia="Arial" w:hAnsi="Arial"/>
                <w:sz w:val="14"/>
                <w:szCs w:val="14"/>
                <w:color w:val="auto"/>
              </w:rPr>
              <w:t>Rielly, John P</w:t>
            </w:r>
          </w:p>
        </w:tc>
        <w:tc>
          <w:tcPr>
            <w:tcW w:w="1200" w:type="dxa"/>
            <w:vAlign w:val="bottom"/>
          </w:tcPr>
          <w:p>
            <w:pPr>
              <w:jc w:val="right"/>
              <w:ind w:right="33"/>
              <w:spacing w:after="0"/>
              <w:rPr>
                <w:sz w:val="20"/>
                <w:szCs w:val="20"/>
                <w:color w:val="auto"/>
              </w:rPr>
            </w:pPr>
            <w:r>
              <w:rPr>
                <w:rFonts w:ascii="Arial" w:cs="Arial" w:eastAsia="Arial" w:hAnsi="Arial"/>
                <w:sz w:val="14"/>
                <w:szCs w:val="14"/>
                <w:color w:val="auto"/>
              </w:rPr>
              <w:t>3,440,000</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63,219</w:t>
            </w:r>
          </w:p>
        </w:tc>
        <w:tc>
          <w:tcPr>
            <w:tcW w:w="1000" w:type="dxa"/>
            <w:vAlign w:val="bottom"/>
          </w:tcPr>
          <w:p>
            <w:pPr>
              <w:jc w:val="right"/>
              <w:ind w:right="172"/>
              <w:spacing w:after="0"/>
              <w:rPr>
                <w:sz w:val="20"/>
                <w:szCs w:val="20"/>
                <w:color w:val="auto"/>
              </w:rPr>
            </w:pPr>
            <w:r>
              <w:rPr>
                <w:rFonts w:ascii="Arial" w:cs="Arial" w:eastAsia="Arial" w:hAnsi="Arial"/>
                <w:sz w:val="14"/>
                <w:szCs w:val="14"/>
                <w:color w:val="auto"/>
              </w:rPr>
              <w:t>991,269</w:t>
            </w:r>
          </w:p>
        </w:tc>
        <w:tc>
          <w:tcPr>
            <w:tcW w:w="1240" w:type="dxa"/>
            <w:vAlign w:val="bottom"/>
          </w:tcPr>
          <w:p>
            <w:pPr>
              <w:jc w:val="right"/>
              <w:ind w:right="212"/>
              <w:spacing w:after="0"/>
              <w:rPr>
                <w:sz w:val="20"/>
                <w:szCs w:val="20"/>
                <w:color w:val="auto"/>
              </w:rPr>
            </w:pPr>
            <w:r>
              <w:rPr>
                <w:rFonts w:ascii="Arial" w:cs="Arial" w:eastAsia="Arial" w:hAnsi="Arial"/>
                <w:sz w:val="14"/>
                <w:szCs w:val="14"/>
                <w:color w:val="auto"/>
              </w:rPr>
              <w:t>1,626,093</w:t>
            </w:r>
          </w:p>
        </w:tc>
        <w:tc>
          <w:tcPr>
            <w:tcW w:w="940" w:type="dxa"/>
            <w:vAlign w:val="bottom"/>
          </w:tcPr>
          <w:p>
            <w:pPr>
              <w:jc w:val="right"/>
              <w:ind w:right="132"/>
              <w:spacing w:after="0"/>
              <w:rPr>
                <w:sz w:val="20"/>
                <w:szCs w:val="20"/>
                <w:color w:val="auto"/>
              </w:rPr>
            </w:pPr>
            <w:r>
              <w:rPr>
                <w:rFonts w:ascii="Arial" w:cs="Arial" w:eastAsia="Arial" w:hAnsi="Arial"/>
                <w:sz w:val="14"/>
                <w:szCs w:val="14"/>
                <w:color w:val="auto"/>
              </w:rPr>
              <w:t>39,280</w:t>
            </w:r>
          </w:p>
        </w:tc>
        <w:tc>
          <w:tcPr>
            <w:tcW w:w="1220" w:type="dxa"/>
            <w:vAlign w:val="bottom"/>
          </w:tcPr>
          <w:p>
            <w:pPr>
              <w:jc w:val="right"/>
              <w:ind w:right="332"/>
              <w:spacing w:after="0"/>
              <w:rPr>
                <w:sz w:val="20"/>
                <w:szCs w:val="20"/>
                <w:color w:val="auto"/>
              </w:rPr>
            </w:pPr>
            <w:r>
              <w:rPr>
                <w:rFonts w:ascii="Arial" w:cs="Arial" w:eastAsia="Arial" w:hAnsi="Arial"/>
                <w:sz w:val="14"/>
                <w:szCs w:val="14"/>
                <w:color w:val="auto"/>
              </w:rPr>
              <w:t>30,000</w:t>
            </w:r>
          </w:p>
        </w:tc>
        <w:tc>
          <w:tcPr>
            <w:tcW w:w="980" w:type="dxa"/>
            <w:vAlign w:val="bottom"/>
          </w:tcPr>
          <w:p>
            <w:pPr>
              <w:ind w:left="220"/>
              <w:spacing w:after="0"/>
              <w:rPr>
                <w:sz w:val="20"/>
                <w:szCs w:val="20"/>
                <w:color w:val="auto"/>
              </w:rPr>
            </w:pPr>
            <w:r>
              <w:rPr>
                <w:rFonts w:ascii="Arial" w:cs="Arial" w:eastAsia="Arial" w:hAnsi="Arial"/>
                <w:sz w:val="14"/>
                <w:szCs w:val="14"/>
                <w:color w:val="auto"/>
              </w:rPr>
              <w:t>4,401,088</w:t>
            </w:r>
          </w:p>
        </w:tc>
        <w:tc>
          <w:tcPr>
            <w:tcW w:w="860" w:type="dxa"/>
            <w:vAlign w:val="bottom"/>
          </w:tcPr>
          <w:p>
            <w:pPr>
              <w:ind w:left="5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
              <w:spacing w:after="0"/>
              <w:rPr>
                <w:sz w:val="20"/>
                <w:szCs w:val="20"/>
                <w:color w:val="auto"/>
              </w:rPr>
            </w:pPr>
            <w:r>
              <w:rPr>
                <w:rFonts w:ascii="Arial" w:cs="Arial" w:eastAsia="Arial" w:hAnsi="Arial"/>
                <w:sz w:val="14"/>
                <w:szCs w:val="14"/>
                <w:color w:val="auto"/>
              </w:rPr>
              <w:t>10,590,949</w:t>
            </w:r>
          </w:p>
        </w:tc>
      </w:tr>
      <w:tr>
        <w:trPr>
          <w:trHeight w:val="226"/>
        </w:trPr>
        <w:tc>
          <w:tcPr>
            <w:tcW w:w="1760" w:type="dxa"/>
            <w:vAlign w:val="bottom"/>
            <w:tcBorders>
              <w:bottom w:val="single" w:sz="8" w:color="007549"/>
            </w:tcBorders>
            <w:shd w:val="clear" w:color="auto" w:fill="E5E5E5"/>
          </w:tcPr>
          <w:p>
            <w:pPr>
              <w:ind w:left="80"/>
              <w:spacing w:after="0"/>
              <w:rPr>
                <w:sz w:val="20"/>
                <w:szCs w:val="20"/>
                <w:color w:val="auto"/>
              </w:rPr>
            </w:pPr>
            <w:r>
              <w:rPr>
                <w:rFonts w:ascii="Arial" w:cs="Arial" w:eastAsia="Arial" w:hAnsi="Arial"/>
                <w:sz w:val="14"/>
                <w:szCs w:val="14"/>
                <w:color w:val="auto"/>
              </w:rPr>
              <w:t>Turner, Michael R(4)</w:t>
            </w:r>
          </w:p>
        </w:tc>
        <w:tc>
          <w:tcPr>
            <w:tcW w:w="1200" w:type="dxa"/>
            <w:vAlign w:val="bottom"/>
            <w:tcBorders>
              <w:bottom w:val="single" w:sz="8" w:color="007549"/>
            </w:tcBorders>
            <w:shd w:val="clear" w:color="auto" w:fill="E5E5E5"/>
          </w:tcPr>
          <w:p>
            <w:pPr>
              <w:jc w:val="right"/>
              <w:ind w:right="33"/>
              <w:spacing w:after="0"/>
              <w:rPr>
                <w:sz w:val="20"/>
                <w:szCs w:val="20"/>
                <w:color w:val="auto"/>
              </w:rPr>
            </w:pPr>
            <w:r>
              <w:rPr>
                <w:rFonts w:ascii="Arial" w:cs="Arial" w:eastAsia="Arial" w:hAnsi="Arial"/>
                <w:sz w:val="14"/>
                <w:szCs w:val="14"/>
                <w:color w:val="auto"/>
              </w:rPr>
              <w:t>2,050,000</w:t>
            </w:r>
          </w:p>
        </w:tc>
        <w:tc>
          <w:tcPr>
            <w:tcW w:w="740" w:type="dxa"/>
            <w:vAlign w:val="bottom"/>
            <w:tcBorders>
              <w:bottom w:val="single" w:sz="8" w:color="007549"/>
            </w:tcBorders>
            <w:shd w:val="clear" w:color="auto" w:fill="E5E5E5"/>
          </w:tcPr>
          <w:p>
            <w:pPr>
              <w:jc w:val="right"/>
              <w:ind w:right="32"/>
              <w:spacing w:after="0"/>
              <w:rPr>
                <w:sz w:val="20"/>
                <w:szCs w:val="20"/>
                <w:color w:val="auto"/>
              </w:rPr>
            </w:pPr>
            <w:r>
              <w:rPr>
                <w:rFonts w:ascii="Arial" w:cs="Arial" w:eastAsia="Arial" w:hAnsi="Arial"/>
                <w:sz w:val="14"/>
                <w:szCs w:val="14"/>
                <w:color w:val="auto"/>
              </w:rPr>
              <w:t>39,513</w:t>
            </w:r>
          </w:p>
        </w:tc>
        <w:tc>
          <w:tcPr>
            <w:tcW w:w="1000" w:type="dxa"/>
            <w:vAlign w:val="bottom"/>
            <w:tcBorders>
              <w:bottom w:val="single" w:sz="8" w:color="007549"/>
            </w:tcBorders>
            <w:shd w:val="clear" w:color="auto" w:fill="E5E5E5"/>
          </w:tcPr>
          <w:p>
            <w:pPr>
              <w:jc w:val="right"/>
              <w:ind w:right="172"/>
              <w:spacing w:after="0"/>
              <w:rPr>
                <w:sz w:val="20"/>
                <w:szCs w:val="20"/>
                <w:color w:val="auto"/>
              </w:rPr>
            </w:pPr>
            <w:r>
              <w:rPr>
                <w:rFonts w:ascii="Arial" w:cs="Arial" w:eastAsia="Arial" w:hAnsi="Arial"/>
                <w:sz w:val="14"/>
                <w:szCs w:val="14"/>
                <w:color w:val="auto"/>
              </w:rPr>
              <w:t>1,594,802</w:t>
            </w:r>
          </w:p>
        </w:tc>
        <w:tc>
          <w:tcPr>
            <w:tcW w:w="1240" w:type="dxa"/>
            <w:vAlign w:val="bottom"/>
            <w:tcBorders>
              <w:bottom w:val="single" w:sz="8" w:color="007549"/>
            </w:tcBorders>
            <w:shd w:val="clear" w:color="auto" w:fill="E5E5E5"/>
          </w:tcPr>
          <w:p>
            <w:pPr>
              <w:jc w:val="right"/>
              <w:ind w:right="212"/>
              <w:spacing w:after="0"/>
              <w:rPr>
                <w:sz w:val="20"/>
                <w:szCs w:val="20"/>
                <w:color w:val="auto"/>
              </w:rPr>
            </w:pPr>
            <w:r>
              <w:rPr>
                <w:rFonts w:ascii="Arial" w:cs="Arial" w:eastAsia="Arial" w:hAnsi="Arial"/>
                <w:sz w:val="14"/>
                <w:szCs w:val="14"/>
                <w:color w:val="auto"/>
              </w:rPr>
              <w:t>1,188,401</w:t>
            </w:r>
          </w:p>
        </w:tc>
        <w:tc>
          <w:tcPr>
            <w:tcW w:w="940" w:type="dxa"/>
            <w:vAlign w:val="bottom"/>
            <w:tcBorders>
              <w:bottom w:val="single" w:sz="8" w:color="007549"/>
            </w:tcBorders>
            <w:shd w:val="clear" w:color="auto" w:fill="E5E5E5"/>
          </w:tcPr>
          <w:p>
            <w:pPr>
              <w:jc w:val="right"/>
              <w:ind w:right="132"/>
              <w:spacing w:after="0"/>
              <w:rPr>
                <w:sz w:val="20"/>
                <w:szCs w:val="20"/>
                <w:color w:val="auto"/>
              </w:rPr>
            </w:pPr>
            <w:r>
              <w:rPr>
                <w:rFonts w:ascii="Arial" w:cs="Arial" w:eastAsia="Arial" w:hAnsi="Arial"/>
                <w:sz w:val="14"/>
                <w:szCs w:val="14"/>
                <w:color w:val="auto"/>
              </w:rPr>
              <w:t>38,620</w:t>
            </w:r>
          </w:p>
        </w:tc>
        <w:tc>
          <w:tcPr>
            <w:tcW w:w="1220" w:type="dxa"/>
            <w:vAlign w:val="bottom"/>
            <w:tcBorders>
              <w:bottom w:val="single" w:sz="8" w:color="007549"/>
            </w:tcBorders>
            <w:shd w:val="clear" w:color="auto" w:fill="E5E5E5"/>
          </w:tcPr>
          <w:p>
            <w:pPr>
              <w:jc w:val="right"/>
              <w:ind w:right="332"/>
              <w:spacing w:after="0"/>
              <w:rPr>
                <w:sz w:val="20"/>
                <w:szCs w:val="20"/>
                <w:color w:val="auto"/>
              </w:rPr>
            </w:pPr>
            <w:r>
              <w:rPr>
                <w:rFonts w:ascii="Arial" w:cs="Arial" w:eastAsia="Arial" w:hAnsi="Arial"/>
                <w:sz w:val="14"/>
                <w:szCs w:val="14"/>
                <w:color w:val="auto"/>
              </w:rPr>
              <w:t>30,000</w:t>
            </w:r>
          </w:p>
        </w:tc>
        <w:tc>
          <w:tcPr>
            <w:tcW w:w="980" w:type="dxa"/>
            <w:vAlign w:val="bottom"/>
            <w:tcBorders>
              <w:bottom w:val="single" w:sz="8" w:color="007549"/>
            </w:tcBorders>
            <w:shd w:val="clear" w:color="auto" w:fill="E5E5E5"/>
          </w:tcPr>
          <w:p>
            <w:pPr>
              <w:ind w:left="220"/>
              <w:spacing w:after="0"/>
              <w:rPr>
                <w:sz w:val="20"/>
                <w:szCs w:val="20"/>
                <w:color w:val="auto"/>
              </w:rPr>
            </w:pPr>
            <w:r>
              <w:rPr>
                <w:rFonts w:ascii="Arial" w:cs="Arial" w:eastAsia="Arial" w:hAnsi="Arial"/>
                <w:sz w:val="14"/>
                <w:szCs w:val="14"/>
                <w:color w:val="auto"/>
              </w:rPr>
              <w:t>1,432,735</w:t>
            </w:r>
          </w:p>
        </w:tc>
        <w:tc>
          <w:tcPr>
            <w:tcW w:w="860" w:type="dxa"/>
            <w:vAlign w:val="bottom"/>
            <w:tcBorders>
              <w:bottom w:val="single" w:sz="8" w:color="007549"/>
            </w:tcBorders>
            <w:shd w:val="clear" w:color="auto" w:fill="E5E5E5"/>
          </w:tcPr>
          <w:p>
            <w:pPr>
              <w:ind w:left="5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007549"/>
            </w:tcBorders>
            <w:shd w:val="clear" w:color="auto" w:fill="E5E5E5"/>
          </w:tcPr>
          <w:p>
            <w:pPr>
              <w:jc w:val="right"/>
              <w:ind w:right="12"/>
              <w:spacing w:after="0"/>
              <w:rPr>
                <w:sz w:val="20"/>
                <w:szCs w:val="20"/>
                <w:color w:val="auto"/>
              </w:rPr>
            </w:pPr>
            <w:r>
              <w:rPr>
                <w:rFonts w:ascii="Arial" w:cs="Arial" w:eastAsia="Arial" w:hAnsi="Arial"/>
                <w:sz w:val="14"/>
                <w:szCs w:val="14"/>
                <w:color w:val="auto"/>
              </w:rPr>
              <w:t>6,374,071</w:t>
            </w:r>
          </w:p>
        </w:tc>
      </w:tr>
    </w:tbl>
    <w:p>
      <w:pPr>
        <w:spacing w:after="0" w:line="5" w:lineRule="exact"/>
        <w:rPr>
          <w:sz w:val="20"/>
          <w:szCs w:val="20"/>
          <w:color w:val="auto"/>
        </w:rPr>
      </w:pPr>
    </w:p>
    <w:p>
      <w:pPr>
        <w:ind w:left="600" w:hanging="314"/>
        <w:spacing w:after="0"/>
        <w:tabs>
          <w:tab w:leader="none" w:pos="6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Reflects the in-the-money value of unvested stock options on December 31, 2017 that would become vested and exercisable upon a change in control.</w:t>
      </w:r>
    </w:p>
    <w:p>
      <w:pPr>
        <w:spacing w:after="0" w:line="118" w:lineRule="exact"/>
        <w:rPr>
          <w:rFonts w:ascii="Arial" w:cs="Arial" w:eastAsia="Arial" w:hAnsi="Arial"/>
          <w:sz w:val="14"/>
          <w:szCs w:val="14"/>
          <w:color w:val="auto"/>
        </w:rPr>
      </w:pPr>
    </w:p>
    <w:p>
      <w:pPr>
        <w:jc w:val="both"/>
        <w:ind w:left="600" w:hanging="314"/>
        <w:spacing w:after="0" w:line="241" w:lineRule="auto"/>
        <w:tabs>
          <w:tab w:leader="none" w:pos="6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Upon a change in control, performance share units pay out a pro-rata portion based on the actual performance level to date and the remainder at target. Values of the pro-rata portion of performance share units reflect a 63%, 50%, and 63% performance level on December 31, 2017 for 2015, 2016 and 2017 performance awards, respectively. The value was based on the closing price of $47.47 on December 31, 2017 as required by SEC disclosure requirements. Performance attained as of December 31, 2017 was at these levels, but actual payments at vesting could be different based on the compensation committee’s certification of the final performance results.</w:t>
      </w:r>
    </w:p>
    <w:p>
      <w:pPr>
        <w:spacing w:after="0" w:line="109" w:lineRule="exact"/>
        <w:rPr>
          <w:rFonts w:ascii="Arial" w:cs="Arial" w:eastAsia="Arial" w:hAnsi="Arial"/>
          <w:sz w:val="14"/>
          <w:szCs w:val="14"/>
          <w:color w:val="auto"/>
        </w:rPr>
      </w:pPr>
    </w:p>
    <w:p>
      <w:pPr>
        <w:ind w:left="600" w:hanging="314"/>
        <w:spacing w:after="0" w:line="251" w:lineRule="auto"/>
        <w:tabs>
          <w:tab w:leader="none" w:pos="6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All of the NEOs would also be entitled to his accumulated retirement benefits in accordance with the provisions of the employees’ pension plan and pension restoration plan described under “Pension Benefits” on page 41.</w:t>
      </w:r>
    </w:p>
    <w:p>
      <w:pPr>
        <w:spacing w:after="0" w:line="102" w:lineRule="exact"/>
        <w:rPr>
          <w:rFonts w:ascii="Arial" w:cs="Arial" w:eastAsia="Arial" w:hAnsi="Arial"/>
          <w:sz w:val="14"/>
          <w:szCs w:val="14"/>
          <w:color w:val="auto"/>
        </w:rPr>
      </w:pPr>
    </w:p>
    <w:p>
      <w:pPr>
        <w:ind w:left="600" w:hanging="314"/>
        <w:spacing w:after="0" w:line="251" w:lineRule="auto"/>
        <w:tabs>
          <w:tab w:leader="none" w:pos="6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Mr. Turner entered into a Change-in-Control Agreement in 2015 with generally the same terms as the other NEOs, except his agreement does not allow for an excise tax gross-up.</w:t>
      </w:r>
    </w:p>
    <w:p>
      <w:pPr>
        <w:spacing w:after="0" w:line="163" w:lineRule="exact"/>
        <w:rPr>
          <w:sz w:val="20"/>
          <w:szCs w:val="20"/>
          <w:color w:val="auto"/>
        </w:rPr>
      </w:pPr>
    </w:p>
    <w:p>
      <w:pPr>
        <w:jc w:val="both"/>
        <w:ind w:left="280"/>
        <w:spacing w:after="0" w:line="233" w:lineRule="auto"/>
        <w:rPr>
          <w:sz w:val="20"/>
          <w:szCs w:val="20"/>
          <w:color w:val="auto"/>
        </w:rPr>
      </w:pPr>
      <w:r>
        <w:rPr>
          <w:rFonts w:ascii="Arial" w:cs="Arial" w:eastAsia="Arial" w:hAnsi="Arial"/>
          <w:sz w:val="18"/>
          <w:szCs w:val="18"/>
          <w:color w:val="auto"/>
        </w:rPr>
        <w:t>The amounts in the table above were calculated: assuming a change in control occurred on December 31, 2017; using the closing price of our common stock on December 29, 2017 (the last trading day of our fiscal year) of $ 47.47 per share; using the intrinsic value of stock options (i.e., the result of multiplying the number of unvested options by the difference between the December 29, 2017 closing price of our common stock and the exercise price) and for the purpose of determining any potential excise tax gross-up (i) assuming each of the NEOs is subject to the maximum federal and state income tax rates, (ii) using the applicable federal rates for December 2017 to calculate the present values of accelerated payments and (iii) assuming that the five-year period for determining the average total compensation of each NEO (i.e., the base amount under the golden parachute rules) ended on December 31, 2016.</w:t>
      </w:r>
    </w:p>
    <w:p>
      <w:pPr>
        <w:spacing w:after="0" w:line="163" w:lineRule="exact"/>
        <w:rPr>
          <w:sz w:val="20"/>
          <w:szCs w:val="20"/>
          <w:color w:val="auto"/>
        </w:rPr>
      </w:pPr>
    </w:p>
    <w:p>
      <w:pPr>
        <w:jc w:val="both"/>
        <w:ind w:left="280"/>
        <w:spacing w:after="0" w:line="236" w:lineRule="auto"/>
        <w:rPr>
          <w:sz w:val="20"/>
          <w:szCs w:val="20"/>
          <w:color w:val="auto"/>
        </w:rPr>
      </w:pPr>
      <w:r>
        <w:rPr>
          <w:rFonts w:ascii="Arial" w:cs="Arial" w:eastAsia="Arial" w:hAnsi="Arial"/>
          <w:sz w:val="18"/>
          <w:szCs w:val="18"/>
          <w:color w:val="auto"/>
        </w:rPr>
        <w:t>The definition of “change in control” under the termination benefits agreements is substantially similar to the definition of change in control in the incentive plans, except that (i) the change in a majority of board of directors must occur within a 24-month period and (ii) the exception for reorganization, merger, consolidation, liquidation, dissolution and asset sale is 60% rather than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85725</wp:posOffset>
            </wp:positionV>
            <wp:extent cx="405765" cy="2451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208" w:lineRule="exact"/>
        <w:rPr>
          <w:sz w:val="20"/>
          <w:szCs w:val="20"/>
          <w:color w:val="auto"/>
        </w:rPr>
      </w:pPr>
    </w:p>
    <w:tbl>
      <w:tblPr>
        <w:tblLayout w:type="fixed"/>
        <w:tblInd w:w="9140" w:type="dxa"/>
        <w:tblCellMar>
          <w:top w:w="0" w:type="dxa"/>
          <w:left w:w="0" w:type="dxa"/>
          <w:bottom w:w="0" w:type="dxa"/>
          <w:right w:w="0" w:type="dxa"/>
        </w:tblCellMar>
      </w:tblPr>
      <w:tr>
        <w:trPr>
          <w:trHeight w:val="188"/>
        </w:trPr>
        <w:tc>
          <w:tcPr>
            <w:tcW w:w="1680" w:type="dxa"/>
            <w:vAlign w:val="bottom"/>
          </w:tcPr>
          <w:p>
            <w:pPr>
              <w:spacing w:after="0"/>
              <w:rPr>
                <w:sz w:val="20"/>
                <w:szCs w:val="20"/>
                <w:color w:val="auto"/>
              </w:rPr>
            </w:pPr>
            <w:r>
              <w:rPr>
                <w:rFonts w:ascii="Arial" w:cs="Arial" w:eastAsia="Arial" w:hAnsi="Arial"/>
                <w:sz w:val="12"/>
                <w:szCs w:val="12"/>
                <w:b w:val="1"/>
                <w:bCs w:val="1"/>
                <w:color w:val="666666"/>
              </w:rPr>
              <w:t>2018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007549"/>
              </w:rPr>
              <w:t>45</w:t>
            </w:r>
          </w:p>
        </w:tc>
      </w:tr>
    </w:tbl>
    <w:p>
      <w:pPr>
        <w:sectPr>
          <w:pgSz w:w="11900" w:h="16838" w:orient="portrait"/>
          <w:cols w:equalWidth="0" w:num="1">
            <w:col w:w="11140"/>
          </w:cols>
          <w:pgMar w:left="240" w:top="454" w:right="5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007549"/>
        </w:rPr>
        <w:t xml:space="preserve">Executive Compensation </w:t>
      </w:r>
      <w:r>
        <w:rPr>
          <w:rFonts w:ascii="Arial" w:cs="Arial" w:eastAsia="Arial" w:hAnsi="Arial"/>
          <w:sz w:val="16"/>
          <w:szCs w:val="16"/>
          <w:b w:val="1"/>
          <w:bCs w:val="1"/>
          <w:color w:val="000000"/>
        </w:rPr>
        <w:t>+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55245</wp:posOffset>
            </wp:positionV>
            <wp:extent cx="689356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266" w:lineRule="exact"/>
        <w:rPr>
          <w:sz w:val="20"/>
          <w:szCs w:val="20"/>
          <w:color w:val="auto"/>
        </w:rPr>
      </w:pPr>
    </w:p>
    <w:p>
      <w:pPr>
        <w:jc w:val="both"/>
        <w:ind w:left="280"/>
        <w:spacing w:after="0" w:line="247" w:lineRule="auto"/>
        <w:rPr>
          <w:sz w:val="20"/>
          <w:szCs w:val="20"/>
          <w:color w:val="auto"/>
        </w:rPr>
      </w:pPr>
      <w:r>
        <w:rPr>
          <w:rFonts w:ascii="Arial" w:cs="Arial" w:eastAsia="Arial" w:hAnsi="Arial"/>
          <w:sz w:val="17"/>
          <w:szCs w:val="17"/>
          <w:color w:val="auto"/>
        </w:rPr>
        <w:t>For purposes of these agreements, “good reason” is defined as a failure to maintain the executive in the office or position held immediately prior to the change in control (or a substantially equivalent position), the removal of the executive as a director if the executive was a director immediately prior to the change in control, a material adverse change in the nature or scope of the executive’s authorities, responsibilities or duties, a reduction in base salary or target annual bonus, termination of the ability of the executive to participate in the company’s welfare benefit plans or retirement plans as in effect immediately prior to the change in control or a material reduction in the scope or value of those welfare or retirement benefits, a relocation of the executive’s principal work location of more than 30 miles from the executive’s location immediately prior to the change in control, or an increase in the executive’s required business travel of more than 20% (based on days in any calendar quarter or year) than required in any of the three full years immediately prior to the change in control. “Cause” for purposes of these agreements is defined as conviction of a felony, gross and willful misconduct by the executive in performing the executive’s duties, or willful and continued failure of the executive to substantially perform the executive’s duties after written demand.</w:t>
      </w:r>
    </w:p>
    <w:p>
      <w:pPr>
        <w:spacing w:after="0" w:line="165"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007549"/>
        </w:rPr>
        <w:t>CEO Pay Ratio</w:t>
      </w:r>
    </w:p>
    <w:p>
      <w:pPr>
        <w:spacing w:after="0" w:line="136" w:lineRule="exact"/>
        <w:rPr>
          <w:sz w:val="20"/>
          <w:szCs w:val="20"/>
          <w:color w:val="auto"/>
        </w:rPr>
      </w:pPr>
    </w:p>
    <w:p>
      <w:pPr>
        <w:jc w:val="both"/>
        <w:ind w:left="280"/>
        <w:spacing w:after="0" w:line="235" w:lineRule="auto"/>
        <w:rPr>
          <w:sz w:val="20"/>
          <w:szCs w:val="20"/>
          <w:color w:val="auto"/>
        </w:rPr>
      </w:pPr>
      <w:r>
        <w:rPr>
          <w:rFonts w:ascii="Arial" w:cs="Arial" w:eastAsia="Arial" w:hAnsi="Arial"/>
          <w:sz w:val="18"/>
          <w:szCs w:val="18"/>
          <w:color w:val="auto"/>
        </w:rPr>
        <w:t>As of December 31, 2017, we had approximately 2,075 employees, of which 1,767 were located in the United States. Regardless of an employee’s role in the organization or their location, the process for determining compensation is the same: local market competitive data is reviewed to set compensation guidelines. Individual compensation decisions are then adjusted to reflect the individual’s role and responsibilities as well as his or her experience, education, specialized training and overall performance.</w:t>
      </w:r>
    </w:p>
    <w:p>
      <w:pPr>
        <w:spacing w:after="0" w:line="161" w:lineRule="exact"/>
        <w:rPr>
          <w:sz w:val="20"/>
          <w:szCs w:val="20"/>
          <w:color w:val="auto"/>
        </w:rPr>
      </w:pPr>
    </w:p>
    <w:p>
      <w:pPr>
        <w:jc w:val="both"/>
        <w:ind w:left="280"/>
        <w:spacing w:after="0" w:line="236" w:lineRule="auto"/>
        <w:rPr>
          <w:sz w:val="20"/>
          <w:szCs w:val="20"/>
          <w:color w:val="auto"/>
        </w:rPr>
      </w:pPr>
      <w:r>
        <w:rPr>
          <w:rFonts w:ascii="Arial" w:cs="Arial" w:eastAsia="Arial" w:hAnsi="Arial"/>
          <w:sz w:val="18"/>
          <w:szCs w:val="18"/>
          <w:color w:val="auto"/>
        </w:rPr>
        <w:t>We identified our median employee as of December 31, 2017, which was our measurement date for determining our median employee, by using a two-step process described below. First, we reviewed compensation data reflected in our payroll records for all active full-time and part-time employees consisting of:</w:t>
      </w:r>
    </w:p>
    <w:p>
      <w:pPr>
        <w:spacing w:after="0" w:line="108" w:lineRule="exact"/>
        <w:rPr>
          <w:sz w:val="20"/>
          <w:szCs w:val="20"/>
          <w:color w:val="auto"/>
        </w:rPr>
      </w:pPr>
    </w:p>
    <w:p>
      <w:pPr>
        <w:ind w:left="600" w:hanging="208"/>
        <w:spacing w:after="0"/>
        <w:tabs>
          <w:tab w:leader="none" w:pos="6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 salary, including overtime pay if applicable,</w:t>
      </w:r>
    </w:p>
    <w:p>
      <w:pPr>
        <w:spacing w:after="0" w:line="112" w:lineRule="exact"/>
        <w:rPr>
          <w:rFonts w:ascii="Arial" w:cs="Arial" w:eastAsia="Arial" w:hAnsi="Arial"/>
          <w:sz w:val="18"/>
          <w:szCs w:val="18"/>
          <w:color w:val="auto"/>
        </w:rPr>
      </w:pPr>
    </w:p>
    <w:p>
      <w:pPr>
        <w:ind w:left="600" w:hanging="208"/>
        <w:spacing w:after="0"/>
        <w:tabs>
          <w:tab w:leader="none" w:pos="6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compensation received under the annual incentive program, and</w:t>
      </w:r>
    </w:p>
    <w:p>
      <w:pPr>
        <w:spacing w:after="0" w:line="112" w:lineRule="exact"/>
        <w:rPr>
          <w:rFonts w:ascii="Arial" w:cs="Arial" w:eastAsia="Arial" w:hAnsi="Arial"/>
          <w:sz w:val="18"/>
          <w:szCs w:val="18"/>
          <w:color w:val="auto"/>
        </w:rPr>
      </w:pPr>
    </w:p>
    <w:p>
      <w:pPr>
        <w:ind w:left="600" w:hanging="208"/>
        <w:spacing w:after="0"/>
        <w:tabs>
          <w:tab w:leader="none" w:pos="6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grant date fair value of long-term incentive grants, if applicable.</w:t>
      </w:r>
    </w:p>
    <w:p>
      <w:pPr>
        <w:spacing w:after="0" w:line="179" w:lineRule="exact"/>
        <w:rPr>
          <w:sz w:val="20"/>
          <w:szCs w:val="20"/>
          <w:color w:val="auto"/>
        </w:rPr>
      </w:pPr>
    </w:p>
    <w:p>
      <w:pPr>
        <w:jc w:val="both"/>
        <w:ind w:left="280"/>
        <w:spacing w:after="0" w:line="234" w:lineRule="auto"/>
        <w:rPr>
          <w:sz w:val="20"/>
          <w:szCs w:val="20"/>
          <w:color w:val="auto"/>
        </w:rPr>
      </w:pPr>
      <w:r>
        <w:rPr>
          <w:rFonts w:ascii="Arial" w:cs="Arial" w:eastAsia="Arial" w:hAnsi="Arial"/>
          <w:sz w:val="18"/>
          <w:szCs w:val="18"/>
          <w:color w:val="auto"/>
        </w:rPr>
        <w:t>Next, we calculated each such employee’s total compensation as set forth above on December 31, 2017. For our employees who are not paid in United States dollars, we converted their compensation data using the spot conversion rate on December 31, 2017. These results were then ranked, excluding the Chief Executive Officer, from lowest to highest, and a median sub-group of 14 employees were identified. Once we identified these median employees, we collected additional compensation data for this sub-group in a manner consistent with how our NEOs’ compensation is presented in the “Summary Compensation Table,” including:</w:t>
      </w:r>
    </w:p>
    <w:p>
      <w:pPr>
        <w:spacing w:after="0" w:line="109" w:lineRule="exact"/>
        <w:rPr>
          <w:sz w:val="20"/>
          <w:szCs w:val="20"/>
          <w:color w:val="auto"/>
        </w:rPr>
      </w:pPr>
    </w:p>
    <w:p>
      <w:pPr>
        <w:ind w:left="600" w:hanging="208"/>
        <w:spacing w:after="0"/>
        <w:tabs>
          <w:tab w:leader="none" w:pos="6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employer contributions to the company’s 401(k) plan,</w:t>
      </w:r>
    </w:p>
    <w:p>
      <w:pPr>
        <w:spacing w:after="0" w:line="112" w:lineRule="exact"/>
        <w:rPr>
          <w:rFonts w:ascii="Arial" w:cs="Arial" w:eastAsia="Arial" w:hAnsi="Arial"/>
          <w:sz w:val="18"/>
          <w:szCs w:val="18"/>
          <w:color w:val="auto"/>
        </w:rPr>
      </w:pPr>
    </w:p>
    <w:p>
      <w:pPr>
        <w:ind w:left="600" w:hanging="208"/>
        <w:spacing w:after="0"/>
        <w:tabs>
          <w:tab w:leader="none" w:pos="6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change in pension values, and</w:t>
      </w:r>
    </w:p>
    <w:p>
      <w:pPr>
        <w:spacing w:after="0" w:line="112" w:lineRule="exact"/>
        <w:rPr>
          <w:rFonts w:ascii="Arial" w:cs="Arial" w:eastAsia="Arial" w:hAnsi="Arial"/>
          <w:sz w:val="18"/>
          <w:szCs w:val="18"/>
          <w:color w:val="auto"/>
        </w:rPr>
      </w:pPr>
    </w:p>
    <w:p>
      <w:pPr>
        <w:ind w:left="600" w:hanging="208"/>
        <w:spacing w:after="0"/>
        <w:tabs>
          <w:tab w:leader="none" w:pos="6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company allowances.</w:t>
      </w:r>
    </w:p>
    <w:p>
      <w:pPr>
        <w:spacing w:after="0" w:line="166" w:lineRule="exact"/>
        <w:rPr>
          <w:sz w:val="20"/>
          <w:szCs w:val="20"/>
          <w:color w:val="auto"/>
        </w:rPr>
      </w:pPr>
    </w:p>
    <w:p>
      <w:pPr>
        <w:jc w:val="both"/>
        <w:ind w:left="280"/>
        <w:spacing w:after="0" w:line="238" w:lineRule="auto"/>
        <w:rPr>
          <w:sz w:val="20"/>
          <w:szCs w:val="20"/>
          <w:color w:val="auto"/>
        </w:rPr>
      </w:pPr>
      <w:r>
        <w:rPr>
          <w:rFonts w:ascii="Arial" w:cs="Arial" w:eastAsia="Arial" w:hAnsi="Arial"/>
          <w:sz w:val="18"/>
          <w:szCs w:val="18"/>
          <w:color w:val="auto"/>
        </w:rPr>
        <w:t>The single individual who represented the median of this sub-group was identified and this individual’s total annual compensation was then compared to the total annual compensation value reported in the “Summary Compensation Table” for our Chief Executive Officer.</w:t>
      </w:r>
    </w:p>
    <w:p>
      <w:pPr>
        <w:spacing w:after="0" w:line="162" w:lineRule="exact"/>
        <w:rPr>
          <w:sz w:val="20"/>
          <w:szCs w:val="20"/>
          <w:color w:val="auto"/>
        </w:rPr>
      </w:pPr>
    </w:p>
    <w:p>
      <w:pPr>
        <w:jc w:val="both"/>
        <w:ind w:left="280"/>
        <w:spacing w:after="0" w:line="236" w:lineRule="auto"/>
        <w:rPr>
          <w:sz w:val="20"/>
          <w:szCs w:val="20"/>
          <w:color w:val="auto"/>
        </w:rPr>
      </w:pPr>
      <w:r>
        <w:rPr>
          <w:rFonts w:ascii="Arial" w:cs="Arial" w:eastAsia="Arial" w:hAnsi="Arial"/>
          <w:sz w:val="18"/>
          <w:szCs w:val="18"/>
          <w:color w:val="auto"/>
        </w:rPr>
        <w:t>The total annual compensation for the year ended December 31, 2017 was $161,039 for our median employee and $14,571,906 for our Chief Executive Officer. The ratio of our Chief Executive Officer’s pay to that of our median employee for 2017 was approximately 90 times.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1820545</wp:posOffset>
            </wp:positionH>
            <wp:positionV relativeFrom="paragraph">
              <wp:posOffset>85725</wp:posOffset>
            </wp:positionV>
            <wp:extent cx="405765" cy="2451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215" w:lineRule="exact"/>
        <w:rPr>
          <w:sz w:val="20"/>
          <w:szCs w:val="20"/>
          <w:color w:val="auto"/>
        </w:rPr>
      </w:pPr>
    </w:p>
    <w:p>
      <w:pPr>
        <w:ind w:left="760" w:hanging="474"/>
        <w:spacing w:after="0"/>
        <w:tabs>
          <w:tab w:leader="none" w:pos="760" w:val="left"/>
        </w:tabs>
        <w:numPr>
          <w:ilvl w:val="0"/>
          <w:numId w:val="77"/>
        </w:numPr>
        <w:rPr>
          <w:rFonts w:ascii="Arial" w:cs="Arial" w:eastAsia="Arial" w:hAnsi="Arial"/>
          <w:sz w:val="14"/>
          <w:szCs w:val="14"/>
          <w:b w:val="1"/>
          <w:bCs w:val="1"/>
          <w:color w:val="007549"/>
        </w:rPr>
      </w:pPr>
      <w:r>
        <w:rPr>
          <w:rFonts w:ascii="Arial" w:cs="Arial" w:eastAsia="Arial" w:hAnsi="Arial"/>
          <w:sz w:val="12"/>
          <w:szCs w:val="12"/>
          <w:b w:val="1"/>
          <w:bCs w:val="1"/>
          <w:color w:val="666666"/>
        </w:rPr>
        <w:t>2018 PROXY STATEMENT</w:t>
      </w:r>
    </w:p>
    <w:p>
      <w:pPr>
        <w:sectPr>
          <w:pgSz w:w="11900" w:h="16838" w:orient="portrait"/>
          <w:cols w:equalWidth="0" w:num="1">
            <w:col w:w="11140"/>
          </w:cols>
          <w:pgMar w:left="240" w:top="454" w:right="5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7549"/>
        </w:rPr>
        <w:t xml:space="preserve">Executive Compensation </w:t>
      </w:r>
      <w:r>
        <w:rPr>
          <w:rFonts w:ascii="Arial" w:cs="Arial" w:eastAsia="Arial" w:hAnsi="Arial"/>
          <w:sz w:val="16"/>
          <w:szCs w:val="16"/>
          <w:b w:val="1"/>
          <w:bCs w:val="1"/>
          <w:color w:val="000000"/>
        </w:rPr>
        <w:t>+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55245</wp:posOffset>
            </wp:positionV>
            <wp:extent cx="689356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234"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007549"/>
        </w:rPr>
        <w:t>Compensation and Risk</w:t>
      </w:r>
    </w:p>
    <w:p>
      <w:pPr>
        <w:spacing w:after="0" w:line="136" w:lineRule="exact"/>
        <w:rPr>
          <w:sz w:val="20"/>
          <w:szCs w:val="20"/>
          <w:color w:val="auto"/>
        </w:rPr>
      </w:pPr>
    </w:p>
    <w:p>
      <w:pPr>
        <w:jc w:val="both"/>
        <w:ind w:left="280"/>
        <w:spacing w:after="0" w:line="236" w:lineRule="auto"/>
        <w:rPr>
          <w:sz w:val="20"/>
          <w:szCs w:val="20"/>
          <w:color w:val="auto"/>
        </w:rPr>
      </w:pPr>
      <w:r>
        <w:rPr>
          <w:rFonts w:ascii="Arial" w:cs="Arial" w:eastAsia="Arial" w:hAnsi="Arial"/>
          <w:sz w:val="18"/>
          <w:szCs w:val="18"/>
          <w:color w:val="auto"/>
        </w:rPr>
        <w:t>The company performed a risk assessment to determine whether the amount and composition of compensation for the company’s employees and the design of compensation programs may create incentives for excessive risk-taking by its employees. The risk assessment focused on the following areas and the results were reviewed with and approved by the company’s chief risk officer:</w:t>
      </w:r>
    </w:p>
    <w:p>
      <w:pPr>
        <w:spacing w:after="0" w:line="108" w:lineRule="exact"/>
        <w:rPr>
          <w:sz w:val="20"/>
          <w:szCs w:val="20"/>
          <w:color w:val="auto"/>
        </w:rPr>
      </w:pPr>
    </w:p>
    <w:p>
      <w:pPr>
        <w:ind w:left="600" w:hanging="208"/>
        <w:spacing w:after="0"/>
        <w:tabs>
          <w:tab w:leader="none" w:pos="6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assessment of residual risk associated with certain elements and design features of the company’s compensation program;</w:t>
      </w:r>
    </w:p>
    <w:p>
      <w:pPr>
        <w:spacing w:after="0" w:line="112" w:lineRule="exact"/>
        <w:rPr>
          <w:rFonts w:ascii="Arial" w:cs="Arial" w:eastAsia="Arial" w:hAnsi="Arial"/>
          <w:sz w:val="18"/>
          <w:szCs w:val="18"/>
          <w:color w:val="auto"/>
        </w:rPr>
      </w:pPr>
    </w:p>
    <w:p>
      <w:pPr>
        <w:ind w:left="600" w:hanging="208"/>
        <w:spacing w:after="0" w:line="238" w:lineRule="auto"/>
        <w:tabs>
          <w:tab w:leader="none" w:pos="6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calculation of approximate exposure values of each business unit by aggregating the value of material risks into a single “at risk” dollar figure (“Exposure”);</w:t>
      </w:r>
    </w:p>
    <w:p>
      <w:pPr>
        <w:spacing w:after="0" w:line="108" w:lineRule="exact"/>
        <w:rPr>
          <w:rFonts w:ascii="Arial" w:cs="Arial" w:eastAsia="Arial" w:hAnsi="Arial"/>
          <w:sz w:val="18"/>
          <w:szCs w:val="18"/>
          <w:color w:val="auto"/>
        </w:rPr>
      </w:pPr>
    </w:p>
    <w:p>
      <w:pPr>
        <w:ind w:left="600" w:hanging="208"/>
        <w:spacing w:after="0" w:line="238" w:lineRule="auto"/>
        <w:tabs>
          <w:tab w:leader="none" w:pos="6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assignment of a compensation risk score for major business units to attribute the level of compensation risk arising from potential for risk-taking and compensation mix (“Compensation Risk”); and</w:t>
      </w:r>
    </w:p>
    <w:p>
      <w:pPr>
        <w:spacing w:after="0" w:line="108" w:lineRule="exact"/>
        <w:rPr>
          <w:rFonts w:ascii="Arial" w:cs="Arial" w:eastAsia="Arial" w:hAnsi="Arial"/>
          <w:sz w:val="18"/>
          <w:szCs w:val="18"/>
          <w:color w:val="auto"/>
        </w:rPr>
      </w:pPr>
    </w:p>
    <w:p>
      <w:pPr>
        <w:ind w:left="600" w:hanging="208"/>
        <w:spacing w:after="0"/>
        <w:tabs>
          <w:tab w:leader="none" w:pos="6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review of higher risk areas by Exposure and Compensation Risk and appropriate mitigation plans.</w:t>
      </w:r>
    </w:p>
    <w:p>
      <w:pPr>
        <w:spacing w:after="0" w:line="166" w:lineRule="exact"/>
        <w:rPr>
          <w:sz w:val="20"/>
          <w:szCs w:val="20"/>
          <w:color w:val="auto"/>
        </w:rPr>
      </w:pPr>
    </w:p>
    <w:p>
      <w:pPr>
        <w:jc w:val="both"/>
        <w:ind w:left="280"/>
        <w:spacing w:after="0" w:line="233" w:lineRule="auto"/>
        <w:rPr>
          <w:sz w:val="20"/>
          <w:szCs w:val="20"/>
          <w:color w:val="auto"/>
        </w:rPr>
      </w:pPr>
      <w:r>
        <w:rPr>
          <w:rFonts w:ascii="Arial" w:cs="Arial" w:eastAsia="Arial" w:hAnsi="Arial"/>
          <w:sz w:val="18"/>
          <w:szCs w:val="18"/>
          <w:color w:val="auto"/>
        </w:rPr>
        <w:t>The risk assessment placed particular emphasis on identifying employees who have both significant compensation risk in the variability of their compensation and also the ability to expose the company to significant business risk. The company concluded that for the substantial majority of its employees, their compensation risk and their ability to take business risks is low, because their compensation consists largely of fixed cash salary and a cash bonus that has a capped payout, and they do not have the authority to take action on behalf of the company that could expose the company to significant business risks. The company focused on the compensation programs for its senior executives, as these are the employees whose actions may expose the company to significant business risk. The company reviewed the cash and equity incentive programs for these executives and concluded that the following factors tend to mitigate the likelihood of excessive risk-taking:</w:t>
      </w:r>
    </w:p>
    <w:p>
      <w:pPr>
        <w:spacing w:after="0" w:line="109" w:lineRule="exact"/>
        <w:rPr>
          <w:sz w:val="20"/>
          <w:szCs w:val="20"/>
          <w:color w:val="auto"/>
        </w:rPr>
      </w:pPr>
    </w:p>
    <w:p>
      <w:pPr>
        <w:ind w:left="600" w:right="20" w:hanging="208"/>
        <w:spacing w:after="0" w:line="238" w:lineRule="auto"/>
        <w:tabs>
          <w:tab w:leader="none" w:pos="6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compensation mix for these executives is designed to deliver a substantial portion of compensation in the form of long-term equity awards, and in the case of senior executives, such awards constitute the majority of their compensation;</w:t>
      </w:r>
    </w:p>
    <w:p>
      <w:pPr>
        <w:spacing w:after="0" w:line="108" w:lineRule="exact"/>
        <w:rPr>
          <w:rFonts w:ascii="Arial" w:cs="Arial" w:eastAsia="Arial" w:hAnsi="Arial"/>
          <w:sz w:val="18"/>
          <w:szCs w:val="18"/>
          <w:color w:val="auto"/>
        </w:rPr>
      </w:pPr>
    </w:p>
    <w:p>
      <w:pPr>
        <w:ind w:left="600" w:hanging="208"/>
        <w:spacing w:after="0"/>
        <w:tabs>
          <w:tab w:leader="none" w:pos="6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payouts on annual cash bonuses are capped, reducing the incentive to take excessive risk for short-term gains;</w:t>
      </w:r>
    </w:p>
    <w:p>
      <w:pPr>
        <w:spacing w:after="0" w:line="112" w:lineRule="exact"/>
        <w:rPr>
          <w:rFonts w:ascii="Arial" w:cs="Arial" w:eastAsia="Arial" w:hAnsi="Arial"/>
          <w:sz w:val="18"/>
          <w:szCs w:val="18"/>
          <w:color w:val="auto"/>
        </w:rPr>
      </w:pPr>
    </w:p>
    <w:p>
      <w:pPr>
        <w:ind w:left="600" w:hanging="208"/>
        <w:spacing w:after="0" w:line="238" w:lineRule="auto"/>
        <w:tabs>
          <w:tab w:leader="none" w:pos="6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LTI awards are made at the discretion of the compensation and management development committee with the goal of creating incentives for these employees to work for growth in the long-term profitability of the company;</w:t>
      </w:r>
    </w:p>
    <w:p>
      <w:pPr>
        <w:spacing w:after="0" w:line="108" w:lineRule="exact"/>
        <w:rPr>
          <w:rFonts w:ascii="Arial" w:cs="Arial" w:eastAsia="Arial" w:hAnsi="Arial"/>
          <w:sz w:val="18"/>
          <w:szCs w:val="18"/>
          <w:color w:val="auto"/>
        </w:rPr>
      </w:pPr>
    </w:p>
    <w:p>
      <w:pPr>
        <w:ind w:left="600" w:hanging="208"/>
        <w:spacing w:after="0" w:line="238" w:lineRule="auto"/>
        <w:tabs>
          <w:tab w:leader="none" w:pos="6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compensation and management development committee has the discretion to reduce the cash incentive awards as well as LTI awards as it deems appropriate;</w:t>
      </w:r>
    </w:p>
    <w:p>
      <w:pPr>
        <w:spacing w:after="0" w:line="108" w:lineRule="exact"/>
        <w:rPr>
          <w:rFonts w:ascii="Arial" w:cs="Arial" w:eastAsia="Arial" w:hAnsi="Arial"/>
          <w:sz w:val="18"/>
          <w:szCs w:val="18"/>
          <w:color w:val="auto"/>
        </w:rPr>
      </w:pPr>
    </w:p>
    <w:p>
      <w:pPr>
        <w:jc w:val="both"/>
        <w:ind w:left="600" w:hanging="208"/>
        <w:spacing w:after="0" w:line="236" w:lineRule="auto"/>
        <w:tabs>
          <w:tab w:leader="none" w:pos="6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senior executives are subject to stock ownership guidelines requiring them to hold specified levels of the company’s stock during the term of their employment, the economic risk of which may not be hedged by equity derivative instruments, in order to align their interests with the long-term interests of all stockholders;</w:t>
      </w:r>
    </w:p>
    <w:p>
      <w:pPr>
        <w:spacing w:after="0" w:line="107" w:lineRule="exact"/>
        <w:rPr>
          <w:rFonts w:ascii="Arial" w:cs="Arial" w:eastAsia="Arial" w:hAnsi="Arial"/>
          <w:sz w:val="18"/>
          <w:szCs w:val="18"/>
          <w:color w:val="auto"/>
        </w:rPr>
      </w:pPr>
    </w:p>
    <w:p>
      <w:pPr>
        <w:ind w:left="600" w:hanging="208"/>
        <w:spacing w:after="0" w:line="238" w:lineRule="auto"/>
        <w:tabs>
          <w:tab w:leader="none" w:pos="6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incentive based compensation of any current or former executive officer may be subject to recoupment in certain circumstances involving financial restatement due to material noncompliance;</w:t>
      </w:r>
    </w:p>
    <w:p>
      <w:pPr>
        <w:spacing w:after="0" w:line="108" w:lineRule="exact"/>
        <w:rPr>
          <w:rFonts w:ascii="Arial" w:cs="Arial" w:eastAsia="Arial" w:hAnsi="Arial"/>
          <w:sz w:val="18"/>
          <w:szCs w:val="18"/>
          <w:color w:val="auto"/>
        </w:rPr>
      </w:pPr>
    </w:p>
    <w:p>
      <w:pPr>
        <w:ind w:left="600" w:hanging="208"/>
        <w:spacing w:after="0"/>
        <w:tabs>
          <w:tab w:leader="none" w:pos="6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compliance with the company’s code of business conduct and ethics is considered in compensation determinations;</w:t>
      </w:r>
    </w:p>
    <w:p>
      <w:pPr>
        <w:spacing w:after="0" w:line="112" w:lineRule="exact"/>
        <w:rPr>
          <w:rFonts w:ascii="Arial" w:cs="Arial" w:eastAsia="Arial" w:hAnsi="Arial"/>
          <w:sz w:val="18"/>
          <w:szCs w:val="18"/>
          <w:color w:val="auto"/>
        </w:rPr>
      </w:pPr>
    </w:p>
    <w:p>
      <w:pPr>
        <w:ind w:left="600" w:hanging="208"/>
        <w:spacing w:after="0" w:line="238" w:lineRule="auto"/>
        <w:tabs>
          <w:tab w:leader="none" w:pos="6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company has an environmental, health and safety function which oversees and monitors compliance in these areas for the company;</w:t>
      </w:r>
    </w:p>
    <w:p>
      <w:pPr>
        <w:spacing w:after="0" w:line="108" w:lineRule="exact"/>
        <w:rPr>
          <w:rFonts w:ascii="Arial" w:cs="Arial" w:eastAsia="Arial" w:hAnsi="Arial"/>
          <w:sz w:val="18"/>
          <w:szCs w:val="18"/>
          <w:color w:val="auto"/>
        </w:rPr>
      </w:pPr>
    </w:p>
    <w:p>
      <w:pPr>
        <w:ind w:left="600" w:hanging="208"/>
        <w:spacing w:after="0"/>
        <w:tabs>
          <w:tab w:leader="none" w:pos="6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company’s variable compensation programs include a variety of environmental, health and safety performance metrics; and</w:t>
      </w:r>
    </w:p>
    <w:p>
      <w:pPr>
        <w:spacing w:after="0" w:line="112" w:lineRule="exact"/>
        <w:rPr>
          <w:rFonts w:ascii="Arial" w:cs="Arial" w:eastAsia="Arial" w:hAnsi="Arial"/>
          <w:sz w:val="18"/>
          <w:szCs w:val="18"/>
          <w:color w:val="auto"/>
        </w:rPr>
      </w:pPr>
    </w:p>
    <w:p>
      <w:pPr>
        <w:ind w:left="600" w:hanging="208"/>
        <w:spacing w:after="0" w:line="238" w:lineRule="auto"/>
        <w:tabs>
          <w:tab w:leader="none" w:pos="6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compensation and management development committee continually monitors the company’s compensation programs and practices to assure that they appropriately balance the interests of employees and stockholders.</w:t>
      </w:r>
    </w:p>
    <w:p>
      <w:pPr>
        <w:spacing w:after="0" w:line="175" w:lineRule="exact"/>
        <w:rPr>
          <w:sz w:val="20"/>
          <w:szCs w:val="20"/>
          <w:color w:val="auto"/>
        </w:rPr>
      </w:pPr>
    </w:p>
    <w:p>
      <w:pPr>
        <w:ind w:left="280"/>
        <w:spacing w:after="0" w:line="238" w:lineRule="auto"/>
        <w:rPr>
          <w:sz w:val="20"/>
          <w:szCs w:val="20"/>
          <w:color w:val="auto"/>
        </w:rPr>
      </w:pPr>
      <w:r>
        <w:rPr>
          <w:rFonts w:ascii="Arial" w:cs="Arial" w:eastAsia="Arial" w:hAnsi="Arial"/>
          <w:sz w:val="18"/>
          <w:szCs w:val="18"/>
          <w:color w:val="auto"/>
        </w:rPr>
        <w:t>For these reasons, we do not believe that our compensation policies and practices create risks that are reasonably likely to have a material adverse effect 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86360</wp:posOffset>
            </wp:positionV>
            <wp:extent cx="405765" cy="2451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209" w:lineRule="exact"/>
        <w:rPr>
          <w:sz w:val="20"/>
          <w:szCs w:val="20"/>
          <w:color w:val="auto"/>
        </w:rPr>
      </w:pPr>
    </w:p>
    <w:tbl>
      <w:tblPr>
        <w:tblLayout w:type="fixed"/>
        <w:tblInd w:w="9140" w:type="dxa"/>
        <w:tblCellMar>
          <w:top w:w="0" w:type="dxa"/>
          <w:left w:w="0" w:type="dxa"/>
          <w:bottom w:w="0" w:type="dxa"/>
          <w:right w:w="0" w:type="dxa"/>
        </w:tblCellMar>
      </w:tblPr>
      <w:tr>
        <w:trPr>
          <w:trHeight w:val="188"/>
        </w:trPr>
        <w:tc>
          <w:tcPr>
            <w:tcW w:w="1680" w:type="dxa"/>
            <w:vAlign w:val="bottom"/>
          </w:tcPr>
          <w:p>
            <w:pPr>
              <w:spacing w:after="0"/>
              <w:rPr>
                <w:sz w:val="20"/>
                <w:szCs w:val="20"/>
                <w:color w:val="auto"/>
              </w:rPr>
            </w:pPr>
            <w:r>
              <w:rPr>
                <w:rFonts w:ascii="Arial" w:cs="Arial" w:eastAsia="Arial" w:hAnsi="Arial"/>
                <w:sz w:val="12"/>
                <w:szCs w:val="12"/>
                <w:b w:val="1"/>
                <w:bCs w:val="1"/>
                <w:color w:val="666666"/>
              </w:rPr>
              <w:t>2018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007549"/>
              </w:rPr>
              <w:t>47</w:t>
            </w:r>
          </w:p>
        </w:tc>
      </w:tr>
    </w:tbl>
    <w:p>
      <w:pPr>
        <w:sectPr>
          <w:pgSz w:w="11900" w:h="16838" w:orient="portrait"/>
          <w:cols w:equalWidth="0" w:num="1">
            <w:col w:w="11140"/>
          </w:cols>
          <w:pgMar w:left="240" w:top="454" w:right="5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80" w:right="1460"/>
        <w:spacing w:after="0" w:line="247" w:lineRule="auto"/>
        <w:rPr>
          <w:sz w:val="20"/>
          <w:szCs w:val="20"/>
          <w:color w:val="auto"/>
        </w:rPr>
      </w:pPr>
      <w:r>
        <w:rPr>
          <w:rFonts w:ascii="Arial" w:cs="Arial" w:eastAsia="Arial" w:hAnsi="Arial"/>
          <w:sz w:val="39"/>
          <w:szCs w:val="39"/>
          <w:color w:val="007549"/>
        </w:rPr>
        <w:t>PROPOSAL 2: ADVISORY VOTE TO APPROVE THE COMPENSATION OF THE NAMED EXECUTIVE OFFICERS</w:t>
      </w:r>
    </w:p>
    <w:p>
      <w:pPr>
        <w:spacing w:after="0" w:line="178" w:lineRule="exact"/>
        <w:rPr>
          <w:sz w:val="20"/>
          <w:szCs w:val="20"/>
          <w:color w:val="auto"/>
        </w:rPr>
      </w:pPr>
    </w:p>
    <w:p>
      <w:pPr>
        <w:jc w:val="both"/>
        <w:ind w:left="280"/>
        <w:spacing w:after="0" w:line="235" w:lineRule="auto"/>
        <w:rPr>
          <w:sz w:val="20"/>
          <w:szCs w:val="20"/>
          <w:color w:val="auto"/>
        </w:rPr>
      </w:pPr>
      <w:r>
        <w:rPr>
          <w:rFonts w:ascii="Arial" w:cs="Arial" w:eastAsia="Arial" w:hAnsi="Arial"/>
          <w:sz w:val="18"/>
          <w:szCs w:val="18"/>
          <w:color w:val="auto"/>
        </w:rPr>
        <w:t>In accordance with the Dodd-Frank Act enacted in 2010 and pursuant to Section 14A of the Exchange Act, an advisory vote on the frequency of stockholder votes on executive compensation was conducted in connection with the 2017 annual meeting of stockholders. At that meeting our stockholders agreed, and the board subsequently approved, that the advisory vote on executive compensation be held on an annual basis.</w:t>
      </w:r>
    </w:p>
    <w:p>
      <w:pPr>
        <w:spacing w:after="0" w:line="174" w:lineRule="exact"/>
        <w:rPr>
          <w:sz w:val="20"/>
          <w:szCs w:val="20"/>
          <w:color w:val="auto"/>
        </w:rPr>
      </w:pPr>
    </w:p>
    <w:p>
      <w:pPr>
        <w:jc w:val="both"/>
        <w:ind w:left="280"/>
        <w:spacing w:after="0" w:line="234" w:lineRule="auto"/>
        <w:rPr>
          <w:sz w:val="20"/>
          <w:szCs w:val="20"/>
          <w:color w:val="auto"/>
        </w:rPr>
      </w:pPr>
      <w:r>
        <w:rPr>
          <w:rFonts w:ascii="Arial" w:cs="Arial" w:eastAsia="Arial" w:hAnsi="Arial"/>
          <w:sz w:val="18"/>
          <w:szCs w:val="18"/>
          <w:color w:val="auto"/>
        </w:rPr>
        <w:t>Accordingly, and pursuant to Section 14A of the Exchange Act, we are asking stockholders for an advisory approval of the compensation of our named executive officers as described in the Compensation Discussion and Analysis, the compensation tables and related narrative discussion included in this proxy statement. This proposal, commonly known as a “say on pay” proposal, gives stockholders an opportunity to approve, reject or abstain from voting with respect to our overall fiscal 2017 executive compensation programs and policies and the compensation paid to our named executive officers.</w:t>
      </w:r>
    </w:p>
    <w:p>
      <w:pPr>
        <w:spacing w:after="0" w:line="162" w:lineRule="exact"/>
        <w:rPr>
          <w:sz w:val="20"/>
          <w:szCs w:val="20"/>
          <w:color w:val="auto"/>
        </w:rPr>
      </w:pPr>
    </w:p>
    <w:p>
      <w:pPr>
        <w:jc w:val="both"/>
        <w:ind w:left="280"/>
        <w:spacing w:after="0" w:line="235" w:lineRule="auto"/>
        <w:rPr>
          <w:sz w:val="20"/>
          <w:szCs w:val="20"/>
          <w:color w:val="auto"/>
        </w:rPr>
      </w:pPr>
      <w:r>
        <w:rPr>
          <w:rFonts w:ascii="Arial" w:cs="Arial" w:eastAsia="Arial" w:hAnsi="Arial"/>
          <w:sz w:val="18"/>
          <w:szCs w:val="18"/>
          <w:color w:val="auto"/>
        </w:rPr>
        <w:t>Please read the Compensation Discussion and Analysis section beginning on page 20 for additional details about our executive compensation program, including information about the fiscal year 2017 compensation of our named executive officers, our outreach to stockholders and the continued enhancements we seek to make to our executive compensation programs to further align pay and performance.</w:t>
      </w:r>
    </w:p>
    <w:p>
      <w:pPr>
        <w:spacing w:after="0" w:line="161" w:lineRule="exact"/>
        <w:rPr>
          <w:sz w:val="20"/>
          <w:szCs w:val="20"/>
          <w:color w:val="auto"/>
        </w:rPr>
      </w:pPr>
    </w:p>
    <w:p>
      <w:pPr>
        <w:jc w:val="both"/>
        <w:ind w:left="280"/>
        <w:spacing w:after="0" w:line="233" w:lineRule="auto"/>
        <w:rPr>
          <w:sz w:val="20"/>
          <w:szCs w:val="20"/>
          <w:color w:val="auto"/>
        </w:rPr>
      </w:pPr>
      <w:r>
        <w:rPr>
          <w:rFonts w:ascii="Arial" w:cs="Arial" w:eastAsia="Arial" w:hAnsi="Arial"/>
          <w:sz w:val="18"/>
          <w:szCs w:val="18"/>
          <w:color w:val="auto"/>
        </w:rPr>
        <w:t>This proposal allows our stockholders to express their opinions regarding the decisions of the committee on the prior year’s annual compensation to the named executive officers. Because your vote on this proposal is advisory, it will not affect existing compensation or be binding on the company, the board or the committee. However, the board and the committee will carefully consider the voting results on this proposal in future decisions on executive compensation. Your advisory vote will serve as an additional tool to guide the board and the committee in continuing to improve the alignment of the company’s executive compensation programs with the long-term interests of the company and its stockholders and is consistent with our commitment to high standards of corporate governance.</w:t>
      </w:r>
    </w:p>
    <w:p>
      <w:pPr>
        <w:spacing w:after="0" w:line="178" w:lineRule="exact"/>
        <w:rPr>
          <w:sz w:val="20"/>
          <w:szCs w:val="20"/>
          <w:color w:val="auto"/>
        </w:rPr>
      </w:pPr>
    </w:p>
    <w:p>
      <w:pPr>
        <w:jc w:val="both"/>
        <w:ind w:left="280"/>
        <w:spacing w:after="0" w:line="233" w:lineRule="auto"/>
        <w:rPr>
          <w:sz w:val="20"/>
          <w:szCs w:val="20"/>
          <w:color w:val="auto"/>
        </w:rPr>
      </w:pPr>
      <w:r>
        <w:rPr>
          <w:rFonts w:ascii="Arial" w:cs="Arial" w:eastAsia="Arial" w:hAnsi="Arial"/>
          <w:sz w:val="18"/>
          <w:szCs w:val="18"/>
          <w:color w:val="auto"/>
        </w:rPr>
        <w:t>Hess’ 2017 advisory vote on executive compensation received the approval of over 96% of shares present and entitled to vote at the 2017 annual meeting. Following the 2017 vote, we continued the outreach program we undertook with our stockholders and other stakeholders to discuss and solicit their views on matters of interest to them relating to our executive compensation program. For the reasons stated in the Compensation Discussion and Analysis, we believe that our executive compensation program is tailored to our strategic plans, appropriately aligns executive pay with company performance and incentivizes management to work for the long-term growth of stockholder value.</w:t>
      </w:r>
    </w:p>
    <w:p>
      <w:pPr>
        <w:spacing w:after="0" w:line="16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board of directors unanimously recommends stockholders vote FOR, on an advisory basis, the following resolution:</w:t>
      </w:r>
    </w:p>
    <w:p>
      <w:pPr>
        <w:spacing w:after="0" w:line="166" w:lineRule="exact"/>
        <w:rPr>
          <w:sz w:val="20"/>
          <w:szCs w:val="20"/>
          <w:color w:val="auto"/>
        </w:rPr>
      </w:pPr>
    </w:p>
    <w:p>
      <w:pPr>
        <w:jc w:val="both"/>
        <w:ind w:left="720"/>
        <w:spacing w:after="0" w:line="236" w:lineRule="auto"/>
        <w:rPr>
          <w:sz w:val="20"/>
          <w:szCs w:val="20"/>
          <w:color w:val="auto"/>
        </w:rPr>
      </w:pPr>
      <w:r>
        <w:rPr>
          <w:rFonts w:ascii="Arial" w:cs="Arial" w:eastAsia="Arial" w:hAnsi="Arial"/>
          <w:sz w:val="18"/>
          <w:szCs w:val="18"/>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174" w:lineRule="exact"/>
        <w:rPr>
          <w:sz w:val="20"/>
          <w:szCs w:val="20"/>
          <w:color w:val="auto"/>
        </w:rPr>
      </w:pPr>
    </w:p>
    <w:p>
      <w:pPr>
        <w:jc w:val="both"/>
        <w:ind w:left="280"/>
        <w:spacing w:after="0" w:line="236" w:lineRule="auto"/>
        <w:rPr>
          <w:sz w:val="20"/>
          <w:szCs w:val="20"/>
          <w:color w:val="auto"/>
        </w:rPr>
      </w:pPr>
      <w:r>
        <w:rPr>
          <w:rFonts w:ascii="Arial" w:cs="Arial" w:eastAsia="Arial" w:hAnsi="Arial"/>
          <w:sz w:val="18"/>
          <w:szCs w:val="18"/>
          <w:color w:val="auto"/>
        </w:rPr>
        <w:t>Adoption of the resolution requires the affirmative vote of a majority of the shares present in person or represented by proxy and entitled to vote at the 2018 annual meeting. Abstentions will have the same effect as a vote against this proposal. Broker non-votes will not be counted as present and are not entitled to vote on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916305</wp:posOffset>
            </wp:positionH>
            <wp:positionV relativeFrom="paragraph">
              <wp:posOffset>144780</wp:posOffset>
            </wp:positionV>
            <wp:extent cx="557530" cy="5156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57530" cy="51562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2480" w:right="2540"/>
        <w:spacing w:after="0" w:line="292" w:lineRule="auto"/>
        <w:rPr>
          <w:sz w:val="20"/>
          <w:szCs w:val="20"/>
          <w:color w:val="auto"/>
        </w:rPr>
      </w:pPr>
      <w:r>
        <w:rPr>
          <w:rFonts w:ascii="Arial" w:cs="Arial" w:eastAsia="Arial" w:hAnsi="Arial"/>
          <w:sz w:val="17"/>
          <w:szCs w:val="17"/>
          <w:b w:val="1"/>
          <w:bCs w:val="1"/>
          <w:color w:val="007549"/>
        </w:rPr>
        <w:t>The board of directors unanimously recommends that stockholders vote FOR the approval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1820545</wp:posOffset>
            </wp:positionH>
            <wp:positionV relativeFrom="paragraph">
              <wp:posOffset>168910</wp:posOffset>
            </wp:positionV>
            <wp:extent cx="405765" cy="24511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345" w:lineRule="exact"/>
        <w:rPr>
          <w:sz w:val="20"/>
          <w:szCs w:val="20"/>
          <w:color w:val="auto"/>
        </w:rPr>
      </w:pPr>
    </w:p>
    <w:p>
      <w:pPr>
        <w:ind w:left="760" w:hanging="474"/>
        <w:spacing w:after="0"/>
        <w:tabs>
          <w:tab w:leader="none" w:pos="760" w:val="left"/>
        </w:tabs>
        <w:numPr>
          <w:ilvl w:val="0"/>
          <w:numId w:val="80"/>
        </w:numPr>
        <w:rPr>
          <w:rFonts w:ascii="Arial" w:cs="Arial" w:eastAsia="Arial" w:hAnsi="Arial"/>
          <w:sz w:val="14"/>
          <w:szCs w:val="14"/>
          <w:b w:val="1"/>
          <w:bCs w:val="1"/>
          <w:color w:val="007549"/>
        </w:rPr>
      </w:pPr>
      <w:r>
        <w:rPr>
          <w:rFonts w:ascii="Arial" w:cs="Arial" w:eastAsia="Arial" w:hAnsi="Arial"/>
          <w:sz w:val="12"/>
          <w:szCs w:val="12"/>
          <w:b w:val="1"/>
          <w:bCs w:val="1"/>
          <w:color w:val="666666"/>
        </w:rPr>
        <w:t>2018 PROXY STATEMENT</w:t>
      </w:r>
    </w:p>
    <w:p>
      <w:pPr>
        <w:sectPr>
          <w:pgSz w:w="11900" w:h="16838" w:orient="portrait"/>
          <w:cols w:equalWidth="0" w:num="1">
            <w:col w:w="11140"/>
          </w:cols>
          <w:pgMar w:left="240" w:top="454" w:right="5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both"/>
        <w:ind w:left="280" w:right="1660"/>
        <w:spacing w:after="0" w:line="257" w:lineRule="auto"/>
        <w:rPr>
          <w:sz w:val="20"/>
          <w:szCs w:val="20"/>
          <w:color w:val="auto"/>
        </w:rPr>
      </w:pPr>
      <w:r>
        <w:rPr>
          <w:rFonts w:ascii="Arial" w:cs="Arial" w:eastAsia="Arial" w:hAnsi="Arial"/>
          <w:sz w:val="38"/>
          <w:szCs w:val="38"/>
          <w:color w:val="007549"/>
        </w:rPr>
        <w:t>PROPOSAL 3: RATIFICATION OF THE SELECTION OF ERNST &amp; YOUNG LLP AS OUR INDEPENDENT REGISTERED PUBLIC ACCOUNTANTS</w:t>
      </w:r>
    </w:p>
    <w:p>
      <w:pPr>
        <w:spacing w:after="0" w:line="159" w:lineRule="exact"/>
        <w:rPr>
          <w:sz w:val="20"/>
          <w:szCs w:val="20"/>
          <w:color w:val="auto"/>
        </w:rPr>
      </w:pPr>
    </w:p>
    <w:p>
      <w:pPr>
        <w:jc w:val="both"/>
        <w:ind w:left="280"/>
        <w:spacing w:after="0" w:line="234" w:lineRule="auto"/>
        <w:rPr>
          <w:sz w:val="20"/>
          <w:szCs w:val="20"/>
          <w:color w:val="auto"/>
        </w:rPr>
      </w:pPr>
      <w:r>
        <w:rPr>
          <w:rFonts w:ascii="Arial" w:cs="Arial" w:eastAsia="Arial" w:hAnsi="Arial"/>
          <w:sz w:val="18"/>
          <w:szCs w:val="18"/>
          <w:color w:val="auto"/>
        </w:rPr>
        <w:t>The audit committee is directly responsible for the appointment, compensation, retention and oversight of the independent registered public accountants retained to audit the company’s financial statements. Accordingly, the audit committee has selected the firm of Ernst &amp; Young LLP as the independent registered public accountants of the company for the fiscal year ending December 31, 2018. Ernst &amp; Young LLP has acted for the company in this capacity for many years. During this time, Ernst &amp; Young LLP has gained significant knowledge about our operations and business, accounting policies and practices, and internal control over financial reporting.</w:t>
      </w:r>
    </w:p>
    <w:p>
      <w:pPr>
        <w:spacing w:after="0" w:line="175" w:lineRule="exact"/>
        <w:rPr>
          <w:sz w:val="20"/>
          <w:szCs w:val="20"/>
          <w:color w:val="auto"/>
        </w:rPr>
      </w:pPr>
    </w:p>
    <w:p>
      <w:pPr>
        <w:jc w:val="both"/>
        <w:ind w:left="280"/>
        <w:spacing w:after="0" w:line="233" w:lineRule="auto"/>
        <w:rPr>
          <w:sz w:val="20"/>
          <w:szCs w:val="20"/>
          <w:color w:val="auto"/>
        </w:rPr>
      </w:pPr>
      <w:r>
        <w:rPr>
          <w:rFonts w:ascii="Arial" w:cs="Arial" w:eastAsia="Arial" w:hAnsi="Arial"/>
          <w:sz w:val="18"/>
          <w:szCs w:val="18"/>
          <w:color w:val="auto"/>
        </w:rPr>
        <w:t>The audit committee evaluated Ernst &amp; Young LLP’s qualifications, performance and independence, as described on pages 12 to 13, and the audit committee and the board believe that the continued retention of Ernst &amp; Young LLP as the company’s independent registered public accountants is in the best interest of the company and its stockholders. Therefore, the board proposes that the stockholders ratify this selection at the annual meeting. Ratification of the appointment of Ernst &amp; Young LLP as the independent registered public accountants of the company for the fiscal year ending December 31, 2018 requires the affirmative vote of a majority of the shares present in person or represented by proxy and entitled to vote at the annual meeting. Abstentions and broker non-votes will be counted as present for purposes of this vote and will have the effect of a vote against the proposal.</w:t>
      </w:r>
    </w:p>
    <w:p>
      <w:pPr>
        <w:spacing w:after="0" w:line="163" w:lineRule="exact"/>
        <w:rPr>
          <w:sz w:val="20"/>
          <w:szCs w:val="20"/>
          <w:color w:val="auto"/>
        </w:rPr>
      </w:pPr>
    </w:p>
    <w:p>
      <w:pPr>
        <w:jc w:val="both"/>
        <w:ind w:left="280"/>
        <w:spacing w:after="0" w:line="238" w:lineRule="auto"/>
        <w:rPr>
          <w:sz w:val="20"/>
          <w:szCs w:val="20"/>
          <w:color w:val="auto"/>
        </w:rPr>
      </w:pPr>
      <w:r>
        <w:rPr>
          <w:rFonts w:ascii="Arial" w:cs="Arial" w:eastAsia="Arial" w:hAnsi="Arial"/>
          <w:sz w:val="18"/>
          <w:szCs w:val="18"/>
          <w:color w:val="auto"/>
        </w:rPr>
        <w:t>If the stockholders do not ratify the selection of Ernst &amp; Young LLP, the selection of independent registered public accountants will be reconsidered by the audit committee.</w:t>
      </w:r>
    </w:p>
    <w:p>
      <w:pPr>
        <w:spacing w:after="0" w:line="162" w:lineRule="exact"/>
        <w:rPr>
          <w:sz w:val="20"/>
          <w:szCs w:val="20"/>
          <w:color w:val="auto"/>
        </w:rPr>
      </w:pPr>
    </w:p>
    <w:p>
      <w:pPr>
        <w:jc w:val="both"/>
        <w:ind w:left="280"/>
        <w:spacing w:after="0" w:line="238" w:lineRule="auto"/>
        <w:rPr>
          <w:sz w:val="20"/>
          <w:szCs w:val="20"/>
          <w:color w:val="auto"/>
        </w:rPr>
      </w:pPr>
      <w:r>
        <w:rPr>
          <w:rFonts w:ascii="Arial" w:cs="Arial" w:eastAsia="Arial" w:hAnsi="Arial"/>
          <w:sz w:val="18"/>
          <w:szCs w:val="18"/>
          <w:color w:val="auto"/>
        </w:rPr>
        <w:t>Representatives of Ernst &amp; Young LLP are expected to be present at the annual meeting and will be afforded the opportunity to make a statement if they desire and will be available to respond to appropriate questions.</w:t>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333333"/>
        </w:rPr>
        <w:t>Fee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63500</wp:posOffset>
            </wp:positionV>
            <wp:extent cx="689356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Ernst &amp; Young LLP’s fees, by category of professional service in each of the last two fiscal years, were (in thousands):</w:t>
      </w:r>
    </w:p>
    <w:p>
      <w:pPr>
        <w:spacing w:after="0" w:line="206" w:lineRule="exact"/>
        <w:rPr>
          <w:sz w:val="20"/>
          <w:szCs w:val="20"/>
          <w:color w:val="auto"/>
        </w:rPr>
      </w:pPr>
    </w:p>
    <w:tbl>
      <w:tblPr>
        <w:tblLayout w:type="fixed"/>
        <w:tblInd w:w="280" w:type="dxa"/>
        <w:tblCellMar>
          <w:top w:w="0" w:type="dxa"/>
          <w:left w:w="0" w:type="dxa"/>
          <w:bottom w:w="0" w:type="dxa"/>
          <w:right w:w="0" w:type="dxa"/>
        </w:tblCellMar>
      </w:tblPr>
      <w:tr>
        <w:trPr>
          <w:trHeight w:val="186"/>
        </w:trPr>
        <w:tc>
          <w:tcPr>
            <w:tcW w:w="8540" w:type="dxa"/>
            <w:vAlign w:val="bottom"/>
            <w:shd w:val="clear" w:color="auto" w:fill="007549"/>
          </w:tcPr>
          <w:p>
            <w:pPr>
              <w:spacing w:after="0"/>
              <w:rPr>
                <w:sz w:val="16"/>
                <w:szCs w:val="16"/>
                <w:color w:val="auto"/>
              </w:rPr>
            </w:pPr>
          </w:p>
        </w:tc>
        <w:tc>
          <w:tcPr>
            <w:tcW w:w="540" w:type="dxa"/>
            <w:vAlign w:val="bottom"/>
            <w:shd w:val="clear" w:color="auto" w:fill="007549"/>
          </w:tcPr>
          <w:p>
            <w:pPr>
              <w:spacing w:after="0"/>
              <w:rPr>
                <w:sz w:val="16"/>
                <w:szCs w:val="16"/>
                <w:color w:val="auto"/>
              </w:rPr>
            </w:pPr>
          </w:p>
        </w:tc>
        <w:tc>
          <w:tcPr>
            <w:tcW w:w="780" w:type="dxa"/>
            <w:vAlign w:val="bottom"/>
            <w:shd w:val="clear" w:color="auto" w:fill="007549"/>
          </w:tcPr>
          <w:p>
            <w:pPr>
              <w:jc w:val="right"/>
              <w:ind w:right="314"/>
              <w:spacing w:after="0"/>
              <w:rPr>
                <w:sz w:val="20"/>
                <w:szCs w:val="20"/>
                <w:color w:val="auto"/>
              </w:rPr>
            </w:pPr>
            <w:r>
              <w:rPr>
                <w:rFonts w:ascii="Arial" w:cs="Arial" w:eastAsia="Arial" w:hAnsi="Arial"/>
                <w:sz w:val="14"/>
                <w:szCs w:val="14"/>
                <w:b w:val="1"/>
                <w:bCs w:val="1"/>
                <w:color w:val="FFFFFF"/>
              </w:rPr>
              <w:t>2017</w:t>
            </w:r>
          </w:p>
        </w:tc>
        <w:tc>
          <w:tcPr>
            <w:tcW w:w="340" w:type="dxa"/>
            <w:vAlign w:val="bottom"/>
            <w:shd w:val="clear" w:color="auto" w:fill="007549"/>
          </w:tcPr>
          <w:p>
            <w:pPr>
              <w:spacing w:after="0"/>
              <w:rPr>
                <w:sz w:val="16"/>
                <w:szCs w:val="16"/>
                <w:color w:val="auto"/>
              </w:rPr>
            </w:pPr>
          </w:p>
        </w:tc>
        <w:tc>
          <w:tcPr>
            <w:tcW w:w="660" w:type="dxa"/>
            <w:vAlign w:val="bottom"/>
            <w:shd w:val="clear" w:color="auto" w:fill="007549"/>
          </w:tcPr>
          <w:p>
            <w:pPr>
              <w:jc w:val="right"/>
              <w:ind w:right="194"/>
              <w:spacing w:after="0"/>
              <w:rPr>
                <w:sz w:val="20"/>
                <w:szCs w:val="20"/>
                <w:color w:val="auto"/>
              </w:rPr>
            </w:pPr>
            <w:r>
              <w:rPr>
                <w:rFonts w:ascii="Arial" w:cs="Arial" w:eastAsia="Arial" w:hAnsi="Arial"/>
                <w:sz w:val="14"/>
                <w:szCs w:val="14"/>
                <w:b w:val="1"/>
                <w:bCs w:val="1"/>
                <w:color w:val="FFFFFF"/>
              </w:rPr>
              <w:t>2016</w:t>
            </w:r>
          </w:p>
        </w:tc>
      </w:tr>
      <w:tr>
        <w:trPr>
          <w:trHeight w:val="226"/>
        </w:trPr>
        <w:tc>
          <w:tcPr>
            <w:tcW w:w="8540" w:type="dxa"/>
            <w:vAlign w:val="bottom"/>
            <w:shd w:val="clear" w:color="auto" w:fill="E5E5E5"/>
          </w:tcPr>
          <w:p>
            <w:pPr>
              <w:ind w:left="80"/>
              <w:spacing w:after="0"/>
              <w:rPr>
                <w:sz w:val="20"/>
                <w:szCs w:val="20"/>
                <w:color w:val="auto"/>
              </w:rPr>
            </w:pPr>
            <w:r>
              <w:rPr>
                <w:rFonts w:ascii="Arial" w:cs="Arial" w:eastAsia="Arial" w:hAnsi="Arial"/>
                <w:sz w:val="18"/>
                <w:szCs w:val="18"/>
                <w:color w:val="auto"/>
              </w:rPr>
              <w:t>Audit Fees</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8,066</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8,362</w:t>
            </w:r>
          </w:p>
        </w:tc>
      </w:tr>
      <w:tr>
        <w:trPr>
          <w:trHeight w:val="219"/>
        </w:trPr>
        <w:tc>
          <w:tcPr>
            <w:tcW w:w="8540" w:type="dxa"/>
            <w:vAlign w:val="bottom"/>
          </w:tcPr>
          <w:p>
            <w:pPr>
              <w:ind w:left="80"/>
              <w:spacing w:after="0"/>
              <w:rPr>
                <w:sz w:val="20"/>
                <w:szCs w:val="20"/>
                <w:color w:val="auto"/>
              </w:rPr>
            </w:pPr>
            <w:r>
              <w:rPr>
                <w:rFonts w:ascii="Arial" w:cs="Arial" w:eastAsia="Arial" w:hAnsi="Arial"/>
                <w:sz w:val="18"/>
                <w:szCs w:val="18"/>
                <w:color w:val="auto"/>
              </w:rPr>
              <w:t>Audit-Related Fees</w:t>
            </w:r>
          </w:p>
        </w:tc>
        <w:tc>
          <w:tcPr>
            <w:tcW w:w="540" w:type="dxa"/>
            <w:vAlign w:val="bottom"/>
          </w:tcPr>
          <w:p>
            <w:pPr>
              <w:spacing w:after="0"/>
              <w:rPr>
                <w:sz w:val="19"/>
                <w:szCs w:val="19"/>
                <w:color w:val="auto"/>
              </w:rPr>
            </w:pPr>
          </w:p>
        </w:tc>
        <w:tc>
          <w:tcPr>
            <w:tcW w:w="780" w:type="dxa"/>
            <w:vAlign w:val="bottom"/>
          </w:tcPr>
          <w:p>
            <w:pPr>
              <w:jc w:val="right"/>
              <w:ind w:right="154"/>
              <w:spacing w:after="0"/>
              <w:rPr>
                <w:sz w:val="20"/>
                <w:szCs w:val="20"/>
                <w:color w:val="auto"/>
              </w:rPr>
            </w:pPr>
            <w:r>
              <w:rPr>
                <w:rFonts w:ascii="Arial" w:cs="Arial" w:eastAsia="Arial" w:hAnsi="Arial"/>
                <w:sz w:val="18"/>
                <w:szCs w:val="18"/>
                <w:color w:val="auto"/>
              </w:rPr>
              <w:t>1,066</w:t>
            </w:r>
          </w:p>
        </w:tc>
        <w:tc>
          <w:tcPr>
            <w:tcW w:w="340" w:type="dxa"/>
            <w:vAlign w:val="bottom"/>
          </w:tcPr>
          <w:p>
            <w:pPr>
              <w:spacing w:after="0"/>
              <w:rPr>
                <w:sz w:val="19"/>
                <w:szCs w:val="19"/>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1,458</w:t>
            </w:r>
          </w:p>
        </w:tc>
      </w:tr>
      <w:tr>
        <w:trPr>
          <w:trHeight w:val="233"/>
        </w:trPr>
        <w:tc>
          <w:tcPr>
            <w:tcW w:w="8540" w:type="dxa"/>
            <w:vAlign w:val="bottom"/>
            <w:shd w:val="clear" w:color="auto" w:fill="E5E5E5"/>
          </w:tcPr>
          <w:p>
            <w:pPr>
              <w:ind w:left="80"/>
              <w:spacing w:after="0"/>
              <w:rPr>
                <w:sz w:val="20"/>
                <w:szCs w:val="20"/>
                <w:color w:val="auto"/>
              </w:rPr>
            </w:pPr>
            <w:r>
              <w:rPr>
                <w:rFonts w:ascii="Arial" w:cs="Arial" w:eastAsia="Arial" w:hAnsi="Arial"/>
                <w:sz w:val="18"/>
                <w:szCs w:val="18"/>
                <w:color w:val="auto"/>
              </w:rPr>
              <w:t>Tax Fees</w:t>
            </w:r>
          </w:p>
        </w:tc>
        <w:tc>
          <w:tcPr>
            <w:tcW w:w="540" w:type="dxa"/>
            <w:vAlign w:val="bottom"/>
            <w:shd w:val="clear" w:color="auto" w:fill="E5E5E5"/>
          </w:tcPr>
          <w:p>
            <w:pPr>
              <w:spacing w:after="0"/>
              <w:rPr>
                <w:sz w:val="20"/>
                <w:szCs w:val="20"/>
                <w:color w:val="auto"/>
              </w:rPr>
            </w:pPr>
          </w:p>
        </w:tc>
        <w:tc>
          <w:tcPr>
            <w:tcW w:w="78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1,882</w:t>
            </w:r>
          </w:p>
        </w:tc>
        <w:tc>
          <w:tcPr>
            <w:tcW w:w="340" w:type="dxa"/>
            <w:vAlign w:val="bottom"/>
            <w:shd w:val="clear" w:color="auto" w:fill="E5E5E5"/>
          </w:tcPr>
          <w:p>
            <w:pPr>
              <w:spacing w:after="0"/>
              <w:rPr>
                <w:sz w:val="20"/>
                <w:szCs w:val="20"/>
                <w:color w:val="auto"/>
              </w:rPr>
            </w:pPr>
          </w:p>
        </w:tc>
        <w:tc>
          <w:tcPr>
            <w:tcW w:w="6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1,831</w:t>
            </w:r>
          </w:p>
        </w:tc>
      </w:tr>
      <w:tr>
        <w:trPr>
          <w:trHeight w:val="219"/>
        </w:trPr>
        <w:tc>
          <w:tcPr>
            <w:tcW w:w="8540" w:type="dxa"/>
            <w:vAlign w:val="bottom"/>
            <w:tcBorders>
              <w:bottom w:val="single" w:sz="8" w:color="E5E5E5"/>
            </w:tcBorders>
          </w:tcPr>
          <w:p>
            <w:pPr>
              <w:ind w:left="80"/>
              <w:spacing w:after="0"/>
              <w:rPr>
                <w:sz w:val="20"/>
                <w:szCs w:val="20"/>
                <w:color w:val="auto"/>
              </w:rPr>
            </w:pPr>
            <w:r>
              <w:rPr>
                <w:rFonts w:ascii="Arial" w:cs="Arial" w:eastAsia="Arial" w:hAnsi="Arial"/>
                <w:sz w:val="18"/>
                <w:szCs w:val="18"/>
                <w:color w:val="auto"/>
              </w:rPr>
              <w:t>All Other Fees</w:t>
            </w:r>
          </w:p>
        </w:tc>
        <w:tc>
          <w:tcPr>
            <w:tcW w:w="540" w:type="dxa"/>
            <w:vAlign w:val="bottom"/>
            <w:tcBorders>
              <w:bottom w:val="single" w:sz="8" w:color="007549"/>
            </w:tcBorders>
          </w:tcPr>
          <w:p>
            <w:pPr>
              <w:spacing w:after="0"/>
              <w:rPr>
                <w:sz w:val="19"/>
                <w:szCs w:val="19"/>
                <w:color w:val="auto"/>
              </w:rPr>
            </w:pPr>
          </w:p>
        </w:tc>
        <w:tc>
          <w:tcPr>
            <w:tcW w:w="780" w:type="dxa"/>
            <w:vAlign w:val="bottom"/>
            <w:tcBorders>
              <w:bottom w:val="single" w:sz="8" w:color="007549"/>
            </w:tcBorders>
          </w:tcPr>
          <w:p>
            <w:pPr>
              <w:jc w:val="right"/>
              <w:ind w:right="154"/>
              <w:spacing w:after="0"/>
              <w:rPr>
                <w:sz w:val="20"/>
                <w:szCs w:val="20"/>
                <w:color w:val="auto"/>
              </w:rPr>
            </w:pPr>
            <w:r>
              <w:rPr>
                <w:rFonts w:ascii="Arial" w:cs="Arial" w:eastAsia="Arial" w:hAnsi="Arial"/>
                <w:sz w:val="18"/>
                <w:szCs w:val="18"/>
                <w:color w:val="auto"/>
              </w:rPr>
              <w:t>0</w:t>
            </w:r>
          </w:p>
        </w:tc>
        <w:tc>
          <w:tcPr>
            <w:tcW w:w="340" w:type="dxa"/>
            <w:vAlign w:val="bottom"/>
            <w:tcBorders>
              <w:bottom w:val="single" w:sz="8" w:color="007549"/>
            </w:tcBorders>
          </w:tcPr>
          <w:p>
            <w:pPr>
              <w:spacing w:after="0"/>
              <w:rPr>
                <w:sz w:val="19"/>
                <w:szCs w:val="19"/>
                <w:color w:val="auto"/>
              </w:rPr>
            </w:pPr>
          </w:p>
        </w:tc>
        <w:tc>
          <w:tcPr>
            <w:tcW w:w="660" w:type="dxa"/>
            <w:vAlign w:val="bottom"/>
            <w:tcBorders>
              <w:bottom w:val="single" w:sz="8" w:color="007549"/>
            </w:tcBorders>
          </w:tcPr>
          <w:p>
            <w:pPr>
              <w:jc w:val="right"/>
              <w:ind w:right="14"/>
              <w:spacing w:after="0"/>
              <w:rPr>
                <w:sz w:val="20"/>
                <w:szCs w:val="20"/>
                <w:color w:val="auto"/>
              </w:rPr>
            </w:pPr>
            <w:r>
              <w:rPr>
                <w:rFonts w:ascii="Arial" w:cs="Arial" w:eastAsia="Arial" w:hAnsi="Arial"/>
                <w:sz w:val="18"/>
                <w:szCs w:val="18"/>
                <w:color w:val="auto"/>
              </w:rPr>
              <w:t>0</w:t>
            </w:r>
          </w:p>
        </w:tc>
      </w:tr>
      <w:tr>
        <w:trPr>
          <w:trHeight w:val="219"/>
        </w:trPr>
        <w:tc>
          <w:tcPr>
            <w:tcW w:w="8540" w:type="dxa"/>
            <w:vAlign w:val="bottom"/>
            <w:tcBorders>
              <w:bottom w:val="single" w:sz="8" w:color="007549"/>
            </w:tcBorders>
            <w:shd w:val="clear" w:color="auto" w:fill="E5E5E5"/>
          </w:tcPr>
          <w:p>
            <w:pPr>
              <w:ind w:left="80"/>
              <w:spacing w:after="0" w:line="199" w:lineRule="exact"/>
              <w:rPr>
                <w:sz w:val="20"/>
                <w:szCs w:val="20"/>
                <w:color w:val="auto"/>
              </w:rPr>
            </w:pPr>
            <w:r>
              <w:rPr>
                <w:rFonts w:ascii="Arial" w:cs="Arial" w:eastAsia="Arial" w:hAnsi="Arial"/>
                <w:sz w:val="18"/>
                <w:szCs w:val="18"/>
                <w:color w:val="auto"/>
              </w:rPr>
              <w:t>Total</w:t>
            </w:r>
          </w:p>
        </w:tc>
        <w:tc>
          <w:tcPr>
            <w:tcW w:w="540" w:type="dxa"/>
            <w:vAlign w:val="bottom"/>
            <w:tcBorders>
              <w:bottom w:val="single" w:sz="8" w:color="007549"/>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007549"/>
            </w:tcBorders>
            <w:shd w:val="clear" w:color="auto" w:fill="E5E5E5"/>
          </w:tcPr>
          <w:p>
            <w:pPr>
              <w:jc w:val="right"/>
              <w:ind w:right="154"/>
              <w:spacing w:after="0"/>
              <w:rPr>
                <w:sz w:val="20"/>
                <w:szCs w:val="20"/>
                <w:color w:val="auto"/>
              </w:rPr>
            </w:pPr>
            <w:r>
              <w:rPr>
                <w:rFonts w:ascii="Arial" w:cs="Arial" w:eastAsia="Arial" w:hAnsi="Arial"/>
                <w:sz w:val="18"/>
                <w:szCs w:val="18"/>
                <w:color w:val="auto"/>
                <w:w w:val="94"/>
              </w:rPr>
              <w:t>11,014</w:t>
            </w:r>
          </w:p>
        </w:tc>
        <w:tc>
          <w:tcPr>
            <w:tcW w:w="340" w:type="dxa"/>
            <w:vAlign w:val="bottom"/>
            <w:tcBorders>
              <w:bottom w:val="single" w:sz="8" w:color="007549"/>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007549"/>
            </w:tcBorders>
            <w:shd w:val="clear" w:color="auto" w:fill="E5E5E5"/>
          </w:tcPr>
          <w:p>
            <w:pPr>
              <w:jc w:val="right"/>
              <w:ind w:right="14"/>
              <w:spacing w:after="0"/>
              <w:rPr>
                <w:sz w:val="20"/>
                <w:szCs w:val="20"/>
                <w:color w:val="auto"/>
              </w:rPr>
            </w:pPr>
            <w:r>
              <w:rPr>
                <w:rFonts w:ascii="Arial" w:cs="Arial" w:eastAsia="Arial" w:hAnsi="Arial"/>
                <w:sz w:val="18"/>
                <w:szCs w:val="18"/>
                <w:color w:val="auto"/>
                <w:w w:val="98"/>
              </w:rPr>
              <w:t>11,651</w:t>
            </w:r>
          </w:p>
        </w:tc>
      </w:tr>
    </w:tbl>
    <w:p>
      <w:pPr>
        <w:spacing w:after="0" w:line="172" w:lineRule="exact"/>
        <w:rPr>
          <w:sz w:val="20"/>
          <w:szCs w:val="20"/>
          <w:color w:val="auto"/>
        </w:rPr>
      </w:pPr>
    </w:p>
    <w:p>
      <w:pPr>
        <w:jc w:val="both"/>
        <w:ind w:left="280"/>
        <w:spacing w:after="0" w:line="235" w:lineRule="auto"/>
        <w:rPr>
          <w:sz w:val="20"/>
          <w:szCs w:val="20"/>
          <w:color w:val="auto"/>
        </w:rPr>
      </w:pPr>
      <w:r>
        <w:rPr>
          <w:rFonts w:ascii="Arial" w:cs="Arial" w:eastAsia="Arial" w:hAnsi="Arial"/>
          <w:sz w:val="18"/>
          <w:szCs w:val="18"/>
          <w:color w:val="auto"/>
        </w:rPr>
        <w:t>Audit fees include fees associated with the last annual audit, the reviews of the company’s quarterly reports on Form 10-Q, reporting on the effectiveness of internal controls over financial reporting, SEC registration statements, the audit for our midstream joint venture and statutory audits required internationally. This amount also includes $1.050 million for audit fees associated with the audit of Hess Midstream Partners LP.</w:t>
      </w:r>
    </w:p>
    <w:p>
      <w:pPr>
        <w:spacing w:after="0" w:line="161" w:lineRule="exact"/>
        <w:rPr>
          <w:sz w:val="20"/>
          <w:szCs w:val="20"/>
          <w:color w:val="auto"/>
        </w:rPr>
      </w:pPr>
    </w:p>
    <w:p>
      <w:pPr>
        <w:jc w:val="both"/>
        <w:ind w:left="280"/>
        <w:spacing w:after="0" w:line="238" w:lineRule="auto"/>
        <w:rPr>
          <w:sz w:val="20"/>
          <w:szCs w:val="20"/>
          <w:color w:val="auto"/>
        </w:rPr>
      </w:pPr>
      <w:r>
        <w:rPr>
          <w:rFonts w:ascii="Arial" w:cs="Arial" w:eastAsia="Arial" w:hAnsi="Arial"/>
          <w:sz w:val="18"/>
          <w:szCs w:val="18"/>
          <w:color w:val="auto"/>
        </w:rPr>
        <w:t>Fees for audit-related services include pension and savings plan audits, attest services not required by statute or regulation, accounting consultations, acquisition and disposition reviews and consultations on internal accounting controls.</w:t>
      </w:r>
    </w:p>
    <w:p>
      <w:pPr>
        <w:spacing w:after="0" w:line="17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Tax fees include tax compliance services and United States and international tax advice and planning.</w:t>
      </w:r>
    </w:p>
    <w:p>
      <w:pPr>
        <w:spacing w:after="0" w:line="166" w:lineRule="exact"/>
        <w:rPr>
          <w:sz w:val="20"/>
          <w:szCs w:val="20"/>
          <w:color w:val="auto"/>
        </w:rPr>
      </w:pPr>
    </w:p>
    <w:p>
      <w:pPr>
        <w:jc w:val="both"/>
        <w:ind w:left="280"/>
        <w:spacing w:after="0" w:line="233" w:lineRule="auto"/>
        <w:rPr>
          <w:sz w:val="20"/>
          <w:szCs w:val="20"/>
          <w:color w:val="auto"/>
        </w:rPr>
      </w:pPr>
      <w:r>
        <w:rPr>
          <w:rFonts w:ascii="Arial" w:cs="Arial" w:eastAsia="Arial" w:hAnsi="Arial"/>
          <w:sz w:val="18"/>
          <w:szCs w:val="18"/>
          <w:color w:val="auto"/>
        </w:rPr>
        <w:t>As part of its responsibility for oversight of the independent registered public accountants, the audit committee has established a pre-approval policy for the provision of engaging audit and permitted non-audit services provided by the company’s independent registered public accountants. In accordance with this policy, each type of audit, audit-related, tax and other permitted service to be provided by the independent registered public accountants is specifically described and each such service, together with a fee level or budgeted amount for such service, is pre-approved annually by the audit committee. Each such service and budgeted amount is thereafter updated quarterly. Any type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88265</wp:posOffset>
            </wp:positionV>
            <wp:extent cx="405765" cy="24511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212" w:lineRule="exact"/>
        <w:rPr>
          <w:sz w:val="20"/>
          <w:szCs w:val="20"/>
          <w:color w:val="auto"/>
        </w:rPr>
      </w:pPr>
    </w:p>
    <w:tbl>
      <w:tblPr>
        <w:tblLayout w:type="fixed"/>
        <w:tblInd w:w="9140" w:type="dxa"/>
        <w:tblCellMar>
          <w:top w:w="0" w:type="dxa"/>
          <w:left w:w="0" w:type="dxa"/>
          <w:bottom w:w="0" w:type="dxa"/>
          <w:right w:w="0" w:type="dxa"/>
        </w:tblCellMar>
      </w:tblPr>
      <w:tr>
        <w:trPr>
          <w:trHeight w:val="188"/>
        </w:trPr>
        <w:tc>
          <w:tcPr>
            <w:tcW w:w="1680" w:type="dxa"/>
            <w:vAlign w:val="bottom"/>
          </w:tcPr>
          <w:p>
            <w:pPr>
              <w:spacing w:after="0"/>
              <w:rPr>
                <w:sz w:val="20"/>
                <w:szCs w:val="20"/>
                <w:color w:val="auto"/>
              </w:rPr>
            </w:pPr>
            <w:r>
              <w:rPr>
                <w:rFonts w:ascii="Arial" w:cs="Arial" w:eastAsia="Arial" w:hAnsi="Arial"/>
                <w:sz w:val="12"/>
                <w:szCs w:val="12"/>
                <w:b w:val="1"/>
                <w:bCs w:val="1"/>
                <w:color w:val="666666"/>
              </w:rPr>
              <w:t>2018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007549"/>
              </w:rPr>
              <w:t>49</w:t>
            </w:r>
          </w:p>
        </w:tc>
      </w:tr>
    </w:tbl>
    <w:p>
      <w:pPr>
        <w:sectPr>
          <w:pgSz w:w="11900" w:h="16838" w:orient="portrait"/>
          <w:cols w:equalWidth="0" w:num="1">
            <w:col w:w="11140"/>
          </w:cols>
          <w:pgMar w:left="240" w:top="454" w:right="5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007549"/>
        </w:rPr>
        <w:t xml:space="preserve">Proposal 3: Ratification of the Selection of Ernst &amp; Young LLP </w:t>
      </w:r>
      <w:r>
        <w:rPr>
          <w:rFonts w:ascii="Arial" w:cs="Arial" w:eastAsia="Arial" w:hAnsi="Arial"/>
          <w:sz w:val="16"/>
          <w:szCs w:val="16"/>
          <w:b w:val="1"/>
          <w:bCs w:val="1"/>
          <w:color w:val="000000"/>
        </w:rPr>
        <w:t>+ Fee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55245</wp:posOffset>
            </wp:positionV>
            <wp:extent cx="689356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266" w:lineRule="exact"/>
        <w:rPr>
          <w:sz w:val="20"/>
          <w:szCs w:val="20"/>
          <w:color w:val="auto"/>
        </w:rPr>
      </w:pPr>
    </w:p>
    <w:p>
      <w:pPr>
        <w:jc w:val="both"/>
        <w:ind w:left="280"/>
        <w:spacing w:after="0" w:line="233" w:lineRule="auto"/>
        <w:rPr>
          <w:sz w:val="20"/>
          <w:szCs w:val="20"/>
          <w:color w:val="auto"/>
        </w:rPr>
      </w:pPr>
      <w:r>
        <w:rPr>
          <w:rFonts w:ascii="Arial" w:cs="Arial" w:eastAsia="Arial" w:hAnsi="Arial"/>
          <w:sz w:val="18"/>
          <w:szCs w:val="18"/>
          <w:color w:val="auto"/>
        </w:rPr>
        <w:t>permitted service not previously approved by the audit committee must be specifically pre-approved before the service can be provided. For each fiscal year, the audit committee may determine appropriate ratios between categories of services and the total fees paid to the independent registered public accountants. The audit committee has delegated authority to the chairman of the audit committee to approve additional services or an increase in fees for a previously approved service in excess of the budgeted amount for that service. However, any increased fees or additional services so approved must be reported to the audit committee at its next scheduled meeting. In 2017 and 2016, all audit, audit-related, tax and other fees were pre-approved by the audit committee or the chairman of the audit committee. The audit committee has determined that the provision of all services approved in accordance with this policy is not incompatible with the independence of the independent registered public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950595</wp:posOffset>
            </wp:positionH>
            <wp:positionV relativeFrom="paragraph">
              <wp:posOffset>145415</wp:posOffset>
            </wp:positionV>
            <wp:extent cx="557530" cy="5156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57530" cy="515620"/>
                    </a:xfrm>
                    <a:prstGeom prst="rect">
                      <a:avLst/>
                    </a:prstGeom>
                    <a:noFill/>
                  </pic:spPr>
                </pic:pic>
              </a:graphicData>
            </a:graphic>
          </wp:anchor>
        </w:drawing>
      </w:r>
    </w:p>
    <w:p>
      <w:pPr>
        <w:spacing w:after="0" w:line="266" w:lineRule="exact"/>
        <w:rPr>
          <w:sz w:val="20"/>
          <w:szCs w:val="20"/>
          <w:color w:val="auto"/>
        </w:rPr>
      </w:pPr>
    </w:p>
    <w:p>
      <w:pPr>
        <w:jc w:val="both"/>
        <w:ind w:left="2540" w:right="1660"/>
        <w:spacing w:after="0" w:line="247" w:lineRule="auto"/>
        <w:rPr>
          <w:sz w:val="20"/>
          <w:szCs w:val="20"/>
          <w:color w:val="auto"/>
        </w:rPr>
      </w:pPr>
      <w:r>
        <w:rPr>
          <w:rFonts w:ascii="Arial" w:cs="Arial" w:eastAsia="Arial" w:hAnsi="Arial"/>
          <w:sz w:val="18"/>
          <w:szCs w:val="18"/>
          <w:b w:val="1"/>
          <w:bCs w:val="1"/>
          <w:color w:val="007549"/>
        </w:rPr>
        <w:t>The board of directors unanimously recommends that stockholders vote FOR the ratification of the selection of Ernst &amp; Young LLP as independent registered public accountants for the year ending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1820545</wp:posOffset>
            </wp:positionH>
            <wp:positionV relativeFrom="paragraph">
              <wp:posOffset>166370</wp:posOffset>
            </wp:positionV>
            <wp:extent cx="405765" cy="24511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342" w:lineRule="exact"/>
        <w:rPr>
          <w:sz w:val="20"/>
          <w:szCs w:val="20"/>
          <w:color w:val="auto"/>
        </w:rPr>
      </w:pPr>
    </w:p>
    <w:p>
      <w:pPr>
        <w:ind w:left="760" w:hanging="474"/>
        <w:spacing w:after="0"/>
        <w:tabs>
          <w:tab w:leader="none" w:pos="760" w:val="left"/>
        </w:tabs>
        <w:numPr>
          <w:ilvl w:val="0"/>
          <w:numId w:val="81"/>
        </w:numPr>
        <w:rPr>
          <w:rFonts w:ascii="Arial" w:cs="Arial" w:eastAsia="Arial" w:hAnsi="Arial"/>
          <w:sz w:val="14"/>
          <w:szCs w:val="14"/>
          <w:b w:val="1"/>
          <w:bCs w:val="1"/>
          <w:color w:val="007549"/>
        </w:rPr>
      </w:pPr>
      <w:r>
        <w:rPr>
          <w:rFonts w:ascii="Arial" w:cs="Arial" w:eastAsia="Arial" w:hAnsi="Arial"/>
          <w:sz w:val="12"/>
          <w:szCs w:val="12"/>
          <w:b w:val="1"/>
          <w:bCs w:val="1"/>
          <w:color w:val="666666"/>
        </w:rPr>
        <w:t>2018 PROXY STATEMENT</w:t>
      </w:r>
    </w:p>
    <w:p>
      <w:pPr>
        <w:sectPr>
          <w:pgSz w:w="11900" w:h="16838" w:orient="portrait"/>
          <w:cols w:equalWidth="0" w:num="1">
            <w:col w:w="11140"/>
          </w:cols>
          <w:pgMar w:left="240" w:top="454" w:right="5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80"/>
        <w:spacing w:after="0"/>
        <w:rPr>
          <w:sz w:val="20"/>
          <w:szCs w:val="20"/>
          <w:color w:val="auto"/>
        </w:rPr>
      </w:pPr>
      <w:r>
        <w:rPr>
          <w:rFonts w:ascii="Arial" w:cs="Arial" w:eastAsia="Arial" w:hAnsi="Arial"/>
          <w:sz w:val="39"/>
          <w:szCs w:val="39"/>
          <w:color w:val="007549"/>
        </w:rPr>
        <w:t>QUESTIONS AND ANSWERS</w:t>
      </w:r>
    </w:p>
    <w:p>
      <w:pPr>
        <w:spacing w:after="0" w:line="4" w:lineRule="exact"/>
        <w:rPr>
          <w:sz w:val="20"/>
          <w:szCs w:val="20"/>
          <w:color w:val="auto"/>
        </w:rPr>
      </w:pPr>
    </w:p>
    <w:p>
      <w:pPr>
        <w:ind w:left="280"/>
        <w:spacing w:after="0"/>
        <w:rPr>
          <w:sz w:val="20"/>
          <w:szCs w:val="20"/>
          <w:color w:val="auto"/>
        </w:rPr>
      </w:pPr>
      <w:r>
        <w:rPr>
          <w:rFonts w:ascii="Arial" w:cs="Arial" w:eastAsia="Arial" w:hAnsi="Arial"/>
          <w:sz w:val="39"/>
          <w:szCs w:val="39"/>
          <w:color w:val="007549"/>
        </w:rPr>
        <w:t>ABOUT THE ANNUAL MEETING AND VOTING</w:t>
      </w:r>
    </w:p>
    <w:p>
      <w:pPr>
        <w:spacing w:after="0" w:line="182"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333333"/>
        </w:rPr>
        <w:t>Why did I receive these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63500</wp:posOffset>
            </wp:positionV>
            <wp:extent cx="689356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173" w:lineRule="exact"/>
        <w:rPr>
          <w:sz w:val="20"/>
          <w:szCs w:val="20"/>
          <w:color w:val="auto"/>
        </w:rPr>
      </w:pPr>
    </w:p>
    <w:p>
      <w:pPr>
        <w:jc w:val="both"/>
        <w:ind w:left="280"/>
        <w:spacing w:after="0" w:line="233" w:lineRule="auto"/>
        <w:rPr>
          <w:sz w:val="20"/>
          <w:szCs w:val="20"/>
          <w:color w:val="auto"/>
        </w:rPr>
      </w:pPr>
      <w:r>
        <w:rPr>
          <w:rFonts w:ascii="Arial" w:cs="Arial" w:eastAsia="Arial" w:hAnsi="Arial"/>
          <w:sz w:val="18"/>
          <w:szCs w:val="18"/>
          <w:color w:val="auto"/>
        </w:rPr>
        <w:t>You have received these proxy materials because you are a Hess Corporation stockholder, and our board of directors is soliciting your authority, or proxy, to vote your shares at the 2018 annual meeting of stockholders. The proxy materials include our notice of annual meeting of stockholders, proxy statement and 2017 annual report. If you requested printed versions of these materials by mail, these materials also include the proxy card or voting instruction form for the annual meeting. Proxy cards are being solicited on behalf of our board of directors. The proxy materials include detailed information about the matters that will be discussed and voted on at the meeting, and provide updated information about our company that you should consider in order to make an informed decision when voting your shares. The proxy materials are first being furnished to stockholders on or about April 27, 2018.</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proposals are scheduled to be voted on at the annual meeting:</w:t>
      </w:r>
    </w:p>
    <w:p>
      <w:pPr>
        <w:spacing w:after="0" w:line="90" w:lineRule="exact"/>
        <w:rPr>
          <w:sz w:val="20"/>
          <w:szCs w:val="20"/>
          <w:color w:val="auto"/>
        </w:rPr>
      </w:pPr>
    </w:p>
    <w:p>
      <w:pPr>
        <w:ind w:left="600" w:hanging="216"/>
        <w:spacing w:after="0"/>
        <w:tabs>
          <w:tab w:leader="none" w:pos="60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007549"/>
        </w:rPr>
        <w:t>Proposal 1</w:t>
      </w:r>
      <w:r>
        <w:rPr>
          <w:rFonts w:ascii="Arial" w:cs="Arial" w:eastAsia="Arial" w:hAnsi="Arial"/>
          <w:sz w:val="18"/>
          <w:szCs w:val="18"/>
          <w:color w:val="000000"/>
        </w:rPr>
        <w:t>: Election of twelve director nominees;</w:t>
      </w:r>
    </w:p>
    <w:p>
      <w:pPr>
        <w:spacing w:after="0" w:line="99" w:lineRule="exact"/>
        <w:rPr>
          <w:rFonts w:ascii="Arial" w:cs="Arial" w:eastAsia="Arial" w:hAnsi="Arial"/>
          <w:sz w:val="18"/>
          <w:szCs w:val="18"/>
          <w:color w:val="auto"/>
        </w:rPr>
      </w:pPr>
    </w:p>
    <w:p>
      <w:pPr>
        <w:ind w:left="600" w:hanging="216"/>
        <w:spacing w:after="0"/>
        <w:tabs>
          <w:tab w:leader="none" w:pos="60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007549"/>
        </w:rPr>
        <w:t>Proposal 2</w:t>
      </w:r>
      <w:r>
        <w:rPr>
          <w:rFonts w:ascii="Arial" w:cs="Arial" w:eastAsia="Arial" w:hAnsi="Arial"/>
          <w:sz w:val="18"/>
          <w:szCs w:val="18"/>
          <w:color w:val="000000"/>
        </w:rPr>
        <w:t>: Advisory approval of the compensation of our named executive officers; and</w:t>
      </w:r>
    </w:p>
    <w:p>
      <w:pPr>
        <w:spacing w:after="0" w:line="99" w:lineRule="exact"/>
        <w:rPr>
          <w:rFonts w:ascii="Arial" w:cs="Arial" w:eastAsia="Arial" w:hAnsi="Arial"/>
          <w:sz w:val="18"/>
          <w:szCs w:val="18"/>
          <w:color w:val="auto"/>
        </w:rPr>
      </w:pPr>
    </w:p>
    <w:p>
      <w:pPr>
        <w:ind w:left="1660" w:hanging="1276"/>
        <w:spacing w:after="0" w:line="263" w:lineRule="auto"/>
        <w:tabs>
          <w:tab w:leader="none" w:pos="598"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007549"/>
        </w:rPr>
        <w:t>Proposal 3</w:t>
      </w:r>
      <w:r>
        <w:rPr>
          <w:rFonts w:ascii="Arial" w:cs="Arial" w:eastAsia="Arial" w:hAnsi="Arial"/>
          <w:sz w:val="18"/>
          <w:szCs w:val="18"/>
          <w:color w:val="000000"/>
        </w:rPr>
        <w:t>: Ratification of the selection of Ernst &amp; Young LLP as our independent registered accountants for the fiscal year ending</w:t>
      </w:r>
      <w:r>
        <w:rPr>
          <w:rFonts w:ascii="Arial" w:cs="Arial" w:eastAsia="Arial" w:hAnsi="Arial"/>
          <w:sz w:val="18"/>
          <w:szCs w:val="18"/>
          <w:b w:val="1"/>
          <w:bCs w:val="1"/>
          <w:color w:val="007549"/>
        </w:rPr>
        <w:t xml:space="preserve"> </w:t>
      </w:r>
      <w:r>
        <w:rPr>
          <w:rFonts w:ascii="Arial" w:cs="Arial" w:eastAsia="Arial" w:hAnsi="Arial"/>
          <w:sz w:val="18"/>
          <w:szCs w:val="18"/>
          <w:color w:val="000000"/>
        </w:rPr>
        <w:t>December 31, 2018.</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333333"/>
        </w:rPr>
        <w:t>Can I access the proxy materials on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63500</wp:posOffset>
            </wp:positionV>
            <wp:extent cx="689356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159" w:lineRule="exact"/>
        <w:rPr>
          <w:sz w:val="20"/>
          <w:szCs w:val="20"/>
          <w:color w:val="auto"/>
        </w:rPr>
      </w:pPr>
    </w:p>
    <w:p>
      <w:pPr>
        <w:jc w:val="both"/>
        <w:ind w:left="280"/>
        <w:spacing w:after="0" w:line="238" w:lineRule="auto"/>
        <w:rPr>
          <w:sz w:val="20"/>
          <w:szCs w:val="20"/>
          <w:color w:val="auto"/>
        </w:rPr>
      </w:pPr>
      <w:r>
        <w:rPr>
          <w:rFonts w:ascii="Arial" w:cs="Arial" w:eastAsia="Arial" w:hAnsi="Arial"/>
          <w:sz w:val="18"/>
          <w:szCs w:val="18"/>
          <w:color w:val="auto"/>
        </w:rPr>
        <w:t xml:space="preserve">Yes. The company’s notice of annual meeting, proxy statement and 2017 annual report are available at </w:t>
      </w:r>
      <w:r>
        <w:rPr>
          <w:rFonts w:ascii="Arial" w:cs="Arial" w:eastAsia="Arial" w:hAnsi="Arial"/>
          <w:sz w:val="18"/>
          <w:szCs w:val="18"/>
          <w:b w:val="1"/>
          <w:bCs w:val="1"/>
          <w:color w:val="007549"/>
        </w:rPr>
        <w:t>http://www.envisionreports.com/HES</w:t>
      </w:r>
      <w:r>
        <w:rPr>
          <w:rFonts w:ascii="Arial" w:cs="Arial" w:eastAsia="Arial" w:hAnsi="Arial"/>
          <w:sz w:val="18"/>
          <w:szCs w:val="18"/>
          <w:color w:val="000000"/>
        </w:rPr>
        <w:t>.</w:t>
      </w:r>
    </w:p>
    <w:p>
      <w:pPr>
        <w:spacing w:after="0" w:line="175" w:lineRule="exact"/>
        <w:rPr>
          <w:sz w:val="20"/>
          <w:szCs w:val="20"/>
          <w:color w:val="auto"/>
        </w:rPr>
      </w:pPr>
    </w:p>
    <w:p>
      <w:pPr>
        <w:jc w:val="both"/>
        <w:ind w:left="280"/>
        <w:spacing w:after="0" w:line="235" w:lineRule="auto"/>
        <w:rPr>
          <w:sz w:val="20"/>
          <w:szCs w:val="20"/>
          <w:color w:val="auto"/>
        </w:rPr>
      </w:pPr>
      <w:r>
        <w:rPr>
          <w:rFonts w:ascii="Arial" w:cs="Arial" w:eastAsia="Arial" w:hAnsi="Arial"/>
          <w:sz w:val="18"/>
          <w:szCs w:val="18"/>
          <w:color w:val="auto"/>
        </w:rPr>
        <w:t>In accordance with SEC rules, we are making our proxy materials available to stockholders over the internet. On or about April 27, 2018, we mailed a Notice of Internet Availability of Proxy Materials to our stockholders. The Notice contains instructions on how to access this proxy statement and our 2017 annual report and submit a proxy over the internet. If you received a Notice by mail, you will not receive a paper copy of the proxy materials unless you request such materials by following the instructions contained in the Notice.</w:t>
      </w:r>
    </w:p>
    <w:p>
      <w:pPr>
        <w:spacing w:after="0" w:line="161" w:lineRule="exact"/>
        <w:rPr>
          <w:sz w:val="20"/>
          <w:szCs w:val="20"/>
          <w:color w:val="auto"/>
        </w:rPr>
      </w:pPr>
    </w:p>
    <w:p>
      <w:pPr>
        <w:jc w:val="both"/>
        <w:ind w:left="280"/>
        <w:spacing w:after="0" w:line="234" w:lineRule="auto"/>
        <w:rPr>
          <w:sz w:val="20"/>
          <w:szCs w:val="20"/>
          <w:color w:val="auto"/>
        </w:rPr>
      </w:pPr>
      <w:r>
        <w:rPr>
          <w:rFonts w:ascii="Arial" w:cs="Arial" w:eastAsia="Arial" w:hAnsi="Arial"/>
          <w:sz w:val="18"/>
          <w:szCs w:val="18"/>
          <w:color w:val="auto"/>
        </w:rPr>
        <w:t>The Notice also includes instructions about how to request delivery of future proxy materials electronically by e-mail, and we encourage you to do so. Choosing to receive future proxy materials by e-mail will save us the cost of printing and mailing the materials to you and will reduce the impact of our annual meeting on the environment. If you choose to receive future proxy materials by e-mail, you will receive an e-mail prior to the next stockholder meeting containing links to the proxy materials and the proxy voting website. Your election to receive proxy materials by e-mail will remain in effect until you change it.</w:t>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333333"/>
        </w:rPr>
        <w:t>How do I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63500</wp:posOffset>
            </wp:positionV>
            <wp:extent cx="689356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159" w:lineRule="exact"/>
        <w:rPr>
          <w:sz w:val="20"/>
          <w:szCs w:val="20"/>
          <w:color w:val="auto"/>
        </w:rPr>
      </w:pPr>
    </w:p>
    <w:p>
      <w:pPr>
        <w:jc w:val="both"/>
        <w:ind w:left="280"/>
        <w:spacing w:after="0" w:line="232" w:lineRule="auto"/>
        <w:rPr>
          <w:sz w:val="20"/>
          <w:szCs w:val="20"/>
          <w:color w:val="auto"/>
        </w:rPr>
      </w:pPr>
      <w:r>
        <w:rPr>
          <w:rFonts w:ascii="Arial" w:cs="Arial" w:eastAsia="Arial" w:hAnsi="Arial"/>
          <w:sz w:val="18"/>
          <w:szCs w:val="18"/>
          <w:color w:val="auto"/>
        </w:rPr>
        <w:t xml:space="preserve">The annual meeting will be held at Hess Corporation, 1501 McKinney Street, Houston, Texas 77010 on Wednesday, June 6, 2018 at 9:00 a.m., local time. When you arrive, signs will direct you to the appropriate room. Please note that the doors to the meeting room will not be open until 8:00 a.m. You should be prepared to present valid government-issued photo identification, such as a driver’s license or passport, for admittance. In addition, if you are a stockholder of record, your name will be verified against the list of stockholders of record prior to admittance to the annual meeting. If you are a beneficial owner, you must provide proof of beneficial ownership, such as your account statement showing that you own our stock, a copy of the voting instruction form provided by your broker, trustee or nominee, or other similar evidence of ownership. If you do not provide valid government-issued photo identification and comply with the other procedures outlined above, you will not be admitted to the annual meeting. Directions to attend the annual meeting can be found at </w:t>
      </w:r>
      <w:r>
        <w:rPr>
          <w:rFonts w:ascii="Arial" w:cs="Arial" w:eastAsia="Arial" w:hAnsi="Arial"/>
          <w:sz w:val="18"/>
          <w:szCs w:val="18"/>
          <w:b w:val="1"/>
          <w:bCs w:val="1"/>
          <w:color w:val="007549"/>
        </w:rPr>
        <w:t>www.hess.com/company/hess-offices</w:t>
      </w:r>
      <w:r>
        <w:rPr>
          <w:rFonts w:ascii="Arial" w:cs="Arial" w:eastAsia="Arial" w:hAnsi="Arial"/>
          <w:sz w:val="18"/>
          <w:szCs w:val="18"/>
          <w:color w:val="000000"/>
        </w:rPr>
        <w:t>. You do not need to attend the annual meeting to vote. Even if you plan to attend the annual</w:t>
      </w:r>
      <w:r>
        <w:rPr>
          <w:rFonts w:ascii="Arial" w:cs="Arial" w:eastAsia="Arial" w:hAnsi="Arial"/>
          <w:sz w:val="18"/>
          <w:szCs w:val="18"/>
          <w:b w:val="1"/>
          <w:bCs w:val="1"/>
          <w:color w:val="007549"/>
        </w:rPr>
        <w:t xml:space="preserve"> </w:t>
      </w:r>
      <w:r>
        <w:rPr>
          <w:rFonts w:ascii="Arial" w:cs="Arial" w:eastAsia="Arial" w:hAnsi="Arial"/>
          <w:sz w:val="18"/>
          <w:szCs w:val="18"/>
          <w:color w:val="000000"/>
        </w:rPr>
        <w:t>meeting, please submit your vote in advance as instructed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90170</wp:posOffset>
            </wp:positionV>
            <wp:extent cx="405765" cy="24511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215" w:lineRule="exact"/>
        <w:rPr>
          <w:sz w:val="20"/>
          <w:szCs w:val="20"/>
          <w:color w:val="auto"/>
        </w:rPr>
      </w:pPr>
    </w:p>
    <w:tbl>
      <w:tblPr>
        <w:tblLayout w:type="fixed"/>
        <w:tblInd w:w="9140" w:type="dxa"/>
        <w:tblCellMar>
          <w:top w:w="0" w:type="dxa"/>
          <w:left w:w="0" w:type="dxa"/>
          <w:bottom w:w="0" w:type="dxa"/>
          <w:right w:w="0" w:type="dxa"/>
        </w:tblCellMar>
      </w:tblPr>
      <w:tr>
        <w:trPr>
          <w:trHeight w:val="188"/>
        </w:trPr>
        <w:tc>
          <w:tcPr>
            <w:tcW w:w="1680" w:type="dxa"/>
            <w:vAlign w:val="bottom"/>
          </w:tcPr>
          <w:p>
            <w:pPr>
              <w:spacing w:after="0"/>
              <w:rPr>
                <w:sz w:val="20"/>
                <w:szCs w:val="20"/>
                <w:color w:val="auto"/>
              </w:rPr>
            </w:pPr>
            <w:r>
              <w:rPr>
                <w:rFonts w:ascii="Arial" w:cs="Arial" w:eastAsia="Arial" w:hAnsi="Arial"/>
                <w:sz w:val="12"/>
                <w:szCs w:val="12"/>
                <w:b w:val="1"/>
                <w:bCs w:val="1"/>
                <w:color w:val="666666"/>
              </w:rPr>
              <w:t>2018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007549"/>
              </w:rPr>
              <w:t>51</w:t>
            </w:r>
          </w:p>
        </w:tc>
      </w:tr>
    </w:tbl>
    <w:p>
      <w:pPr>
        <w:sectPr>
          <w:pgSz w:w="11900" w:h="16838" w:orient="portrait"/>
          <w:cols w:equalWidth="0" w:num="1">
            <w:col w:w="11140"/>
          </w:cols>
          <w:pgMar w:left="240" w:top="454" w:right="5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007549"/>
        </w:rPr>
        <w:t>Questions and Answers About the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55245</wp:posOffset>
            </wp:positionV>
            <wp:extent cx="689356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238"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333333"/>
        </w:rPr>
        <w:t>What is the quorum requirement for holding the 2018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63500</wp:posOffset>
            </wp:positionV>
            <wp:extent cx="689356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159" w:lineRule="exact"/>
        <w:rPr>
          <w:sz w:val="20"/>
          <w:szCs w:val="20"/>
          <w:color w:val="auto"/>
        </w:rPr>
      </w:pPr>
    </w:p>
    <w:p>
      <w:pPr>
        <w:jc w:val="both"/>
        <w:ind w:left="280"/>
        <w:spacing w:after="0" w:line="236" w:lineRule="auto"/>
        <w:rPr>
          <w:sz w:val="20"/>
          <w:szCs w:val="20"/>
          <w:color w:val="auto"/>
        </w:rPr>
      </w:pPr>
      <w:r>
        <w:rPr>
          <w:rFonts w:ascii="Arial" w:cs="Arial" w:eastAsia="Arial" w:hAnsi="Arial"/>
          <w:sz w:val="18"/>
          <w:szCs w:val="18"/>
          <w:color w:val="auto"/>
        </w:rPr>
        <w:t>A majority of the outstanding shares of common stock, present in person or represented by proxy, will constitute a quorum at the annual meeting. Abstentions and broker non-votes will be counted as shares present for purposes of determining the presence of a quorum for the transaction of business.</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333333"/>
        </w:rPr>
        <w:t>Who can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63500</wp:posOffset>
            </wp:positionV>
            <wp:extent cx="689356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173" w:lineRule="exact"/>
        <w:rPr>
          <w:sz w:val="20"/>
          <w:szCs w:val="20"/>
          <w:color w:val="auto"/>
        </w:rPr>
      </w:pPr>
    </w:p>
    <w:p>
      <w:pPr>
        <w:jc w:val="both"/>
        <w:ind w:left="280"/>
        <w:spacing w:after="0" w:line="235" w:lineRule="auto"/>
        <w:rPr>
          <w:sz w:val="20"/>
          <w:szCs w:val="20"/>
          <w:color w:val="auto"/>
        </w:rPr>
      </w:pPr>
      <w:r>
        <w:rPr>
          <w:rFonts w:ascii="Arial" w:cs="Arial" w:eastAsia="Arial" w:hAnsi="Arial"/>
          <w:sz w:val="18"/>
          <w:szCs w:val="18"/>
          <w:color w:val="auto"/>
        </w:rPr>
        <w:t>Holders of record of common stock at the close of business on April 16, 2018 will be entitled to vote at the annual meeting. Each share of common stock will be entitled to one vote on all matters properly brought before the meeting. As of April 16, 2018, there were 300,112,892 shares of common stock outstanding and entitled to vote at the annual meeting. There are no other voting securities of the company outstanding.</w:t>
      </w:r>
    </w:p>
    <w:p>
      <w:pPr>
        <w:spacing w:after="0" w:line="173" w:lineRule="exact"/>
        <w:rPr>
          <w:sz w:val="20"/>
          <w:szCs w:val="20"/>
          <w:color w:val="auto"/>
        </w:rPr>
      </w:pPr>
    </w:p>
    <w:p>
      <w:pPr>
        <w:ind w:left="280" w:right="580"/>
        <w:spacing w:after="0" w:line="278" w:lineRule="auto"/>
        <w:rPr>
          <w:sz w:val="20"/>
          <w:szCs w:val="20"/>
          <w:color w:val="auto"/>
        </w:rPr>
      </w:pPr>
      <w:r>
        <w:rPr>
          <w:rFonts w:ascii="Arial" w:cs="Arial" w:eastAsia="Arial" w:hAnsi="Arial"/>
          <w:sz w:val="25"/>
          <w:szCs w:val="25"/>
          <w:b w:val="1"/>
          <w:bCs w:val="1"/>
          <w:color w:val="333333"/>
        </w:rPr>
        <w:t>What is the difference between holding shares as a holder of record and as a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8890</wp:posOffset>
            </wp:positionV>
            <wp:extent cx="689356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73" w:lineRule="exact"/>
        <w:rPr>
          <w:sz w:val="20"/>
          <w:szCs w:val="20"/>
          <w:color w:val="auto"/>
        </w:rPr>
      </w:pPr>
    </w:p>
    <w:p>
      <w:pPr>
        <w:jc w:val="both"/>
        <w:ind w:left="280"/>
        <w:spacing w:after="0" w:line="232" w:lineRule="auto"/>
        <w:rPr>
          <w:sz w:val="20"/>
          <w:szCs w:val="20"/>
          <w:color w:val="auto"/>
        </w:rPr>
      </w:pPr>
      <w:r>
        <w:rPr>
          <w:rFonts w:ascii="Arial" w:cs="Arial" w:eastAsia="Arial" w:hAnsi="Arial"/>
          <w:sz w:val="18"/>
          <w:szCs w:val="18"/>
          <w:color w:val="auto"/>
        </w:rPr>
        <w:t xml:space="preserve">If at the close of business on April 16, 2018, the record date for the annual meeting, your shares were held in an account at a brokerage firm, bank, dealer, or other similar organization or other nominee, then you are the beneficial owner of shares held in “street name” and the proxy materials, as applicable, are being forwarded to you by that organization. The organization holding your account is considered the stockholder of record for purposes of voting at the annual meeting. As a beneficial owner, you have the right to direct that organization on how to vote the shares in your account. If that organization is not given specific direction, shares held in the name of that organization may not be voted and will not be considered as present and entitled to vote on any matter to be considered at the annual meeting, except with respect to the ratification of the company’s independent auditors. </w:t>
      </w:r>
      <w:r>
        <w:rPr>
          <w:rFonts w:ascii="Arial" w:cs="Arial" w:eastAsia="Arial" w:hAnsi="Arial"/>
          <w:sz w:val="18"/>
          <w:szCs w:val="18"/>
          <w:b w:val="1"/>
          <w:bCs w:val="1"/>
          <w:color w:val="auto"/>
        </w:rPr>
        <w:t>Brokers are not permitted to vote your shares for the election of</w:t>
      </w:r>
      <w:r>
        <w:rPr>
          <w:rFonts w:ascii="Arial" w:cs="Arial" w:eastAsia="Arial" w:hAnsi="Arial"/>
          <w:sz w:val="18"/>
          <w:szCs w:val="18"/>
          <w:color w:val="auto"/>
        </w:rPr>
        <w:t xml:space="preserve"> </w:t>
      </w:r>
      <w:r>
        <w:rPr>
          <w:rFonts w:ascii="Arial" w:cs="Arial" w:eastAsia="Arial" w:hAnsi="Arial"/>
          <w:sz w:val="18"/>
          <w:szCs w:val="18"/>
          <w:b w:val="1"/>
          <w:bCs w:val="1"/>
          <w:color w:val="auto"/>
        </w:rPr>
        <w:t>directors or for the advisory vote on executive compensation without your instructions as to how to vote. Please instruct your broker how to vote your shares using the voting instruction form provided by your broker. The voting instruction forms provided by your bank, broker or other nominee will also include information about how to vote your shares over the internet or telephonically, if such options are available. Please return your completed voting instruction form to your broker and contact the person responsible for your account or vote by internet or telephone so that your vote can be counted.</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333333"/>
        </w:rPr>
        <w:t>How do I vote my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63500</wp:posOffset>
            </wp:positionV>
            <wp:extent cx="689356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159" w:lineRule="exact"/>
        <w:rPr>
          <w:sz w:val="20"/>
          <w:szCs w:val="20"/>
          <w:color w:val="auto"/>
        </w:rPr>
      </w:pPr>
    </w:p>
    <w:p>
      <w:pPr>
        <w:jc w:val="both"/>
        <w:ind w:left="280"/>
        <w:spacing w:after="0" w:line="236" w:lineRule="auto"/>
        <w:rPr>
          <w:sz w:val="20"/>
          <w:szCs w:val="20"/>
          <w:color w:val="auto"/>
        </w:rPr>
      </w:pPr>
      <w:r>
        <w:rPr>
          <w:rFonts w:ascii="Arial" w:cs="Arial" w:eastAsia="Arial" w:hAnsi="Arial"/>
          <w:sz w:val="18"/>
          <w:szCs w:val="18"/>
          <w:color w:val="auto"/>
        </w:rPr>
        <w:t>You may vote your shares using one of the following methods (please also see the information provided above concerning the difference between holding shares as a holder of record and holding shares beneficially through a bank, broker or other nominee—beneficial holders should follow the voting instructions provided by such nominee):</w:t>
      </w:r>
    </w:p>
    <w:p>
      <w:pPr>
        <w:sectPr>
          <w:pgSz w:w="11900" w:h="16838" w:orient="portrait"/>
          <w:cols w:equalWidth="0" w:num="1">
            <w:col w:w="11140"/>
          </w:cols>
          <w:pgMar w:left="240" w:top="454" w:right="519" w:bottom="1440" w:gutter="0" w:footer="0" w:header="0"/>
        </w:sectPr>
      </w:pPr>
    </w:p>
    <w:p>
      <w:pPr>
        <w:spacing w:after="0" w:line="206"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007549"/>
        </w:rPr>
        <w:t>Over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-116205</wp:posOffset>
            </wp:positionV>
            <wp:extent cx="768985" cy="6165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68985" cy="61658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-116205</wp:posOffset>
            </wp:positionV>
            <wp:extent cx="751840" cy="60833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51840" cy="608330"/>
                    </a:xfrm>
                    <a:prstGeom prst="rect">
                      <a:avLst/>
                    </a:prstGeom>
                    <a:noFill/>
                  </pic:spPr>
                </pic:pic>
              </a:graphicData>
            </a:graphic>
          </wp:anchor>
        </w:drawing>
      </w:r>
    </w:p>
    <w:p>
      <w:pPr>
        <w:jc w:val="both"/>
        <w:ind w:left="2000" w:right="1400"/>
        <w:spacing w:after="0" w:line="233" w:lineRule="auto"/>
        <w:rPr>
          <w:sz w:val="20"/>
          <w:szCs w:val="20"/>
          <w:color w:val="auto"/>
        </w:rPr>
      </w:pPr>
      <w:r>
        <w:rPr>
          <w:rFonts w:ascii="Arial" w:cs="Arial" w:eastAsia="Arial" w:hAnsi="Arial"/>
          <w:sz w:val="18"/>
          <w:szCs w:val="18"/>
          <w:color w:val="auto"/>
        </w:rPr>
        <w:t>If you have access to the internet, you can submit your proxy online by following the instructions included on your proxy card or Notice (or voting instruction form in the case of beneficial holders for whom internet voting is available) for voting over the internet.</w:t>
      </w:r>
    </w:p>
    <w:p>
      <w:pPr>
        <w:spacing w:after="0" w:line="200" w:lineRule="exact"/>
        <w:rPr>
          <w:sz w:val="20"/>
          <w:szCs w:val="20"/>
          <w:color w:val="auto"/>
        </w:rPr>
      </w:pPr>
    </w:p>
    <w:p>
      <w:pPr>
        <w:spacing w:after="0" w:line="213" w:lineRule="exact"/>
        <w:rPr>
          <w:sz w:val="20"/>
          <w:szCs w:val="20"/>
          <w:color w:val="auto"/>
        </w:rPr>
      </w:pPr>
    </w:p>
    <w:p>
      <w:pPr>
        <w:ind w:left="2000"/>
        <w:spacing w:after="0"/>
        <w:tabs>
          <w:tab w:leader="none" w:pos="5640" w:val="left"/>
        </w:tabs>
        <w:rPr>
          <w:sz w:val="20"/>
          <w:szCs w:val="20"/>
          <w:color w:val="auto"/>
        </w:rPr>
      </w:pPr>
      <w:r>
        <w:rPr>
          <w:rFonts w:ascii="Arial" w:cs="Arial" w:eastAsia="Arial" w:hAnsi="Arial"/>
          <w:sz w:val="18"/>
          <w:szCs w:val="18"/>
          <w:b w:val="1"/>
          <w:bCs w:val="1"/>
          <w:color w:val="007549"/>
        </w:rPr>
        <w:t>By Mail</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-116205</wp:posOffset>
            </wp:positionV>
            <wp:extent cx="810895" cy="5911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10895" cy="59118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-116205</wp:posOffset>
            </wp:positionV>
            <wp:extent cx="794385" cy="60007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94385" cy="600075"/>
                    </a:xfrm>
                    <a:prstGeom prst="rect">
                      <a:avLst/>
                    </a:prstGeom>
                    <a:noFill/>
                  </pic:spPr>
                </pic:pic>
              </a:graphicData>
            </a:graphic>
          </wp:anchor>
        </w:drawing>
      </w:r>
    </w:p>
    <w:p>
      <w:pPr>
        <w:ind w:left="2000"/>
        <w:spacing w:after="0"/>
        <w:rPr>
          <w:sz w:val="20"/>
          <w:szCs w:val="20"/>
          <w:color w:val="auto"/>
        </w:rPr>
      </w:pPr>
      <w:r>
        <w:rPr>
          <w:rFonts w:ascii="Arial" w:cs="Arial" w:eastAsia="Arial" w:hAnsi="Arial"/>
          <w:sz w:val="18"/>
          <w:szCs w:val="18"/>
          <w:color w:val="auto"/>
        </w:rPr>
        <w:t>You may vote your shares by completing,</w:t>
      </w:r>
    </w:p>
    <w:p>
      <w:pPr>
        <w:ind w:left="2000"/>
        <w:spacing w:after="0" w:line="231" w:lineRule="auto"/>
        <w:rPr>
          <w:sz w:val="20"/>
          <w:szCs w:val="20"/>
          <w:color w:val="auto"/>
        </w:rPr>
      </w:pPr>
      <w:r>
        <w:rPr>
          <w:rFonts w:ascii="Arial" w:cs="Arial" w:eastAsia="Arial" w:hAnsi="Arial"/>
          <w:sz w:val="18"/>
          <w:szCs w:val="18"/>
          <w:color w:val="auto"/>
        </w:rPr>
        <w:t>signing and mailing the proxy card included</w:t>
      </w:r>
    </w:p>
    <w:p>
      <w:pPr>
        <w:ind w:left="2000"/>
        <w:spacing w:after="0"/>
        <w:tabs>
          <w:tab w:leader="none" w:pos="2500" w:val="left"/>
          <w:tab w:leader="none" w:pos="3040" w:val="left"/>
          <w:tab w:leader="none" w:pos="3680" w:val="left"/>
          <w:tab w:leader="none" w:pos="4580" w:val="left"/>
          <w:tab w:leader="none" w:pos="5000" w:val="left"/>
        </w:tabs>
        <w:rPr>
          <w:sz w:val="20"/>
          <w:szCs w:val="20"/>
          <w:color w:val="auto"/>
        </w:rPr>
      </w:pPr>
      <w:r>
        <w:rPr>
          <w:rFonts w:ascii="Arial" w:cs="Arial" w:eastAsia="Arial" w:hAnsi="Arial"/>
          <w:sz w:val="18"/>
          <w:szCs w:val="18"/>
          <w:color w:val="auto"/>
        </w:rPr>
        <w:t>with</w:t>
        <w:tab/>
        <w:t>your</w:t>
        <w:tab/>
        <w:t>proxy</w:t>
        <w:tab/>
        <w:t>materials</w:t>
        <w:tab/>
        <w:t>(or</w:t>
      </w:r>
      <w:r>
        <w:rPr>
          <w:sz w:val="20"/>
          <w:szCs w:val="20"/>
          <w:color w:val="auto"/>
        </w:rPr>
        <w:tab/>
      </w:r>
      <w:r>
        <w:rPr>
          <w:rFonts w:ascii="Arial" w:cs="Arial" w:eastAsia="Arial" w:hAnsi="Arial"/>
          <w:sz w:val="17"/>
          <w:szCs w:val="17"/>
          <w:color w:val="auto"/>
        </w:rPr>
        <w:t>voting</w:t>
      </w:r>
    </w:p>
    <w:p>
      <w:pPr>
        <w:ind w:left="2000"/>
        <w:spacing w:after="0" w:line="232" w:lineRule="auto"/>
        <w:rPr>
          <w:sz w:val="20"/>
          <w:szCs w:val="20"/>
          <w:color w:val="auto"/>
        </w:rPr>
      </w:pPr>
      <w:r>
        <w:rPr>
          <w:rFonts w:ascii="Arial" w:cs="Arial" w:eastAsia="Arial" w:hAnsi="Arial"/>
          <w:sz w:val="18"/>
          <w:szCs w:val="18"/>
          <w:color w:val="auto"/>
        </w:rPr>
        <w:t>instruction form in the case of beneficial</w:t>
      </w:r>
    </w:p>
    <w:p>
      <w:pPr>
        <w:ind w:left="2000"/>
        <w:spacing w:after="0" w:line="231" w:lineRule="auto"/>
        <w:rPr>
          <w:sz w:val="20"/>
          <w:szCs w:val="20"/>
          <w:color w:val="auto"/>
        </w:rPr>
      </w:pPr>
      <w:r>
        <w:rPr>
          <w:rFonts w:ascii="Arial" w:cs="Arial" w:eastAsia="Arial" w:hAnsi="Arial"/>
          <w:sz w:val="18"/>
          <w:szCs w:val="18"/>
          <w:color w:val="auto"/>
        </w:rPr>
        <w:t>holders). Please refer to your proxy card or</w:t>
      </w:r>
    </w:p>
    <w:p>
      <w:pPr>
        <w:ind w:left="2000"/>
        <w:spacing w:after="0" w:line="231" w:lineRule="auto"/>
        <w:rPr>
          <w:sz w:val="20"/>
          <w:szCs w:val="20"/>
          <w:color w:val="auto"/>
        </w:rPr>
      </w:pPr>
      <w:r>
        <w:rPr>
          <w:rFonts w:ascii="Arial" w:cs="Arial" w:eastAsia="Arial" w:hAnsi="Arial"/>
          <w:sz w:val="18"/>
          <w:szCs w:val="18"/>
          <w:color w:val="auto"/>
        </w:rPr>
        <w:t>voting instruction form for instructions on</w:t>
      </w:r>
    </w:p>
    <w:p>
      <w:pPr>
        <w:spacing w:after="0" w:line="1"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voting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1820545</wp:posOffset>
            </wp:positionH>
            <wp:positionV relativeFrom="paragraph">
              <wp:posOffset>88900</wp:posOffset>
            </wp:positionV>
            <wp:extent cx="405765" cy="24511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07549"/>
        </w:rPr>
        <w:t>By Telephone</w:t>
      </w:r>
    </w:p>
    <w:p>
      <w:pPr>
        <w:spacing w:after="0" w:line="15"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You can vote by calling a toll-free telephone number listed on the proxy card (or voting instruction form in the case of beneficial holders for whom telephone voting is available). Please refer to your proxy card or voting instruction form for instructions on voting by phone.</w:t>
      </w:r>
    </w:p>
    <w:p>
      <w:pPr>
        <w:spacing w:after="0" w:line="200" w:lineRule="exact"/>
        <w:rPr>
          <w:sz w:val="20"/>
          <w:szCs w:val="20"/>
          <w:color w:val="auto"/>
        </w:rPr>
      </w:pPr>
    </w:p>
    <w:p>
      <w:pPr>
        <w:spacing w:after="0" w:line="221" w:lineRule="exact"/>
        <w:rPr>
          <w:sz w:val="20"/>
          <w:szCs w:val="20"/>
          <w:color w:val="auto"/>
        </w:rPr>
      </w:pPr>
    </w:p>
    <w:p>
      <w:pPr>
        <w:spacing w:after="0" w:line="236" w:lineRule="auto"/>
        <w:rPr>
          <w:sz w:val="20"/>
          <w:szCs w:val="20"/>
          <w:color w:val="auto"/>
        </w:rPr>
      </w:pPr>
      <w:r>
        <w:rPr>
          <w:rFonts w:ascii="Arial" w:cs="Arial" w:eastAsia="Arial" w:hAnsi="Arial"/>
          <w:sz w:val="18"/>
          <w:szCs w:val="18"/>
          <w:b w:val="1"/>
          <w:bCs w:val="1"/>
          <w:color w:val="007549"/>
        </w:rPr>
        <w:t xml:space="preserve">In Person at the Annual Meeting </w:t>
      </w:r>
      <w:r>
        <w:rPr>
          <w:rFonts w:ascii="Arial" w:cs="Arial" w:eastAsia="Arial" w:hAnsi="Arial"/>
          <w:sz w:val="18"/>
          <w:szCs w:val="18"/>
          <w:color w:val="000000"/>
        </w:rPr>
        <w:t>Stockholders are invited to attend the annual meeting and vote in person at the annual meeting. If you are a beneficial owner of shares you must obtain a legal proxy from the bank, broker or other holder of record of your shares to be entitled to vote those shares in person at the meeting.</w:t>
      </w:r>
    </w:p>
    <w:p>
      <w:pPr>
        <w:spacing w:after="0" w:line="200" w:lineRule="exact"/>
        <w:rPr>
          <w:sz w:val="20"/>
          <w:szCs w:val="20"/>
          <w:color w:val="auto"/>
        </w:rPr>
      </w:pPr>
    </w:p>
    <w:p>
      <w:pPr>
        <w:sectPr>
          <w:pgSz w:w="11900" w:h="16838" w:orient="portrait"/>
          <w:cols w:equalWidth="0" w:num="2">
            <w:col w:w="6900" w:space="720"/>
            <w:col w:w="3520"/>
          </w:cols>
          <w:pgMar w:left="240" w:top="454" w:right="519" w:bottom="1440" w:gutter="0" w:footer="0" w:header="0"/>
          <w:type w:val="continuous"/>
        </w:sectPr>
      </w:pPr>
    </w:p>
    <w:p>
      <w:pPr>
        <w:spacing w:after="0" w:line="37" w:lineRule="exact"/>
        <w:rPr>
          <w:sz w:val="20"/>
          <w:szCs w:val="20"/>
          <w:color w:val="auto"/>
        </w:rPr>
      </w:pPr>
    </w:p>
    <w:p>
      <w:pPr>
        <w:ind w:left="760" w:hanging="474"/>
        <w:spacing w:after="0"/>
        <w:tabs>
          <w:tab w:leader="none" w:pos="760" w:val="left"/>
        </w:tabs>
        <w:numPr>
          <w:ilvl w:val="0"/>
          <w:numId w:val="83"/>
        </w:numPr>
        <w:rPr>
          <w:rFonts w:ascii="Arial" w:cs="Arial" w:eastAsia="Arial" w:hAnsi="Arial"/>
          <w:sz w:val="14"/>
          <w:szCs w:val="14"/>
          <w:b w:val="1"/>
          <w:bCs w:val="1"/>
          <w:color w:val="007549"/>
        </w:rPr>
      </w:pPr>
      <w:r>
        <w:rPr>
          <w:rFonts w:ascii="Arial" w:cs="Arial" w:eastAsia="Arial" w:hAnsi="Arial"/>
          <w:sz w:val="12"/>
          <w:szCs w:val="12"/>
          <w:b w:val="1"/>
          <w:bCs w:val="1"/>
          <w:color w:val="666666"/>
        </w:rPr>
        <w:t>2018 PROXY STATEMENT</w:t>
      </w:r>
    </w:p>
    <w:p>
      <w:pPr>
        <w:sectPr>
          <w:pgSz w:w="11900" w:h="16838" w:orient="portrait"/>
          <w:cols w:equalWidth="0" w:num="1">
            <w:col w:w="11140"/>
          </w:cols>
          <w:pgMar w:left="240" w:top="454" w:right="51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7549"/>
        </w:rPr>
        <w:t>Questions and Answers About the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55245</wp:posOffset>
            </wp:positionV>
            <wp:extent cx="689356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266" w:lineRule="exact"/>
        <w:rPr>
          <w:sz w:val="20"/>
          <w:szCs w:val="20"/>
          <w:color w:val="auto"/>
        </w:rPr>
      </w:pPr>
    </w:p>
    <w:p>
      <w:pPr>
        <w:jc w:val="both"/>
        <w:ind w:left="280"/>
        <w:spacing w:after="0" w:line="236" w:lineRule="auto"/>
        <w:rPr>
          <w:sz w:val="20"/>
          <w:szCs w:val="20"/>
          <w:color w:val="auto"/>
        </w:rPr>
      </w:pPr>
      <w:r>
        <w:rPr>
          <w:rFonts w:ascii="Arial" w:cs="Arial" w:eastAsia="Arial" w:hAnsi="Arial"/>
          <w:sz w:val="18"/>
          <w:szCs w:val="18"/>
          <w:color w:val="auto"/>
        </w:rPr>
        <w:t>A control number, located on the instruction sheet attached to the proxy card or Notice, is designated to verify your identity and allow you to vote your shares and confirm that your voting instructions have been recorded properly. If you vote via the internet or by telephone, there is no need to return a signed proxy card. However, you may still vote by proxy by using the proxy card.</w:t>
      </w:r>
    </w:p>
    <w:p>
      <w:pPr>
        <w:spacing w:after="0" w:line="161" w:lineRule="exact"/>
        <w:rPr>
          <w:sz w:val="20"/>
          <w:szCs w:val="20"/>
          <w:color w:val="auto"/>
        </w:rPr>
      </w:pPr>
    </w:p>
    <w:p>
      <w:pPr>
        <w:jc w:val="both"/>
        <w:ind w:left="280"/>
        <w:spacing w:after="0" w:line="236" w:lineRule="auto"/>
        <w:rPr>
          <w:sz w:val="20"/>
          <w:szCs w:val="20"/>
          <w:color w:val="auto"/>
        </w:rPr>
      </w:pPr>
      <w:r>
        <w:rPr>
          <w:rFonts w:ascii="Arial" w:cs="Arial" w:eastAsia="Arial" w:hAnsi="Arial"/>
          <w:sz w:val="18"/>
          <w:szCs w:val="18"/>
          <w:color w:val="auto"/>
        </w:rPr>
        <w:t>As noted above, if you hold shares beneficially in street name through a bank, broker or other nominee, you may vote by submitting the enclosed voting instruction form. Telephone and internet voting may be also available—please refer to the voting instruction form provided by your bank, broker or other nominee for more information.</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333333"/>
        </w:rPr>
        <w:t>Can I change my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63500</wp:posOffset>
            </wp:positionV>
            <wp:extent cx="689356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Yes. You may revoke the proxy at any time prior to its use by:</w:t>
      </w:r>
    </w:p>
    <w:p>
      <w:pPr>
        <w:spacing w:after="0" w:line="112" w:lineRule="exact"/>
        <w:rPr>
          <w:sz w:val="20"/>
          <w:szCs w:val="20"/>
          <w:color w:val="auto"/>
        </w:rPr>
      </w:pPr>
    </w:p>
    <w:p>
      <w:pPr>
        <w:ind w:left="600" w:hanging="208"/>
        <w:spacing w:after="0" w:line="238" w:lineRule="auto"/>
        <w:tabs>
          <w:tab w:leader="none" w:pos="6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delivering a written notice to the secretary of the company, mailed to Hess Corporation, 1185 Avenue of the Americas, New York, New York 10036;</w:t>
      </w:r>
    </w:p>
    <w:p>
      <w:pPr>
        <w:spacing w:after="0" w:line="108" w:lineRule="exact"/>
        <w:rPr>
          <w:rFonts w:ascii="Arial" w:cs="Arial" w:eastAsia="Arial" w:hAnsi="Arial"/>
          <w:sz w:val="18"/>
          <w:szCs w:val="18"/>
          <w:color w:val="auto"/>
        </w:rPr>
      </w:pPr>
    </w:p>
    <w:p>
      <w:pPr>
        <w:ind w:left="600" w:hanging="208"/>
        <w:spacing w:after="0"/>
        <w:tabs>
          <w:tab w:leader="none" w:pos="6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executing and submitting a later-dated proxy;</w:t>
      </w:r>
    </w:p>
    <w:p>
      <w:pPr>
        <w:spacing w:after="0" w:line="112" w:lineRule="exact"/>
        <w:rPr>
          <w:rFonts w:ascii="Arial" w:cs="Arial" w:eastAsia="Arial" w:hAnsi="Arial"/>
          <w:sz w:val="18"/>
          <w:szCs w:val="18"/>
          <w:color w:val="auto"/>
        </w:rPr>
      </w:pPr>
    </w:p>
    <w:p>
      <w:pPr>
        <w:ind w:left="600" w:hanging="208"/>
        <w:spacing w:after="0"/>
        <w:tabs>
          <w:tab w:leader="none" w:pos="6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re-voting your shares by telephone or on the internet; or</w:t>
      </w:r>
    </w:p>
    <w:p>
      <w:pPr>
        <w:spacing w:after="0" w:line="112" w:lineRule="exact"/>
        <w:rPr>
          <w:rFonts w:ascii="Arial" w:cs="Arial" w:eastAsia="Arial" w:hAnsi="Arial"/>
          <w:sz w:val="18"/>
          <w:szCs w:val="18"/>
          <w:color w:val="auto"/>
        </w:rPr>
      </w:pPr>
    </w:p>
    <w:p>
      <w:pPr>
        <w:ind w:left="600" w:hanging="208"/>
        <w:spacing w:after="0"/>
        <w:tabs>
          <w:tab w:leader="none" w:pos="6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attending the annual meeting and voting in person.</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333333"/>
        </w:rPr>
        <w:t>What vote is required to approve each of the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63500</wp:posOffset>
            </wp:positionV>
            <wp:extent cx="689356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221" w:lineRule="exact"/>
        <w:rPr>
          <w:sz w:val="20"/>
          <w:szCs w:val="20"/>
          <w:color w:val="auto"/>
        </w:rPr>
      </w:pPr>
    </w:p>
    <w:p>
      <w:pPr>
        <w:jc w:val="both"/>
        <w:ind w:left="600" w:hanging="208"/>
        <w:spacing w:after="0" w:line="245" w:lineRule="auto"/>
        <w:tabs>
          <w:tab w:leader="none" w:pos="600"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007549"/>
        </w:rPr>
        <w:t>Proposal 1: Election of directors</w:t>
      </w:r>
      <w:r>
        <w:rPr>
          <w:rFonts w:ascii="Arial" w:cs="Arial" w:eastAsia="Arial" w:hAnsi="Arial"/>
          <w:sz w:val="18"/>
          <w:szCs w:val="18"/>
          <w:color w:val="000000"/>
        </w:rPr>
        <w:t>: Directors will be elected by a majority of votes cast, which means that the number of shares voted</w:t>
      </w:r>
      <w:r>
        <w:rPr>
          <w:rFonts w:ascii="Arial" w:cs="Arial" w:eastAsia="Arial" w:hAnsi="Arial"/>
          <w:sz w:val="18"/>
          <w:szCs w:val="18"/>
          <w:i w:val="1"/>
          <w:iCs w:val="1"/>
          <w:color w:val="007549"/>
        </w:rPr>
        <w:t xml:space="preserve"> </w:t>
      </w:r>
      <w:r>
        <w:rPr>
          <w:rFonts w:ascii="Arial" w:cs="Arial" w:eastAsia="Arial" w:hAnsi="Arial"/>
          <w:sz w:val="18"/>
          <w:szCs w:val="18"/>
          <w:color w:val="000000"/>
        </w:rPr>
        <w:t>“for” a director’s election exceeds 50% of the number of votes cast with respect to that director’s election. Abstentions and broker non-votes are not counted as votes cast.</w:t>
      </w:r>
    </w:p>
    <w:p>
      <w:pPr>
        <w:spacing w:after="0" w:line="84" w:lineRule="exact"/>
        <w:rPr>
          <w:rFonts w:ascii="Arial" w:cs="Arial" w:eastAsia="Arial" w:hAnsi="Arial"/>
          <w:sz w:val="18"/>
          <w:szCs w:val="18"/>
          <w:color w:val="auto"/>
        </w:rPr>
      </w:pPr>
    </w:p>
    <w:p>
      <w:pPr>
        <w:jc w:val="both"/>
        <w:ind w:left="600" w:hanging="208"/>
        <w:spacing w:after="0"/>
        <w:tabs>
          <w:tab w:leader="none" w:pos="600"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007549"/>
        </w:rPr>
        <w:t>Proposal 2: Advisory vote to approve the compensation of the named executive officers</w:t>
      </w:r>
      <w:r>
        <w:rPr>
          <w:rFonts w:ascii="Arial" w:cs="Arial" w:eastAsia="Arial" w:hAnsi="Arial"/>
          <w:sz w:val="18"/>
          <w:szCs w:val="18"/>
          <w:color w:val="000000"/>
        </w:rPr>
        <w:t>: Approval of this proposal requires the</w:t>
      </w:r>
      <w:r>
        <w:rPr>
          <w:rFonts w:ascii="Arial" w:cs="Arial" w:eastAsia="Arial" w:hAnsi="Arial"/>
          <w:sz w:val="18"/>
          <w:szCs w:val="18"/>
          <w:i w:val="1"/>
          <w:iCs w:val="1"/>
          <w:color w:val="007549"/>
        </w:rPr>
        <w:t xml:space="preserve"> </w:t>
      </w:r>
      <w:r>
        <w:rPr>
          <w:rFonts w:ascii="Arial" w:cs="Arial" w:eastAsia="Arial" w:hAnsi="Arial"/>
          <w:sz w:val="18"/>
          <w:szCs w:val="18"/>
          <w:color w:val="000000"/>
        </w:rPr>
        <w:t>affirmative vote of a majority of the shares present in person or represented by proxy and entitled to vote at the annual meeting. Abstentions will be counted as present for the purposes of this vote and will have the effect of a vote against the proposal. Broker non-votes will not be counted as present and are not entitled to vote on the proposal.</w:t>
      </w:r>
    </w:p>
    <w:p>
      <w:pPr>
        <w:spacing w:after="0" w:line="90" w:lineRule="exact"/>
        <w:rPr>
          <w:rFonts w:ascii="Arial" w:cs="Arial" w:eastAsia="Arial" w:hAnsi="Arial"/>
          <w:sz w:val="18"/>
          <w:szCs w:val="18"/>
          <w:color w:val="auto"/>
        </w:rPr>
      </w:pPr>
    </w:p>
    <w:p>
      <w:pPr>
        <w:jc w:val="both"/>
        <w:ind w:left="600" w:hanging="208"/>
        <w:spacing w:after="0"/>
        <w:tabs>
          <w:tab w:leader="none" w:pos="600"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007549"/>
        </w:rPr>
        <w:t>Proposal 3: Ratification of the selection of Ernst &amp; Young LLP as our independent registered public accountants</w:t>
      </w:r>
      <w:r>
        <w:rPr>
          <w:rFonts w:ascii="Arial" w:cs="Arial" w:eastAsia="Arial" w:hAnsi="Arial"/>
          <w:sz w:val="18"/>
          <w:szCs w:val="18"/>
          <w:color w:val="000000"/>
        </w:rPr>
        <w:t>: Approval of this</w:t>
      </w:r>
      <w:r>
        <w:rPr>
          <w:rFonts w:ascii="Arial" w:cs="Arial" w:eastAsia="Arial" w:hAnsi="Arial"/>
          <w:sz w:val="18"/>
          <w:szCs w:val="18"/>
          <w:i w:val="1"/>
          <w:iCs w:val="1"/>
          <w:color w:val="007549"/>
        </w:rPr>
        <w:t xml:space="preserve"> </w:t>
      </w:r>
      <w:r>
        <w:rPr>
          <w:rFonts w:ascii="Arial" w:cs="Arial" w:eastAsia="Arial" w:hAnsi="Arial"/>
          <w:sz w:val="18"/>
          <w:szCs w:val="18"/>
          <w:color w:val="000000"/>
        </w:rPr>
        <w:t>proposal requires the affirmative vote of a majority of the shares present in person or represented by proxy and entitled to vote at the annual meeting. Abstentions and broker non-votes will be counted as present for purposes of this vote and will have the effect of a vote against the proposal.</w:t>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333333"/>
        </w:rPr>
        <w:t>What are the recommendations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63500</wp:posOffset>
            </wp:positionV>
            <wp:extent cx="689356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board of directors unanimously recommends that you vote your shares on your proxy card:</w:t>
      </w:r>
    </w:p>
    <w:p>
      <w:pPr>
        <w:spacing w:after="0" w:line="90" w:lineRule="exact"/>
        <w:rPr>
          <w:sz w:val="20"/>
          <w:szCs w:val="20"/>
          <w:color w:val="auto"/>
        </w:rPr>
      </w:pPr>
    </w:p>
    <w:p>
      <w:pPr>
        <w:ind w:left="600" w:hanging="208"/>
        <w:spacing w:after="0"/>
        <w:tabs>
          <w:tab w:leader="none" w:pos="60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007549"/>
        </w:rPr>
        <w:t xml:space="preserve">FOR </w:t>
      </w:r>
      <w:r>
        <w:rPr>
          <w:rFonts w:ascii="Arial" w:cs="Arial" w:eastAsia="Arial" w:hAnsi="Arial"/>
          <w:sz w:val="18"/>
          <w:szCs w:val="18"/>
          <w:color w:val="000000"/>
        </w:rPr>
        <w:t>the election of directors nominated herein;</w:t>
      </w:r>
    </w:p>
    <w:p>
      <w:pPr>
        <w:spacing w:after="0" w:line="112" w:lineRule="exact"/>
        <w:rPr>
          <w:rFonts w:ascii="Arial" w:cs="Arial" w:eastAsia="Arial" w:hAnsi="Arial"/>
          <w:sz w:val="18"/>
          <w:szCs w:val="18"/>
          <w:color w:val="auto"/>
        </w:rPr>
      </w:pPr>
    </w:p>
    <w:p>
      <w:pPr>
        <w:ind w:left="600" w:hanging="208"/>
        <w:spacing w:after="0"/>
        <w:tabs>
          <w:tab w:leader="none" w:pos="60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007549"/>
        </w:rPr>
        <w:t xml:space="preserve">FOR </w:t>
      </w:r>
      <w:r>
        <w:rPr>
          <w:rFonts w:ascii="Arial" w:cs="Arial" w:eastAsia="Arial" w:hAnsi="Arial"/>
          <w:sz w:val="18"/>
          <w:szCs w:val="18"/>
          <w:color w:val="000000"/>
        </w:rPr>
        <w:t>the advisory approval of the compensation of our named executive officers; and</w:t>
      </w:r>
    </w:p>
    <w:p>
      <w:pPr>
        <w:spacing w:after="0" w:line="112" w:lineRule="exact"/>
        <w:rPr>
          <w:rFonts w:ascii="Arial" w:cs="Arial" w:eastAsia="Arial" w:hAnsi="Arial"/>
          <w:sz w:val="18"/>
          <w:szCs w:val="18"/>
          <w:color w:val="auto"/>
        </w:rPr>
      </w:pPr>
    </w:p>
    <w:p>
      <w:pPr>
        <w:ind w:left="600" w:hanging="208"/>
        <w:spacing w:after="0"/>
        <w:tabs>
          <w:tab w:leader="none" w:pos="600" w:val="left"/>
        </w:tabs>
        <w:numPr>
          <w:ilvl w:val="0"/>
          <w:numId w:val="86"/>
        </w:numPr>
        <w:rPr>
          <w:rFonts w:ascii="Arial" w:cs="Arial" w:eastAsia="Arial" w:hAnsi="Arial"/>
          <w:sz w:val="17"/>
          <w:szCs w:val="17"/>
          <w:color w:val="auto"/>
        </w:rPr>
      </w:pPr>
      <w:r>
        <w:rPr>
          <w:rFonts w:ascii="Arial" w:cs="Arial" w:eastAsia="Arial" w:hAnsi="Arial"/>
          <w:sz w:val="17"/>
          <w:szCs w:val="17"/>
          <w:b w:val="1"/>
          <w:bCs w:val="1"/>
          <w:color w:val="007549"/>
        </w:rPr>
        <w:t xml:space="preserve">FOR </w:t>
      </w:r>
      <w:r>
        <w:rPr>
          <w:rFonts w:ascii="Arial" w:cs="Arial" w:eastAsia="Arial" w:hAnsi="Arial"/>
          <w:sz w:val="17"/>
          <w:szCs w:val="17"/>
          <w:color w:val="000000"/>
        </w:rPr>
        <w:t>the proposal to ratify the selection of Ernst &amp; Young LLP as independent auditors for the fiscal year ending December 31, 2018.</w:t>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333333"/>
        </w:rPr>
        <w:t>What does it mean if I receive more than one proxy card on or about the same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63500</wp:posOffset>
            </wp:positionV>
            <wp:extent cx="689356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159" w:lineRule="exact"/>
        <w:rPr>
          <w:sz w:val="20"/>
          <w:szCs w:val="20"/>
          <w:color w:val="auto"/>
        </w:rPr>
      </w:pPr>
    </w:p>
    <w:p>
      <w:pPr>
        <w:ind w:left="280"/>
        <w:spacing w:after="0" w:line="238" w:lineRule="auto"/>
        <w:rPr>
          <w:sz w:val="20"/>
          <w:szCs w:val="20"/>
          <w:color w:val="auto"/>
        </w:rPr>
      </w:pPr>
      <w:r>
        <w:rPr>
          <w:rFonts w:ascii="Arial" w:cs="Arial" w:eastAsia="Arial" w:hAnsi="Arial"/>
          <w:sz w:val="18"/>
          <w:szCs w:val="18"/>
          <w:color w:val="auto"/>
        </w:rPr>
        <w:t>It generally means you hold shares registered in more than one account. In order to vote all of your shares, please sign and return each proxy card or, if you vote via the internet or telephone, vote once for each proxy card you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86360</wp:posOffset>
            </wp:positionV>
            <wp:extent cx="405765" cy="24511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209" w:lineRule="exact"/>
        <w:rPr>
          <w:sz w:val="20"/>
          <w:szCs w:val="20"/>
          <w:color w:val="auto"/>
        </w:rPr>
      </w:pPr>
    </w:p>
    <w:tbl>
      <w:tblPr>
        <w:tblLayout w:type="fixed"/>
        <w:tblInd w:w="9140" w:type="dxa"/>
        <w:tblCellMar>
          <w:top w:w="0" w:type="dxa"/>
          <w:left w:w="0" w:type="dxa"/>
          <w:bottom w:w="0" w:type="dxa"/>
          <w:right w:w="0" w:type="dxa"/>
        </w:tblCellMar>
      </w:tblPr>
      <w:tr>
        <w:trPr>
          <w:trHeight w:val="188"/>
        </w:trPr>
        <w:tc>
          <w:tcPr>
            <w:tcW w:w="1680" w:type="dxa"/>
            <w:vAlign w:val="bottom"/>
          </w:tcPr>
          <w:p>
            <w:pPr>
              <w:spacing w:after="0"/>
              <w:rPr>
                <w:sz w:val="20"/>
                <w:szCs w:val="20"/>
                <w:color w:val="auto"/>
              </w:rPr>
            </w:pPr>
            <w:r>
              <w:rPr>
                <w:rFonts w:ascii="Arial" w:cs="Arial" w:eastAsia="Arial" w:hAnsi="Arial"/>
                <w:sz w:val="12"/>
                <w:szCs w:val="12"/>
                <w:b w:val="1"/>
                <w:bCs w:val="1"/>
                <w:color w:val="666666"/>
              </w:rPr>
              <w:t>2018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007549"/>
              </w:rPr>
              <w:t>53</w:t>
            </w:r>
          </w:p>
        </w:tc>
      </w:tr>
    </w:tbl>
    <w:p>
      <w:pPr>
        <w:sectPr>
          <w:pgSz w:w="11900" w:h="16838" w:orient="portrait"/>
          <w:cols w:equalWidth="0" w:num="1">
            <w:col w:w="11140"/>
          </w:cols>
          <w:pgMar w:left="240" w:top="454" w:right="5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007549"/>
        </w:rPr>
        <w:t>Questions and Answers About the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55245</wp:posOffset>
            </wp:positionV>
            <wp:extent cx="689356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238"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333333"/>
        </w:rPr>
        <w:t>What if I do not specify how I want my shares to be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63500</wp:posOffset>
            </wp:positionV>
            <wp:extent cx="689356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199" w:lineRule="exact"/>
        <w:rPr>
          <w:sz w:val="20"/>
          <w:szCs w:val="20"/>
          <w:color w:val="auto"/>
        </w:rPr>
      </w:pPr>
    </w:p>
    <w:p>
      <w:pPr>
        <w:ind w:left="280"/>
        <w:spacing w:after="0"/>
        <w:rPr>
          <w:sz w:val="20"/>
          <w:szCs w:val="20"/>
          <w:color w:val="auto"/>
        </w:rPr>
      </w:pPr>
      <w:r>
        <w:rPr>
          <w:rFonts w:ascii="Arial" w:cs="Arial" w:eastAsia="Arial" w:hAnsi="Arial"/>
          <w:sz w:val="17"/>
          <w:szCs w:val="17"/>
          <w:color w:val="auto"/>
        </w:rPr>
        <w:t>If you are the record holder of your shares and do not specify on your proxy card (or when giving your proxy by telephone or the internet)</w:t>
      </w:r>
    </w:p>
    <w:p>
      <w:pPr>
        <w:spacing w:after="0" w:line="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how you want to vote your shares, your shares will be voted:</w:t>
      </w:r>
    </w:p>
    <w:p>
      <w:pPr>
        <w:spacing w:after="0" w:line="90" w:lineRule="exact"/>
        <w:rPr>
          <w:sz w:val="20"/>
          <w:szCs w:val="20"/>
          <w:color w:val="auto"/>
        </w:rPr>
      </w:pPr>
    </w:p>
    <w:p>
      <w:pPr>
        <w:ind w:left="600" w:hanging="208"/>
        <w:spacing w:after="0"/>
        <w:tabs>
          <w:tab w:leader="none" w:pos="60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007549"/>
        </w:rPr>
        <w:t xml:space="preserve">FOR </w:t>
      </w:r>
      <w:r>
        <w:rPr>
          <w:rFonts w:ascii="Arial" w:cs="Arial" w:eastAsia="Arial" w:hAnsi="Arial"/>
          <w:sz w:val="18"/>
          <w:szCs w:val="18"/>
          <w:color w:val="000000"/>
        </w:rPr>
        <w:t>the election of directors nominated herein;</w:t>
      </w:r>
    </w:p>
    <w:p>
      <w:pPr>
        <w:spacing w:after="0" w:line="112" w:lineRule="exact"/>
        <w:rPr>
          <w:rFonts w:ascii="Arial" w:cs="Arial" w:eastAsia="Arial" w:hAnsi="Arial"/>
          <w:sz w:val="18"/>
          <w:szCs w:val="18"/>
          <w:color w:val="auto"/>
        </w:rPr>
      </w:pPr>
    </w:p>
    <w:p>
      <w:pPr>
        <w:ind w:left="600" w:hanging="208"/>
        <w:spacing w:after="0"/>
        <w:tabs>
          <w:tab w:leader="none" w:pos="60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007549"/>
        </w:rPr>
        <w:t xml:space="preserve">FOR </w:t>
      </w:r>
      <w:r>
        <w:rPr>
          <w:rFonts w:ascii="Arial" w:cs="Arial" w:eastAsia="Arial" w:hAnsi="Arial"/>
          <w:sz w:val="18"/>
          <w:szCs w:val="18"/>
          <w:color w:val="000000"/>
        </w:rPr>
        <w:t>the advisory approval of the compensation of our named executive officers; and</w:t>
      </w:r>
    </w:p>
    <w:p>
      <w:pPr>
        <w:spacing w:after="0" w:line="112" w:lineRule="exact"/>
        <w:rPr>
          <w:rFonts w:ascii="Arial" w:cs="Arial" w:eastAsia="Arial" w:hAnsi="Arial"/>
          <w:sz w:val="18"/>
          <w:szCs w:val="18"/>
          <w:color w:val="auto"/>
        </w:rPr>
      </w:pPr>
    </w:p>
    <w:p>
      <w:pPr>
        <w:ind w:left="600" w:hanging="208"/>
        <w:spacing w:after="0"/>
        <w:tabs>
          <w:tab w:leader="none" w:pos="600" w:val="left"/>
        </w:tabs>
        <w:numPr>
          <w:ilvl w:val="0"/>
          <w:numId w:val="87"/>
        </w:numPr>
        <w:rPr>
          <w:rFonts w:ascii="Arial" w:cs="Arial" w:eastAsia="Arial" w:hAnsi="Arial"/>
          <w:sz w:val="17"/>
          <w:szCs w:val="17"/>
          <w:color w:val="auto"/>
        </w:rPr>
      </w:pPr>
      <w:r>
        <w:rPr>
          <w:rFonts w:ascii="Arial" w:cs="Arial" w:eastAsia="Arial" w:hAnsi="Arial"/>
          <w:sz w:val="17"/>
          <w:szCs w:val="17"/>
          <w:b w:val="1"/>
          <w:bCs w:val="1"/>
          <w:color w:val="007549"/>
        </w:rPr>
        <w:t xml:space="preserve">FOR </w:t>
      </w:r>
      <w:r>
        <w:rPr>
          <w:rFonts w:ascii="Arial" w:cs="Arial" w:eastAsia="Arial" w:hAnsi="Arial"/>
          <w:sz w:val="17"/>
          <w:szCs w:val="17"/>
          <w:color w:val="000000"/>
        </w:rPr>
        <w:t>the proposal to ratify the selection of Ernst &amp; Young LLP as independent auditors for the fiscal year ending December 31, 2018.</w:t>
      </w:r>
    </w:p>
    <w:p>
      <w:pPr>
        <w:spacing w:after="0" w:line="199" w:lineRule="exact"/>
        <w:rPr>
          <w:sz w:val="20"/>
          <w:szCs w:val="20"/>
          <w:color w:val="auto"/>
        </w:rPr>
      </w:pPr>
    </w:p>
    <w:p>
      <w:pPr>
        <w:jc w:val="both"/>
        <w:ind w:left="280"/>
        <w:spacing w:after="0" w:line="234" w:lineRule="auto"/>
        <w:rPr>
          <w:sz w:val="20"/>
          <w:szCs w:val="20"/>
          <w:color w:val="auto"/>
        </w:rPr>
      </w:pPr>
      <w:r>
        <w:rPr>
          <w:rFonts w:ascii="Arial" w:cs="Arial" w:eastAsia="Arial" w:hAnsi="Arial"/>
          <w:sz w:val="18"/>
          <w:szCs w:val="18"/>
          <w:color w:val="auto"/>
        </w:rPr>
        <w:t>If you are a beneficial owner of shares and do not specify how you want to vote, your shares may not be voted by the record holder and will not be considered as present and entitled to vote on any matter to be considered at the annual meeting, except with respect to the ratification of the company’s independent auditors. If your shares are held of record by a bank, broker, or other nominee, we urge you to give instructions to your bank, broker, or other nominee as to how you wish your shares to be voted so you may participate in the stockholder voting on these important matters.</w:t>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333333"/>
        </w:rPr>
        <w:t>What is the effect of an “abstain”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63500</wp:posOffset>
            </wp:positionV>
            <wp:extent cx="689356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173" w:lineRule="exact"/>
        <w:rPr>
          <w:sz w:val="20"/>
          <w:szCs w:val="20"/>
          <w:color w:val="auto"/>
        </w:rPr>
      </w:pPr>
    </w:p>
    <w:p>
      <w:pPr>
        <w:jc w:val="both"/>
        <w:ind w:left="280"/>
        <w:spacing w:after="0" w:line="236" w:lineRule="auto"/>
        <w:rPr>
          <w:sz w:val="20"/>
          <w:szCs w:val="20"/>
          <w:color w:val="auto"/>
        </w:rPr>
      </w:pPr>
      <w:r>
        <w:rPr>
          <w:rFonts w:ascii="Arial" w:cs="Arial" w:eastAsia="Arial" w:hAnsi="Arial"/>
          <w:sz w:val="18"/>
          <w:szCs w:val="18"/>
          <w:color w:val="auto"/>
        </w:rPr>
        <w:t>Abstentions are considered to be present and entitled to vote with respect to each relevant proposal, but will not be considered a vote cast with respect to that proposal. Therefore, an abstention will effectively be a vote against each of the proposals, except for the election of directors.</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333333"/>
        </w:rPr>
        <w:t>What is a “broker non-vote”?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63500</wp:posOffset>
            </wp:positionV>
            <wp:extent cx="689356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159" w:lineRule="exact"/>
        <w:rPr>
          <w:sz w:val="20"/>
          <w:szCs w:val="20"/>
          <w:color w:val="auto"/>
        </w:rPr>
      </w:pPr>
    </w:p>
    <w:p>
      <w:pPr>
        <w:jc w:val="both"/>
        <w:ind w:left="280"/>
        <w:spacing w:after="0" w:line="238" w:lineRule="auto"/>
        <w:rPr>
          <w:sz w:val="20"/>
          <w:szCs w:val="20"/>
          <w:color w:val="auto"/>
        </w:rPr>
      </w:pPr>
      <w:r>
        <w:rPr>
          <w:rFonts w:ascii="Arial" w:cs="Arial" w:eastAsia="Arial" w:hAnsi="Arial"/>
          <w:sz w:val="18"/>
          <w:szCs w:val="18"/>
          <w:color w:val="auto"/>
        </w:rPr>
        <w:t>A “broker non-vote” occurs when a beneficial owner of shares held by a broker, bank or other nominee fails to provide the record holder with voting instructions on any “non-routine” matters brought to a vote at a stockholder meeting.</w:t>
      </w:r>
    </w:p>
    <w:p>
      <w:pPr>
        <w:spacing w:after="0" w:line="162" w:lineRule="exact"/>
        <w:rPr>
          <w:sz w:val="20"/>
          <w:szCs w:val="20"/>
          <w:color w:val="auto"/>
        </w:rPr>
      </w:pPr>
    </w:p>
    <w:p>
      <w:pPr>
        <w:jc w:val="both"/>
        <w:ind w:left="280"/>
        <w:spacing w:after="0" w:line="236" w:lineRule="auto"/>
        <w:rPr>
          <w:sz w:val="20"/>
          <w:szCs w:val="20"/>
          <w:color w:val="auto"/>
        </w:rPr>
      </w:pPr>
      <w:r>
        <w:rPr>
          <w:rFonts w:ascii="Arial" w:cs="Arial" w:eastAsia="Arial" w:hAnsi="Arial"/>
          <w:sz w:val="18"/>
          <w:szCs w:val="18"/>
          <w:color w:val="auto"/>
        </w:rPr>
        <w:t>Under the rules of the New York Stock Exchange (“NYSE”), “non-routine” matters include, among others, the election of directors and the advisory vote to approve the compensation of named executive officers. As such, a broker may not vote your shares with respect to such matters without your instructions.</w:t>
      </w:r>
    </w:p>
    <w:p>
      <w:pPr>
        <w:spacing w:after="0" w:line="174" w:lineRule="exact"/>
        <w:rPr>
          <w:sz w:val="20"/>
          <w:szCs w:val="20"/>
          <w:color w:val="auto"/>
        </w:rPr>
      </w:pPr>
    </w:p>
    <w:p>
      <w:pPr>
        <w:jc w:val="both"/>
        <w:ind w:left="280"/>
        <w:spacing w:after="0" w:line="238" w:lineRule="auto"/>
        <w:rPr>
          <w:sz w:val="20"/>
          <w:szCs w:val="20"/>
          <w:color w:val="auto"/>
        </w:rPr>
      </w:pPr>
      <w:r>
        <w:rPr>
          <w:rFonts w:ascii="Arial" w:cs="Arial" w:eastAsia="Arial" w:hAnsi="Arial"/>
          <w:sz w:val="18"/>
          <w:szCs w:val="18"/>
          <w:color w:val="auto"/>
        </w:rPr>
        <w:t>If your shares are held of record by a bank, broker, or other nominee, we urge you to give instructions to your bank, broker, or other nominee as to how you wish your shares to be voted so you may participate in the stockholder voting on these important matters.</w:t>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333333"/>
        </w:rPr>
        <w:t>What should I do if I have other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63500</wp:posOffset>
            </wp:positionV>
            <wp:extent cx="689356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159" w:lineRule="exact"/>
        <w:rPr>
          <w:sz w:val="20"/>
          <w:szCs w:val="20"/>
          <w:color w:val="auto"/>
        </w:rPr>
      </w:pPr>
    </w:p>
    <w:p>
      <w:pPr>
        <w:jc w:val="both"/>
        <w:ind w:left="280"/>
        <w:spacing w:after="0" w:line="238" w:lineRule="auto"/>
        <w:rPr>
          <w:sz w:val="20"/>
          <w:szCs w:val="20"/>
          <w:color w:val="auto"/>
        </w:rPr>
      </w:pPr>
      <w:r>
        <w:rPr>
          <w:rFonts w:ascii="Arial" w:cs="Arial" w:eastAsia="Arial" w:hAnsi="Arial"/>
          <w:sz w:val="18"/>
          <w:szCs w:val="18"/>
          <w:color w:val="auto"/>
        </w:rPr>
        <w:t>If you have any questions or require any assistance with voting your shares, please contact our proxy solicitor, MacKenzie Partners Inc., toll free at (800) 322-2885 or directly at (212) 929-5500.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1820545</wp:posOffset>
            </wp:positionH>
            <wp:positionV relativeFrom="paragraph">
              <wp:posOffset>86360</wp:posOffset>
            </wp:positionV>
            <wp:extent cx="405765" cy="24511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216" w:lineRule="exact"/>
        <w:rPr>
          <w:sz w:val="20"/>
          <w:szCs w:val="20"/>
          <w:color w:val="auto"/>
        </w:rPr>
      </w:pPr>
    </w:p>
    <w:p>
      <w:pPr>
        <w:ind w:left="760" w:hanging="474"/>
        <w:spacing w:after="0"/>
        <w:tabs>
          <w:tab w:leader="none" w:pos="760" w:val="left"/>
        </w:tabs>
        <w:numPr>
          <w:ilvl w:val="0"/>
          <w:numId w:val="88"/>
        </w:numPr>
        <w:rPr>
          <w:rFonts w:ascii="Arial" w:cs="Arial" w:eastAsia="Arial" w:hAnsi="Arial"/>
          <w:sz w:val="14"/>
          <w:szCs w:val="14"/>
          <w:b w:val="1"/>
          <w:bCs w:val="1"/>
          <w:color w:val="007549"/>
        </w:rPr>
      </w:pPr>
      <w:r>
        <w:rPr>
          <w:rFonts w:ascii="Arial" w:cs="Arial" w:eastAsia="Arial" w:hAnsi="Arial"/>
          <w:sz w:val="12"/>
          <w:szCs w:val="12"/>
          <w:b w:val="1"/>
          <w:bCs w:val="1"/>
          <w:color w:val="666666"/>
        </w:rPr>
        <w:t>2018 PROXY STATEMENT</w:t>
      </w:r>
    </w:p>
    <w:p>
      <w:pPr>
        <w:sectPr>
          <w:pgSz w:w="11900" w:h="16838" w:orient="portrait"/>
          <w:cols w:equalWidth="0" w:num="1">
            <w:col w:w="11140"/>
          </w:cols>
          <w:pgMar w:left="240" w:top="454" w:right="5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80"/>
        <w:spacing w:after="0"/>
        <w:rPr>
          <w:sz w:val="20"/>
          <w:szCs w:val="20"/>
          <w:color w:val="auto"/>
        </w:rPr>
      </w:pPr>
      <w:r>
        <w:rPr>
          <w:rFonts w:ascii="Arial" w:cs="Arial" w:eastAsia="Arial" w:hAnsi="Arial"/>
          <w:sz w:val="39"/>
          <w:szCs w:val="39"/>
          <w:color w:val="007549"/>
        </w:rPr>
        <w:t>ADDITIONAL INFORMATION</w:t>
      </w:r>
    </w:p>
    <w:p>
      <w:pPr>
        <w:spacing w:after="0" w:line="182"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333333"/>
        </w:rPr>
        <w:t>Availability of additional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63500</wp:posOffset>
            </wp:positionV>
            <wp:extent cx="689356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173" w:lineRule="exact"/>
        <w:rPr>
          <w:sz w:val="20"/>
          <w:szCs w:val="20"/>
          <w:color w:val="auto"/>
        </w:rPr>
      </w:pPr>
    </w:p>
    <w:p>
      <w:pPr>
        <w:jc w:val="both"/>
        <w:ind w:left="280"/>
        <w:spacing w:after="0" w:line="235" w:lineRule="auto"/>
        <w:rPr>
          <w:sz w:val="20"/>
          <w:szCs w:val="20"/>
          <w:color w:val="auto"/>
        </w:rPr>
      </w:pPr>
      <w:r>
        <w:rPr>
          <w:rFonts w:ascii="Arial" w:cs="Arial" w:eastAsia="Arial" w:hAnsi="Arial"/>
          <w:sz w:val="18"/>
          <w:szCs w:val="18"/>
          <w:color w:val="auto"/>
        </w:rPr>
        <w:t xml:space="preserve">The company will provide to any person whose proxy is solicited by this proxy statement, without charge, upon written request to the company’s corporate secretary at our principal executive offices at Hess Corporation, 1185 Avenue of the Americas, New York, New York 10036, a copy of the company’s annual report on Form 10-K for the fiscal year ended December 31, 2017, or the company’s proxy statement. The company’s proxy statement and annual report are also available on our website at </w:t>
      </w:r>
      <w:r>
        <w:rPr>
          <w:rFonts w:ascii="Arial" w:cs="Arial" w:eastAsia="Arial" w:hAnsi="Arial"/>
          <w:sz w:val="18"/>
          <w:szCs w:val="18"/>
          <w:b w:val="1"/>
          <w:bCs w:val="1"/>
          <w:color w:val="007549"/>
        </w:rPr>
        <w:t>www.hess.com</w:t>
      </w:r>
      <w:r>
        <w:rPr>
          <w:rFonts w:ascii="Arial" w:cs="Arial" w:eastAsia="Arial" w:hAnsi="Arial"/>
          <w:sz w:val="18"/>
          <w:szCs w:val="18"/>
          <w:color w:val="auto"/>
        </w:rPr>
        <w:t>.</w:t>
      </w:r>
    </w:p>
    <w:p>
      <w:pPr>
        <w:spacing w:after="0" w:line="161" w:lineRule="exact"/>
        <w:rPr>
          <w:sz w:val="20"/>
          <w:szCs w:val="20"/>
          <w:color w:val="auto"/>
        </w:rPr>
      </w:pPr>
    </w:p>
    <w:p>
      <w:pPr>
        <w:jc w:val="both"/>
        <w:ind w:left="280"/>
        <w:spacing w:after="0" w:line="236" w:lineRule="auto"/>
        <w:rPr>
          <w:sz w:val="20"/>
          <w:szCs w:val="20"/>
          <w:color w:val="auto"/>
        </w:rPr>
      </w:pPr>
      <w:r>
        <w:rPr>
          <w:rFonts w:ascii="Arial" w:cs="Arial" w:eastAsia="Arial" w:hAnsi="Arial"/>
          <w:sz w:val="18"/>
          <w:szCs w:val="18"/>
          <w:color w:val="auto"/>
        </w:rPr>
        <w:t>The information provided on the company’s website is referenced in this proxy statement for information purposes only. Neither the information on the company’s website, nor the information in the company’s sustainability report, shall be deemed to be a part of or incorporated by reference into this proxy statement or any other filings we make with the SEC.</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333333"/>
        </w:rPr>
        <w:t>Proxy solicitation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63500</wp:posOffset>
            </wp:positionV>
            <wp:extent cx="689356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159" w:lineRule="exact"/>
        <w:rPr>
          <w:sz w:val="20"/>
          <w:szCs w:val="20"/>
          <w:color w:val="auto"/>
        </w:rPr>
      </w:pPr>
    </w:p>
    <w:p>
      <w:pPr>
        <w:jc w:val="both"/>
        <w:ind w:left="280"/>
        <w:spacing w:after="0" w:line="234" w:lineRule="auto"/>
        <w:rPr>
          <w:sz w:val="20"/>
          <w:szCs w:val="20"/>
          <w:color w:val="auto"/>
        </w:rPr>
      </w:pPr>
      <w:r>
        <w:rPr>
          <w:rFonts w:ascii="Arial" w:cs="Arial" w:eastAsia="Arial" w:hAnsi="Arial"/>
          <w:sz w:val="18"/>
          <w:szCs w:val="18"/>
          <w:color w:val="auto"/>
        </w:rPr>
        <w:t>The cost of preparing and mailing the Notice of Internet Availability of Proxy Materials, this proxy statement and the accompanying proxy and the cost of solicitation of proxies on behalf of the board of directors will be borne by the company. Solicitation will be made by mail and internet. Some personal solicitation may be made by directors, officers and employees without special compensation, other than reimbursement for expenses. In addition, we have retained MacKenzie Partners Inc. to aid in the solicitation. Its fees for this solicitation are not expected to exceed $25,000, exclusive of expenses.</w:t>
      </w:r>
    </w:p>
    <w:p>
      <w:pPr>
        <w:spacing w:after="0" w:line="175" w:lineRule="exact"/>
        <w:rPr>
          <w:sz w:val="20"/>
          <w:szCs w:val="20"/>
          <w:color w:val="auto"/>
        </w:rPr>
      </w:pPr>
    </w:p>
    <w:p>
      <w:pPr>
        <w:jc w:val="both"/>
        <w:ind w:left="280"/>
        <w:spacing w:after="0" w:line="238" w:lineRule="auto"/>
        <w:rPr>
          <w:sz w:val="20"/>
          <w:szCs w:val="20"/>
          <w:color w:val="auto"/>
        </w:rPr>
      </w:pPr>
      <w:r>
        <w:rPr>
          <w:rFonts w:ascii="Arial" w:cs="Arial" w:eastAsia="Arial" w:hAnsi="Arial"/>
          <w:sz w:val="18"/>
          <w:szCs w:val="18"/>
          <w:color w:val="auto"/>
        </w:rPr>
        <w:t>Brokers and other nominees will be requested to solicit proxies or authorizations from beneficial owners and will be reimbursed for their reasonable and documented expenses in connection therewith.</w:t>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333333"/>
        </w:rPr>
        <w:t>Submission of stockholder proposals and nominations for the 2019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63500</wp:posOffset>
            </wp:positionV>
            <wp:extent cx="689356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93560" cy="8255"/>
                    </a:xfrm>
                    <a:prstGeom prst="rect">
                      <a:avLst/>
                    </a:prstGeom>
                    <a:noFill/>
                  </pic:spPr>
                </pic:pic>
              </a:graphicData>
            </a:graphic>
          </wp:anchor>
        </w:drawing>
      </w:r>
    </w:p>
    <w:p>
      <w:pPr>
        <w:spacing w:after="0" w:line="128"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007549"/>
        </w:rPr>
        <w:t>Proposals and Director Nominees for Inclusion in Proxy Materials</w:t>
      </w:r>
    </w:p>
    <w:p>
      <w:pPr>
        <w:spacing w:after="0" w:line="136" w:lineRule="exact"/>
        <w:rPr>
          <w:sz w:val="20"/>
          <w:szCs w:val="20"/>
          <w:color w:val="auto"/>
        </w:rPr>
      </w:pPr>
    </w:p>
    <w:p>
      <w:pPr>
        <w:jc w:val="both"/>
        <w:ind w:left="280"/>
        <w:spacing w:after="0" w:line="235" w:lineRule="auto"/>
        <w:rPr>
          <w:sz w:val="20"/>
          <w:szCs w:val="20"/>
          <w:color w:val="auto"/>
        </w:rPr>
      </w:pPr>
      <w:r>
        <w:rPr>
          <w:rFonts w:ascii="Arial" w:cs="Arial" w:eastAsia="Arial" w:hAnsi="Arial"/>
          <w:sz w:val="18"/>
          <w:szCs w:val="18"/>
          <w:color w:val="auto"/>
        </w:rPr>
        <w:t>Proposals which stockholders wish to include in the company’s proxy materials relating to the 2019 annual meeting of stockholders must be received by the corporate secretary at the address below no later than December 28, 2018 (120 days prior to the one-year anniversary of this proxy statement). Such proposals must meet the requirements of the applicable SEC rules and regulations to be eligible for inclusion in the company’s proxy materials. Proposals must be addressed to:</w:t>
      </w:r>
    </w:p>
    <w:p>
      <w:pPr>
        <w:spacing w:after="0" w:line="87"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Hess Corporation</w:t>
      </w:r>
    </w:p>
    <w:p>
      <w:pPr>
        <w:ind w:left="4780"/>
        <w:spacing w:after="0" w:line="231" w:lineRule="auto"/>
        <w:rPr>
          <w:sz w:val="20"/>
          <w:szCs w:val="20"/>
          <w:color w:val="auto"/>
        </w:rPr>
      </w:pPr>
      <w:r>
        <w:rPr>
          <w:rFonts w:ascii="Arial" w:cs="Arial" w:eastAsia="Arial" w:hAnsi="Arial"/>
          <w:sz w:val="18"/>
          <w:szCs w:val="18"/>
          <w:color w:val="auto"/>
        </w:rPr>
        <w:t>1185 Avenue of the Americas</w:t>
      </w:r>
    </w:p>
    <w:p>
      <w:pPr>
        <w:ind w:left="4780"/>
        <w:spacing w:after="0" w:line="231" w:lineRule="auto"/>
        <w:rPr>
          <w:sz w:val="20"/>
          <w:szCs w:val="20"/>
          <w:color w:val="auto"/>
        </w:rPr>
      </w:pPr>
      <w:r>
        <w:rPr>
          <w:rFonts w:ascii="Arial" w:cs="Arial" w:eastAsia="Arial" w:hAnsi="Arial"/>
          <w:sz w:val="18"/>
          <w:szCs w:val="18"/>
          <w:color w:val="auto"/>
        </w:rPr>
        <w:t>New York, N.Y. 10036</w:t>
      </w:r>
    </w:p>
    <w:p>
      <w:pPr>
        <w:spacing w:after="0" w:line="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Attn: Corporate Secretary</w:t>
      </w:r>
    </w:p>
    <w:p>
      <w:pPr>
        <w:spacing w:after="0" w:line="166" w:lineRule="exact"/>
        <w:rPr>
          <w:sz w:val="20"/>
          <w:szCs w:val="20"/>
          <w:color w:val="auto"/>
        </w:rPr>
      </w:pPr>
    </w:p>
    <w:p>
      <w:pPr>
        <w:jc w:val="both"/>
        <w:ind w:left="280"/>
        <w:spacing w:after="0" w:line="235" w:lineRule="auto"/>
        <w:rPr>
          <w:sz w:val="20"/>
          <w:szCs w:val="20"/>
          <w:color w:val="auto"/>
        </w:rPr>
      </w:pPr>
      <w:r>
        <w:rPr>
          <w:rFonts w:ascii="Arial" w:cs="Arial" w:eastAsia="Arial" w:hAnsi="Arial"/>
          <w:sz w:val="18"/>
          <w:szCs w:val="18"/>
          <w:color w:val="auto"/>
        </w:rPr>
        <w:t>Stockholder nominations for candidates for election at the 2019 annual meeting of stockholders which the stockholders wish to include in the company’s proxy materials relating to the 2019 annual meeting of stockholders pursuant to the company’s proxy access by-law must be received by the company at the above address on or prior to March 8, 2019 (90 days prior to the one-year anniversary of the 2018 annual meeting) together with the information required by the proxy access provision in the company’s by-laws.</w:t>
      </w:r>
    </w:p>
    <w:p>
      <w:pPr>
        <w:spacing w:after="0" w:line="169"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007549"/>
        </w:rPr>
        <w:t>Proposals and Director Nominees for Presentation at the Annual Meeting</w:t>
      </w:r>
    </w:p>
    <w:p>
      <w:pPr>
        <w:spacing w:after="0" w:line="136" w:lineRule="exact"/>
        <w:rPr>
          <w:sz w:val="20"/>
          <w:szCs w:val="20"/>
          <w:color w:val="auto"/>
        </w:rPr>
      </w:pPr>
    </w:p>
    <w:p>
      <w:pPr>
        <w:jc w:val="both"/>
        <w:ind w:left="280"/>
        <w:spacing w:after="0" w:line="233" w:lineRule="auto"/>
        <w:rPr>
          <w:sz w:val="20"/>
          <w:szCs w:val="20"/>
          <w:color w:val="auto"/>
        </w:rPr>
      </w:pPr>
      <w:r>
        <w:rPr>
          <w:rFonts w:ascii="Arial" w:cs="Arial" w:eastAsia="Arial" w:hAnsi="Arial"/>
          <w:sz w:val="18"/>
          <w:szCs w:val="18"/>
          <w:color w:val="auto"/>
        </w:rPr>
        <w:t>Any stockholder proposal for, or nominations for candidates for election at, the 2019 annual meeting of stockholders which the proponent does not wish to include in the company’s proxy materials for that meeting must be received on or prior to March 8, 2019 (90 days prior to the one-year anniversary of the 2018 annual meeting) together with the information required by the company’s by-laws. If the notice of such proposal or nomination is received by the company at the above address after March 8, 2019, the proposal or nomination will be considered untimely, and if voted at the annual meeting, will be subject to the discretionary authority of proxies solicited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88265</wp:posOffset>
            </wp:positionV>
            <wp:extent cx="405765" cy="24511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212" w:lineRule="exact"/>
        <w:rPr>
          <w:sz w:val="20"/>
          <w:szCs w:val="20"/>
          <w:color w:val="auto"/>
        </w:rPr>
      </w:pPr>
    </w:p>
    <w:tbl>
      <w:tblPr>
        <w:tblLayout w:type="fixed"/>
        <w:tblInd w:w="9140" w:type="dxa"/>
        <w:tblCellMar>
          <w:top w:w="0" w:type="dxa"/>
          <w:left w:w="0" w:type="dxa"/>
          <w:bottom w:w="0" w:type="dxa"/>
          <w:right w:w="0" w:type="dxa"/>
        </w:tblCellMar>
      </w:tblPr>
      <w:tr>
        <w:trPr>
          <w:trHeight w:val="188"/>
        </w:trPr>
        <w:tc>
          <w:tcPr>
            <w:tcW w:w="1680" w:type="dxa"/>
            <w:vAlign w:val="bottom"/>
          </w:tcPr>
          <w:p>
            <w:pPr>
              <w:spacing w:after="0"/>
              <w:rPr>
                <w:sz w:val="20"/>
                <w:szCs w:val="20"/>
                <w:color w:val="auto"/>
              </w:rPr>
            </w:pPr>
            <w:r>
              <w:rPr>
                <w:rFonts w:ascii="Arial" w:cs="Arial" w:eastAsia="Arial" w:hAnsi="Arial"/>
                <w:sz w:val="12"/>
                <w:szCs w:val="12"/>
                <w:b w:val="1"/>
                <w:bCs w:val="1"/>
                <w:color w:val="666666"/>
              </w:rPr>
              <w:t>2018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007549"/>
              </w:rPr>
              <w:t>55</w:t>
            </w:r>
          </w:p>
        </w:tc>
      </w:tr>
    </w:tbl>
    <w:p>
      <w:pPr>
        <w:sectPr>
          <w:pgSz w:w="11900" w:h="16838" w:orient="portrait"/>
          <w:cols w:equalWidth="0" w:num="1">
            <w:col w:w="11140"/>
          </w:cols>
          <w:pgMar w:left="240" w:top="454" w:right="5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80"/>
        <w:spacing w:after="0"/>
        <w:rPr>
          <w:sz w:val="20"/>
          <w:szCs w:val="20"/>
          <w:color w:val="auto"/>
        </w:rPr>
      </w:pPr>
      <w:r>
        <w:rPr>
          <w:rFonts w:ascii="Arial" w:cs="Arial" w:eastAsia="Arial" w:hAnsi="Arial"/>
          <w:sz w:val="39"/>
          <w:szCs w:val="39"/>
          <w:color w:val="007549"/>
        </w:rPr>
        <w:t>OTHER MATTERS</w:t>
      </w:r>
    </w:p>
    <w:p>
      <w:pPr>
        <w:spacing w:after="0" w:line="210" w:lineRule="exact"/>
        <w:rPr>
          <w:sz w:val="20"/>
          <w:szCs w:val="20"/>
          <w:color w:val="auto"/>
        </w:rPr>
      </w:pPr>
    </w:p>
    <w:p>
      <w:pPr>
        <w:jc w:val="both"/>
        <w:ind w:left="280"/>
        <w:spacing w:after="0" w:line="236" w:lineRule="auto"/>
        <w:rPr>
          <w:sz w:val="20"/>
          <w:szCs w:val="20"/>
          <w:color w:val="auto"/>
        </w:rPr>
      </w:pPr>
      <w:r>
        <w:rPr>
          <w:rFonts w:ascii="Arial" w:cs="Arial" w:eastAsia="Arial" w:hAnsi="Arial"/>
          <w:sz w:val="18"/>
          <w:szCs w:val="18"/>
          <w:color w:val="auto"/>
        </w:rPr>
        <w:t>The board of directors knows of no other matters to come before the meeting. Should any unanticipated business properly come before the meeting, the persons named in the enclosed proxy will vote in accordance with their best judgment. The accompanying proxy confers discretionary authority to such persons to vote on any unanticipated matters.</w:t>
      </w:r>
    </w:p>
    <w:p>
      <w:pPr>
        <w:spacing w:after="0" w:line="152" w:lineRule="exact"/>
        <w:rPr>
          <w:sz w:val="20"/>
          <w:szCs w:val="20"/>
          <w:color w:val="auto"/>
        </w:rPr>
      </w:pPr>
    </w:p>
    <w:p>
      <w:pPr>
        <w:jc w:val="both"/>
        <w:ind w:left="280"/>
        <w:spacing w:after="0" w:line="263" w:lineRule="auto"/>
        <w:rPr>
          <w:sz w:val="20"/>
          <w:szCs w:val="20"/>
          <w:color w:val="auto"/>
        </w:rPr>
      </w:pPr>
      <w:r>
        <w:rPr>
          <w:rFonts w:ascii="Arial" w:cs="Arial" w:eastAsia="Arial" w:hAnsi="Arial"/>
          <w:sz w:val="18"/>
          <w:szCs w:val="18"/>
          <w:b w:val="1"/>
          <w:bCs w:val="1"/>
          <w:i w:val="1"/>
          <w:iCs w:val="1"/>
          <w:color w:val="auto"/>
        </w:rPr>
        <w:t>It is important that proxies be returned promptly. Stockholders are urged to date and sign the proxy and return it promptly in the accompanying envelope, or to vote via the internet or by calling the toll-free number as instructed on the proxy card.</w:t>
      </w:r>
    </w:p>
    <w:p>
      <w:pPr>
        <w:spacing w:after="0" w:line="180"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By order of the Board of Directors,</w:t>
      </w:r>
    </w:p>
    <w:p>
      <w:pPr>
        <w:spacing w:after="0" w:line="15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Timothy B. Goodell</w:t>
      </w:r>
    </w:p>
    <w:p>
      <w:pPr>
        <w:jc w:val="center"/>
        <w:ind w:right="-279"/>
        <w:spacing w:after="0"/>
        <w:rPr>
          <w:sz w:val="20"/>
          <w:szCs w:val="20"/>
          <w:color w:val="auto"/>
        </w:rPr>
      </w:pPr>
      <w:r>
        <w:rPr>
          <w:rFonts w:ascii="Arial" w:cs="Arial" w:eastAsia="Arial" w:hAnsi="Arial"/>
          <w:sz w:val="18"/>
          <w:szCs w:val="18"/>
          <w:i w:val="1"/>
          <w:iCs w:val="1"/>
          <w:color w:val="auto"/>
        </w:rPr>
        <w:t>Secretary</w:t>
      </w:r>
    </w:p>
    <w:p>
      <w:pPr>
        <w:spacing w:after="0" w:line="20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April 27,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1820545</wp:posOffset>
            </wp:positionH>
            <wp:positionV relativeFrom="paragraph">
              <wp:posOffset>88900</wp:posOffset>
            </wp:positionV>
            <wp:extent cx="405765" cy="24511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05765" cy="245110"/>
                    </a:xfrm>
                    <a:prstGeom prst="rect">
                      <a:avLst/>
                    </a:prstGeom>
                    <a:noFill/>
                  </pic:spPr>
                </pic:pic>
              </a:graphicData>
            </a:graphic>
          </wp:anchor>
        </w:drawing>
      </w:r>
    </w:p>
    <w:p>
      <w:pPr>
        <w:spacing w:after="0" w:line="220" w:lineRule="exact"/>
        <w:rPr>
          <w:sz w:val="20"/>
          <w:szCs w:val="20"/>
          <w:color w:val="auto"/>
        </w:rPr>
      </w:pPr>
    </w:p>
    <w:p>
      <w:pPr>
        <w:ind w:left="760" w:hanging="474"/>
        <w:spacing w:after="0"/>
        <w:tabs>
          <w:tab w:leader="none" w:pos="760" w:val="left"/>
        </w:tabs>
        <w:numPr>
          <w:ilvl w:val="0"/>
          <w:numId w:val="89"/>
        </w:numPr>
        <w:rPr>
          <w:rFonts w:ascii="Arial" w:cs="Arial" w:eastAsia="Arial" w:hAnsi="Arial"/>
          <w:sz w:val="14"/>
          <w:szCs w:val="14"/>
          <w:b w:val="1"/>
          <w:bCs w:val="1"/>
          <w:color w:val="007549"/>
        </w:rPr>
      </w:pPr>
      <w:r>
        <w:rPr>
          <w:rFonts w:ascii="Arial" w:cs="Arial" w:eastAsia="Arial" w:hAnsi="Arial"/>
          <w:sz w:val="12"/>
          <w:szCs w:val="12"/>
          <w:b w:val="1"/>
          <w:bCs w:val="1"/>
          <w:color w:val="666666"/>
        </w:rPr>
        <w:t>2018 PROXY STATEMENT</w:t>
      </w:r>
    </w:p>
    <w:p>
      <w:pPr>
        <w:sectPr>
          <w:pgSz w:w="11900" w:h="16838" w:orient="portrait"/>
          <w:cols w:equalWidth="0" w:num="1">
            <w:col w:w="11140"/>
          </w:cols>
          <w:pgMar w:left="240" w:top="454" w:right="5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6452870</wp:posOffset>
            </wp:positionV>
            <wp:extent cx="1081405" cy="6502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081405" cy="65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ind w:right="3919"/>
        <w:spacing w:after="0"/>
        <w:rPr>
          <w:sz w:val="20"/>
          <w:szCs w:val="20"/>
          <w:color w:val="auto"/>
        </w:rPr>
      </w:pPr>
      <w:r>
        <w:rPr>
          <w:rFonts w:ascii="Arial" w:cs="Arial" w:eastAsia="Arial" w:hAnsi="Arial"/>
          <w:sz w:val="18"/>
          <w:szCs w:val="18"/>
          <w:color w:val="007549"/>
        </w:rPr>
        <w:t>www.hess.com</w:t>
      </w:r>
    </w:p>
    <w:p>
      <w:pPr>
        <w:sectPr>
          <w:pgSz w:w="11900" w:h="16838" w:orient="portrait"/>
          <w:cols w:equalWidth="0" w:num="1">
            <w:col w:w="10219"/>
          </w:cols>
          <w:pgMar w:left="240" w:top="454" w:right="1440"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200660</wp:posOffset>
            </wp:positionV>
            <wp:extent cx="2365375" cy="8026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365375" cy="802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00"/>
        <w:spacing w:after="0"/>
        <w:rPr>
          <w:sz w:val="20"/>
          <w:szCs w:val="20"/>
          <w:color w:val="auto"/>
        </w:rPr>
      </w:pPr>
      <w:r>
        <w:rPr>
          <w:rFonts w:ascii="Arial" w:cs="Arial" w:eastAsia="Arial" w:hAnsi="Arial"/>
          <w:sz w:val="21"/>
          <w:szCs w:val="21"/>
          <w:b w:val="1"/>
          <w:bCs w:val="1"/>
          <w:color w:val="auto"/>
        </w:rPr>
        <w:t>Electronic Voting Instructions</w:t>
      </w:r>
    </w:p>
    <w:p>
      <w:pPr>
        <w:spacing w:after="0" w:line="87"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Available 24 hours a day, 7 days a week!</w:t>
      </w:r>
    </w:p>
    <w:p>
      <w:pPr>
        <w:spacing w:after="0" w:line="99" w:lineRule="exact"/>
        <w:rPr>
          <w:sz w:val="20"/>
          <w:szCs w:val="20"/>
          <w:color w:val="auto"/>
        </w:rPr>
      </w:pPr>
    </w:p>
    <w:p>
      <w:pPr>
        <w:ind w:left="6000"/>
        <w:spacing w:after="0"/>
        <w:rPr>
          <w:sz w:val="20"/>
          <w:szCs w:val="20"/>
          <w:color w:val="auto"/>
        </w:rPr>
      </w:pPr>
      <w:r>
        <w:rPr>
          <w:rFonts w:ascii="Arial" w:cs="Arial" w:eastAsia="Arial" w:hAnsi="Arial"/>
          <w:sz w:val="14"/>
          <w:szCs w:val="14"/>
          <w:color w:val="auto"/>
        </w:rPr>
        <w:t>Instead of mailing your proxy, you may choose one of the voting methods</w:t>
      </w:r>
    </w:p>
    <w:p>
      <w:pPr>
        <w:ind w:left="6000"/>
        <w:spacing w:after="0"/>
        <w:rPr>
          <w:sz w:val="20"/>
          <w:szCs w:val="20"/>
          <w:color w:val="auto"/>
        </w:rPr>
      </w:pPr>
      <w:r>
        <w:rPr>
          <w:rFonts w:ascii="Arial" w:cs="Arial" w:eastAsia="Arial" w:hAnsi="Arial"/>
          <w:sz w:val="14"/>
          <w:szCs w:val="14"/>
          <w:color w:val="auto"/>
        </w:rPr>
        <w:t>outlined below to vote your proxy.</w:t>
      </w:r>
    </w:p>
    <w:p>
      <w:pPr>
        <w:spacing w:after="0" w:line="78" w:lineRule="exact"/>
        <w:rPr>
          <w:sz w:val="20"/>
          <w:szCs w:val="20"/>
          <w:color w:val="auto"/>
        </w:rPr>
      </w:pPr>
    </w:p>
    <w:p>
      <w:pPr>
        <w:ind w:left="6000"/>
        <w:spacing w:after="0"/>
        <w:rPr>
          <w:sz w:val="20"/>
          <w:szCs w:val="20"/>
          <w:color w:val="auto"/>
        </w:rPr>
      </w:pPr>
      <w:r>
        <w:rPr>
          <w:rFonts w:ascii="Arial" w:cs="Arial" w:eastAsia="Arial" w:hAnsi="Arial"/>
          <w:sz w:val="14"/>
          <w:szCs w:val="14"/>
          <w:color w:val="auto"/>
        </w:rPr>
        <w:t>VALIDATION DETAILS ARE LOCATED BELOW IN THE TITLE BAR.</w:t>
      </w:r>
    </w:p>
    <w:p>
      <w:pPr>
        <w:spacing w:after="0" w:line="60" w:lineRule="exact"/>
        <w:rPr>
          <w:sz w:val="20"/>
          <w:szCs w:val="20"/>
          <w:color w:val="auto"/>
        </w:rPr>
      </w:pPr>
    </w:p>
    <w:p>
      <w:pPr>
        <w:ind w:left="6000"/>
        <w:spacing w:after="0"/>
        <w:rPr>
          <w:sz w:val="20"/>
          <w:szCs w:val="20"/>
          <w:color w:val="auto"/>
        </w:rPr>
      </w:pPr>
      <w:r>
        <w:rPr>
          <w:rFonts w:ascii="Arial" w:cs="Arial" w:eastAsia="Arial" w:hAnsi="Arial"/>
          <w:sz w:val="14"/>
          <w:szCs w:val="14"/>
          <w:b w:val="1"/>
          <w:bCs w:val="1"/>
          <w:color w:val="auto"/>
        </w:rPr>
        <w:t>Proxies submitted by the Internet or telephone must be received by 11:59</w:t>
      </w:r>
    </w:p>
    <w:p>
      <w:pPr>
        <w:spacing w:after="0" w:line="17" w:lineRule="exact"/>
        <w:rPr>
          <w:sz w:val="20"/>
          <w:szCs w:val="20"/>
          <w:color w:val="auto"/>
        </w:rPr>
      </w:pPr>
    </w:p>
    <w:p>
      <w:pPr>
        <w:ind w:left="6000"/>
        <w:spacing w:after="0"/>
        <w:rPr>
          <w:sz w:val="20"/>
          <w:szCs w:val="20"/>
          <w:color w:val="auto"/>
        </w:rPr>
      </w:pPr>
      <w:r>
        <w:rPr>
          <w:rFonts w:ascii="Arial" w:cs="Arial" w:eastAsia="Arial" w:hAnsi="Arial"/>
          <w:sz w:val="14"/>
          <w:szCs w:val="14"/>
          <w:b w:val="1"/>
          <w:bCs w:val="1"/>
          <w:color w:val="auto"/>
        </w:rPr>
        <w:t>p.m., ET, on June 5, 2018.</w:t>
      </w:r>
    </w:p>
    <w:p>
      <w:pPr>
        <w:spacing w:after="0" w:line="51" w:lineRule="exact"/>
        <w:rPr>
          <w:sz w:val="20"/>
          <w:szCs w:val="20"/>
          <w:color w:val="auto"/>
        </w:rPr>
      </w:pPr>
    </w:p>
    <w:p>
      <w:pPr>
        <w:ind w:left="7080"/>
        <w:spacing w:after="0"/>
        <w:rPr>
          <w:sz w:val="20"/>
          <w:szCs w:val="20"/>
          <w:color w:val="auto"/>
        </w:rPr>
      </w:pPr>
      <w:r>
        <w:rPr>
          <w:rFonts w:ascii="Arial" w:cs="Arial" w:eastAsia="Arial" w:hAnsi="Arial"/>
          <w:sz w:val="18"/>
          <w:szCs w:val="18"/>
          <w:b w:val="1"/>
          <w:bCs w:val="1"/>
          <w:color w:val="auto"/>
        </w:rPr>
        <w:t>Vote by Internet</w:t>
      </w:r>
    </w:p>
    <w:p>
      <w:pPr>
        <w:spacing w:after="0" w:line="82" w:lineRule="exact"/>
        <w:rPr>
          <w:sz w:val="20"/>
          <w:szCs w:val="20"/>
          <w:color w:val="auto"/>
        </w:rPr>
      </w:pPr>
    </w:p>
    <w:p>
      <w:pPr>
        <w:ind w:left="7080"/>
        <w:spacing w:after="0"/>
        <w:tabs>
          <w:tab w:leader="none" w:pos="7280" w:val="left"/>
        </w:tabs>
        <w:rPr>
          <w:sz w:val="20"/>
          <w:szCs w:val="20"/>
          <w:color w:val="auto"/>
        </w:rPr>
      </w:pPr>
      <w:r>
        <w:rPr>
          <w:rFonts w:ascii="Arial" w:cs="Arial" w:eastAsia="Arial" w:hAnsi="Arial"/>
          <w:sz w:val="14"/>
          <w:szCs w:val="14"/>
          <w:color w:val="auto"/>
        </w:rPr>
        <w:t>•</w:t>
        <w:tab/>
        <w:t xml:space="preserve">Go to </w:t>
      </w:r>
      <w:r>
        <w:rPr>
          <w:rFonts w:ascii="Arial" w:cs="Arial" w:eastAsia="Arial" w:hAnsi="Arial"/>
          <w:sz w:val="14"/>
          <w:szCs w:val="14"/>
          <w:b w:val="1"/>
          <w:bCs w:val="1"/>
          <w:color w:val="auto"/>
        </w:rPr>
        <w:t>www.envisionreports.com/HES</w:t>
      </w:r>
    </w:p>
    <w:p>
      <w:pPr>
        <w:spacing w:after="0" w:line="96" w:lineRule="exact"/>
        <w:rPr>
          <w:sz w:val="20"/>
          <w:szCs w:val="20"/>
          <w:color w:val="auto"/>
        </w:rPr>
      </w:pPr>
    </w:p>
    <w:p>
      <w:pPr>
        <w:ind w:left="7080"/>
        <w:spacing w:after="0"/>
        <w:tabs>
          <w:tab w:leader="none" w:pos="7280" w:val="left"/>
        </w:tabs>
        <w:rPr>
          <w:sz w:val="20"/>
          <w:szCs w:val="20"/>
          <w:color w:val="auto"/>
        </w:rPr>
      </w:pPr>
      <w:r>
        <w:rPr>
          <w:rFonts w:ascii="Arial" w:cs="Arial" w:eastAsia="Arial" w:hAnsi="Arial"/>
          <w:sz w:val="14"/>
          <w:szCs w:val="14"/>
          <w:color w:val="auto"/>
        </w:rPr>
        <w:t>•</w:t>
        <w:tab/>
        <w:t>Or scan the QR code with your smartphone</w:t>
      </w:r>
    </w:p>
    <w:p>
      <w:pPr>
        <w:spacing w:after="0" w:line="78" w:lineRule="exact"/>
        <w:rPr>
          <w:sz w:val="20"/>
          <w:szCs w:val="20"/>
          <w:color w:val="auto"/>
        </w:rPr>
      </w:pPr>
    </w:p>
    <w:p>
      <w:pPr>
        <w:ind w:left="7080"/>
        <w:spacing w:after="0"/>
        <w:tabs>
          <w:tab w:leader="none" w:pos="7280" w:val="left"/>
        </w:tabs>
        <w:rPr>
          <w:sz w:val="20"/>
          <w:szCs w:val="20"/>
          <w:color w:val="auto"/>
        </w:rPr>
      </w:pPr>
      <w:r>
        <w:rPr>
          <w:rFonts w:ascii="Arial" w:cs="Arial" w:eastAsia="Arial" w:hAnsi="Arial"/>
          <w:sz w:val="14"/>
          <w:szCs w:val="14"/>
          <w:color w:val="auto"/>
        </w:rPr>
        <w:t>•</w:t>
        <w:tab/>
        <w:t>Follow the steps outlined on the secure website</w:t>
      </w:r>
    </w:p>
    <w:p>
      <w:pPr>
        <w:spacing w:after="0" w:line="131"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Vote by telephone</w:t>
      </w:r>
    </w:p>
    <w:p>
      <w:pPr>
        <w:sectPr>
          <w:pgSz w:w="11900" w:h="16838" w:orient="portrait"/>
          <w:cols w:equalWidth="0" w:num="1">
            <w:col w:w="11160"/>
          </w:cols>
          <w:pgMar w:left="240" w:top="454" w:right="49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both"/>
        <w:ind w:left="380" w:right="1206"/>
        <w:spacing w:after="0" w:line="258" w:lineRule="auto"/>
        <w:rPr>
          <w:sz w:val="20"/>
          <w:szCs w:val="20"/>
          <w:color w:val="auto"/>
        </w:rPr>
      </w:pPr>
      <w:r>
        <w:rPr>
          <w:rFonts w:ascii="Arial" w:cs="Arial" w:eastAsia="Arial" w:hAnsi="Arial"/>
          <w:sz w:val="14"/>
          <w:szCs w:val="14"/>
          <w:color w:val="auto"/>
        </w:rPr>
        <w:t xml:space="preserve">Using a </w:t>
      </w:r>
      <w:r>
        <w:rPr>
          <w:rFonts w:ascii="Arial" w:cs="Arial" w:eastAsia="Arial" w:hAnsi="Arial"/>
          <w:sz w:val="14"/>
          <w:szCs w:val="14"/>
          <w:b w:val="1"/>
          <w:bCs w:val="1"/>
          <w:u w:val="single" w:color="auto"/>
          <w:color w:val="auto"/>
        </w:rPr>
        <w:t>black ink</w:t>
      </w:r>
      <w:r>
        <w:rPr>
          <w:rFonts w:ascii="Arial" w:cs="Arial" w:eastAsia="Arial" w:hAnsi="Arial"/>
          <w:sz w:val="14"/>
          <w:szCs w:val="14"/>
          <w:color w:val="auto"/>
        </w:rPr>
        <w:t xml:space="preserve"> pen, mark your votes with an </w:t>
      </w:r>
      <w:r>
        <w:rPr>
          <w:rFonts w:ascii="Arial" w:cs="Arial" w:eastAsia="Arial" w:hAnsi="Arial"/>
          <w:sz w:val="14"/>
          <w:szCs w:val="14"/>
          <w:b w:val="1"/>
          <w:bCs w:val="1"/>
          <w:color w:val="auto"/>
        </w:rPr>
        <w:t>X</w:t>
      </w:r>
      <w:r>
        <w:rPr>
          <w:rFonts w:ascii="Arial" w:cs="Arial" w:eastAsia="Arial" w:hAnsi="Arial"/>
          <w:sz w:val="14"/>
          <w:szCs w:val="14"/>
          <w:color w:val="auto"/>
        </w:rPr>
        <w:t xml:space="preserve"> as shown in this example. Please do not write outside the designated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-320675</wp:posOffset>
            </wp:positionV>
            <wp:extent cx="270510" cy="24511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70510" cy="2451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left="94" w:right="180" w:hanging="94"/>
        <w:spacing w:after="0" w:line="251" w:lineRule="auto"/>
        <w:tabs>
          <w:tab w:leader="none" w:pos="90" w:val="left"/>
        </w:tabs>
        <w:numPr>
          <w:ilvl w:val="0"/>
          <w:numId w:val="90"/>
        </w:numPr>
        <w:rPr>
          <w:rFonts w:ascii="Arial" w:cs="Arial" w:eastAsia="Arial" w:hAnsi="Arial"/>
          <w:sz w:val="14"/>
          <w:szCs w:val="14"/>
          <w:color w:val="auto"/>
        </w:rPr>
      </w:pPr>
      <w:r>
        <w:rPr>
          <w:rFonts w:ascii="Arial" w:cs="Arial" w:eastAsia="Arial" w:hAnsi="Arial"/>
          <w:sz w:val="14"/>
          <w:szCs w:val="14"/>
          <w:color w:val="auto"/>
        </w:rPr>
        <w:t xml:space="preserve">Call toll free 1-800-652-VOTE (8683) within the USA, US territories &amp; Canada on a touch tone telephone. There is </w:t>
      </w:r>
      <w:r>
        <w:rPr>
          <w:rFonts w:ascii="Arial" w:cs="Arial" w:eastAsia="Arial" w:hAnsi="Arial"/>
          <w:sz w:val="14"/>
          <w:szCs w:val="14"/>
          <w:b w:val="1"/>
          <w:bCs w:val="1"/>
          <w:color w:val="auto"/>
        </w:rPr>
        <w:t>NO CHARGE</w:t>
      </w:r>
      <w:r>
        <w:rPr>
          <w:rFonts w:ascii="Arial" w:cs="Arial" w:eastAsia="Arial" w:hAnsi="Arial"/>
          <w:sz w:val="14"/>
          <w:szCs w:val="14"/>
          <w:color w:val="auto"/>
        </w:rPr>
        <w:t xml:space="preserve"> to you for the call.</w:t>
      </w:r>
    </w:p>
    <w:p>
      <w:pPr>
        <w:spacing w:after="0" w:line="75" w:lineRule="exact"/>
        <w:rPr>
          <w:rFonts w:ascii="Arial" w:cs="Arial" w:eastAsia="Arial" w:hAnsi="Arial"/>
          <w:sz w:val="14"/>
          <w:szCs w:val="14"/>
          <w:color w:val="auto"/>
        </w:rPr>
      </w:pPr>
    </w:p>
    <w:p>
      <w:pPr>
        <w:ind w:left="94" w:hanging="94"/>
        <w:spacing w:after="0"/>
        <w:tabs>
          <w:tab w:leader="none" w:pos="94" w:val="left"/>
        </w:tabs>
        <w:numPr>
          <w:ilvl w:val="0"/>
          <w:numId w:val="90"/>
        </w:numPr>
        <w:rPr>
          <w:rFonts w:ascii="Arial" w:cs="Arial" w:eastAsia="Arial" w:hAnsi="Arial"/>
          <w:sz w:val="14"/>
          <w:szCs w:val="14"/>
          <w:color w:val="auto"/>
        </w:rPr>
      </w:pPr>
      <w:r>
        <w:rPr>
          <w:rFonts w:ascii="Arial" w:cs="Arial" w:eastAsia="Arial" w:hAnsi="Arial"/>
          <w:sz w:val="14"/>
          <w:szCs w:val="14"/>
          <w:color w:val="auto"/>
        </w:rPr>
        <w:t>Follow the instructions provided by the recorded message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-3352800</wp:posOffset>
            </wp:positionH>
            <wp:positionV relativeFrom="paragraph">
              <wp:posOffset>266700</wp:posOffset>
            </wp:positionV>
            <wp:extent cx="6294120" cy="29591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294120" cy="295910"/>
                    </a:xfrm>
                    <a:prstGeom prst="rect">
                      <a:avLst/>
                    </a:prstGeom>
                    <a:noFill/>
                  </pic:spPr>
                </pic:pic>
              </a:graphicData>
            </a:graphic>
          </wp:anchor>
        </w:drawing>
      </w:r>
    </w:p>
    <w:p>
      <w:pPr>
        <w:spacing w:after="0" w:line="460" w:lineRule="exact"/>
        <w:rPr>
          <w:sz w:val="20"/>
          <w:szCs w:val="20"/>
          <w:color w:val="auto"/>
        </w:rPr>
      </w:pPr>
    </w:p>
    <w:p>
      <w:pPr>
        <w:sectPr>
          <w:pgSz w:w="11900" w:h="16838" w:orient="portrait"/>
          <w:cols w:equalWidth="0" w:num="2">
            <w:col w:w="5326" w:space="720"/>
            <w:col w:w="5114"/>
          </w:cols>
          <w:pgMar w:left="240" w:top="454" w:right="499" w:bottom="1440" w:gutter="0" w:footer="0" w:header="0"/>
          <w:type w:val="continuous"/>
        </w:sectPr>
      </w:pPr>
    </w:p>
    <w:p>
      <w:pPr>
        <w:spacing w:after="0" w:line="200" w:lineRule="exact"/>
        <w:rPr>
          <w:sz w:val="20"/>
          <w:szCs w:val="20"/>
          <w:color w:val="auto"/>
        </w:rPr>
      </w:pPr>
    </w:p>
    <w:p>
      <w:pPr>
        <w:spacing w:after="0" w:line="291" w:lineRule="exact"/>
        <w:rPr>
          <w:sz w:val="20"/>
          <w:szCs w:val="20"/>
          <w:color w:val="auto"/>
        </w:rPr>
      </w:pPr>
    </w:p>
    <w:p>
      <w:pPr>
        <w:jc w:val="center"/>
        <w:ind w:left="420" w:right="160"/>
        <w:spacing w:after="0" w:line="278" w:lineRule="auto"/>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IF YOU HAVE NOT VOTED VIA THE INTERNET</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auto"/>
        </w:rPr>
        <w:t>OR</w:t>
      </w:r>
      <w:r>
        <w:rPr>
          <w:rFonts w:ascii="Arial" w:cs="Arial" w:eastAsia="Arial" w:hAnsi="Arial"/>
          <w:sz w:val="14"/>
          <w:szCs w:val="14"/>
          <w:color w:val="auto"/>
        </w:rPr>
        <w:t xml:space="preserve"> </w:t>
      </w:r>
      <w:r>
        <w:rPr>
          <w:rFonts w:ascii="Arial" w:cs="Arial" w:eastAsia="Arial" w:hAnsi="Arial"/>
          <w:sz w:val="14"/>
          <w:szCs w:val="14"/>
          <w:b w:val="1"/>
          <w:bCs w:val="1"/>
          <w:color w:val="auto"/>
        </w:rPr>
        <w:t>TELEPHONE, FOLD ALONG THE PERFORATION, DETACH AND RETURN THE BOTTOM PORTION IN THE</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ENCLOSED ENVELOPE. </w:t>
      </w:r>
      <w:r>
        <w:rPr>
          <w:rFonts w:ascii="Arial" w:cs="Arial" w:eastAsia="Arial" w:hAnsi="Arial"/>
          <w:sz w:val="14"/>
          <w:szCs w:val="14"/>
          <w:color w:val="auto"/>
        </w:rPr>
        <w:t>q</w:t>
      </w:r>
    </w:p>
    <w:p>
      <w:pPr>
        <w:sectPr>
          <w:pgSz w:w="11900" w:h="16838" w:orient="portrait"/>
          <w:cols w:equalWidth="0" w:num="1">
            <w:col w:w="11160"/>
          </w:cols>
          <w:pgMar w:left="240" w:top="454" w:right="499" w:bottom="1440" w:gutter="0" w:footer="0" w:header="0"/>
          <w:type w:val="continuous"/>
        </w:sectPr>
      </w:pPr>
    </w:p>
    <w:p>
      <w:pPr>
        <w:spacing w:after="0" w:line="176" w:lineRule="exact"/>
        <w:rPr>
          <w:sz w:val="20"/>
          <w:szCs w:val="20"/>
          <w:color w:val="auto"/>
        </w:rPr>
      </w:pPr>
    </w:p>
    <w:p>
      <w:pPr>
        <w:ind w:left="560" w:hanging="240"/>
        <w:spacing w:after="0"/>
        <w:tabs>
          <w:tab w:leader="none" w:pos="560" w:val="left"/>
        </w:tabs>
        <w:numPr>
          <w:ilvl w:val="0"/>
          <w:numId w:val="91"/>
        </w:numPr>
        <w:rPr>
          <w:rFonts w:ascii="Arial" w:cs="Arial" w:eastAsia="Arial" w:hAnsi="Arial"/>
          <w:sz w:val="14"/>
          <w:szCs w:val="14"/>
          <w:b w:val="1"/>
          <w:bCs w:val="1"/>
          <w:color w:val="FFFFFF"/>
        </w:rPr>
      </w:pPr>
      <w:r>
        <w:rPr>
          <w:rFonts w:ascii="Arial" w:cs="Arial" w:eastAsia="Arial" w:hAnsi="Arial"/>
          <w:sz w:val="18"/>
          <w:szCs w:val="18"/>
          <w:b w:val="1"/>
          <w:bCs w:val="1"/>
          <w:color w:val="auto"/>
        </w:rPr>
        <w:t xml:space="preserve">Proposals — 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each of the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-116205</wp:posOffset>
            </wp:positionV>
            <wp:extent cx="109855" cy="1270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09855" cy="127000"/>
                    </a:xfrm>
                    <a:prstGeom prst="rect">
                      <a:avLst/>
                    </a:prstGeom>
                    <a:noFill/>
                  </pic:spPr>
                </pic:pic>
              </a:graphicData>
            </a:graphic>
          </wp:anchor>
        </w:drawing>
      </w:r>
    </w:p>
    <w:p>
      <w:pPr>
        <w:spacing w:after="0" w:line="235" w:lineRule="exact"/>
        <w:rPr>
          <w:sz w:val="20"/>
          <w:szCs w:val="20"/>
          <w:color w:val="auto"/>
        </w:rPr>
      </w:pPr>
    </w:p>
    <w:tbl>
      <w:tblPr>
        <w:tblLayout w:type="fixed"/>
        <w:tblInd w:w="400" w:type="dxa"/>
        <w:tblCellMar>
          <w:top w:w="0" w:type="dxa"/>
          <w:left w:w="0" w:type="dxa"/>
          <w:bottom w:w="0" w:type="dxa"/>
          <w:right w:w="0" w:type="dxa"/>
        </w:tblCellMar>
      </w:tblPr>
      <w:tr>
        <w:trPr>
          <w:trHeight w:val="176"/>
        </w:trPr>
        <w:tc>
          <w:tcPr>
            <w:tcW w:w="1780" w:type="dxa"/>
            <w:vAlign w:val="bottom"/>
            <w:gridSpan w:val="2"/>
          </w:tcPr>
          <w:p>
            <w:pPr>
              <w:spacing w:after="0"/>
              <w:rPr>
                <w:sz w:val="20"/>
                <w:szCs w:val="20"/>
                <w:color w:val="auto"/>
              </w:rPr>
            </w:pPr>
            <w:r>
              <w:rPr>
                <w:rFonts w:ascii="Arial" w:cs="Arial" w:eastAsia="Arial" w:hAnsi="Arial"/>
                <w:sz w:val="14"/>
                <w:szCs w:val="14"/>
                <w:color w:val="auto"/>
              </w:rPr>
              <w:t>1.  Election of Directors:</w:t>
            </w:r>
          </w:p>
        </w:tc>
        <w:tc>
          <w:tcPr>
            <w:tcW w:w="1040" w:type="dxa"/>
            <w:vAlign w:val="bottom"/>
          </w:tcPr>
          <w:p>
            <w:pPr>
              <w:ind w:left="120"/>
              <w:spacing w:after="0"/>
              <w:rPr>
                <w:sz w:val="20"/>
                <w:szCs w:val="20"/>
                <w:color w:val="auto"/>
              </w:rPr>
            </w:pPr>
            <w:r>
              <w:rPr>
                <w:rFonts w:ascii="Arial" w:cs="Arial" w:eastAsia="Arial" w:hAnsi="Arial"/>
                <w:sz w:val="14"/>
                <w:szCs w:val="14"/>
                <w:b w:val="1"/>
                <w:bCs w:val="1"/>
                <w:color w:val="auto"/>
              </w:rPr>
              <w:t>For  Against</w:t>
            </w: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Abstain</w:t>
            </w:r>
          </w:p>
        </w:tc>
        <w:tc>
          <w:tcPr>
            <w:tcW w:w="1340" w:type="dxa"/>
            <w:vAlign w:val="bottom"/>
          </w:tcPr>
          <w:p>
            <w:pPr>
              <w:spacing w:after="0"/>
              <w:rPr>
                <w:sz w:val="15"/>
                <w:szCs w:val="15"/>
                <w:color w:val="auto"/>
              </w:rPr>
            </w:pPr>
          </w:p>
        </w:tc>
        <w:tc>
          <w:tcPr>
            <w:tcW w:w="1120" w:type="dxa"/>
            <w:vAlign w:val="bottom"/>
          </w:tcPr>
          <w:p>
            <w:pPr>
              <w:ind w:left="180"/>
              <w:spacing w:after="0"/>
              <w:rPr>
                <w:sz w:val="20"/>
                <w:szCs w:val="20"/>
                <w:color w:val="auto"/>
              </w:rPr>
            </w:pPr>
            <w:r>
              <w:rPr>
                <w:rFonts w:ascii="Arial" w:cs="Arial" w:eastAsia="Arial" w:hAnsi="Arial"/>
                <w:sz w:val="14"/>
                <w:szCs w:val="14"/>
                <w:b w:val="1"/>
                <w:bCs w:val="1"/>
                <w:color w:val="auto"/>
              </w:rPr>
              <w:t>For  Against</w:t>
            </w: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Abstain</w:t>
            </w:r>
          </w:p>
        </w:tc>
        <w:tc>
          <w:tcPr>
            <w:tcW w:w="1540" w:type="dxa"/>
            <w:vAlign w:val="bottom"/>
          </w:tcPr>
          <w:p>
            <w:pPr>
              <w:spacing w:after="0"/>
              <w:rPr>
                <w:sz w:val="15"/>
                <w:szCs w:val="15"/>
                <w:color w:val="auto"/>
              </w:rPr>
            </w:pPr>
          </w:p>
        </w:tc>
      </w:tr>
      <w:tr>
        <w:trPr>
          <w:trHeight w:val="439"/>
        </w:trPr>
        <w:tc>
          <w:tcPr>
            <w:tcW w:w="400" w:type="dxa"/>
            <w:vAlign w:val="bottom"/>
          </w:tcPr>
          <w:p>
            <w:pPr>
              <w:jc w:val="right"/>
              <w:spacing w:after="0"/>
              <w:rPr>
                <w:sz w:val="20"/>
                <w:szCs w:val="20"/>
                <w:color w:val="auto"/>
              </w:rPr>
            </w:pPr>
            <w:r>
              <w:rPr>
                <w:rFonts w:ascii="Arial" w:cs="Arial" w:eastAsia="Arial" w:hAnsi="Arial"/>
                <w:sz w:val="14"/>
                <w:szCs w:val="14"/>
                <w:color w:val="auto"/>
              </w:rPr>
              <w:t>01</w:t>
            </w:r>
          </w:p>
        </w:tc>
        <w:tc>
          <w:tcPr>
            <w:tcW w:w="1380" w:type="dxa"/>
            <w:vAlign w:val="bottom"/>
          </w:tcPr>
          <w:p>
            <w:pPr>
              <w:ind w:left="20"/>
              <w:spacing w:after="0"/>
              <w:rPr>
                <w:sz w:val="20"/>
                <w:szCs w:val="20"/>
                <w:color w:val="auto"/>
              </w:rPr>
            </w:pPr>
            <w:r>
              <w:rPr>
                <w:rFonts w:ascii="Arial" w:cs="Arial" w:eastAsia="Arial" w:hAnsi="Arial"/>
                <w:sz w:val="14"/>
                <w:szCs w:val="14"/>
                <w:color w:val="auto"/>
              </w:rPr>
              <w:t>- R.F. CHASE</w:t>
            </w:r>
          </w:p>
        </w:tc>
        <w:tc>
          <w:tcPr>
            <w:tcW w:w="1040" w:type="dxa"/>
            <w:vAlign w:val="bottom"/>
          </w:tcPr>
          <w:p>
            <w:pPr>
              <w:ind w:left="100"/>
              <w:spacing w:after="0" w:line="281" w:lineRule="exact"/>
              <w:rPr>
                <w:sz w:val="20"/>
                <w:szCs w:val="20"/>
                <w:color w:val="auto"/>
              </w:rPr>
            </w:pPr>
            <w:r>
              <w:rPr>
                <w:rFonts w:ascii="MS PGothic" w:cs="MS PGothic" w:eastAsia="MS PGothic" w:hAnsi="MS PGothic"/>
                <w:sz w:val="28"/>
                <w:szCs w:val="28"/>
                <w:color w:val="auto"/>
              </w:rPr>
              <w:t>☐ ☐</w:t>
            </w:r>
          </w:p>
        </w:tc>
        <w:tc>
          <w:tcPr>
            <w:tcW w:w="2220" w:type="dxa"/>
            <w:vAlign w:val="bottom"/>
            <w:gridSpan w:val="3"/>
          </w:tcPr>
          <w:p>
            <w:pPr>
              <w:ind w:left="200"/>
              <w:spacing w:after="0" w:line="322" w:lineRule="exact"/>
              <w:rPr>
                <w:sz w:val="20"/>
                <w:szCs w:val="20"/>
                <w:color w:val="auto"/>
              </w:rPr>
            </w:pPr>
            <w:r>
              <w:rPr>
                <w:rFonts w:ascii="MS PGothic" w:cs="MS PGothic" w:eastAsia="MS PGothic" w:hAnsi="MS PGothic"/>
                <w:sz w:val="28"/>
                <w:szCs w:val="28"/>
                <w:color w:val="auto"/>
              </w:rPr>
              <w:t>☐</w:t>
            </w:r>
            <w:r>
              <w:rPr>
                <w:rFonts w:ascii="Arial" w:cs="Arial" w:eastAsia="Arial" w:hAnsi="Arial"/>
                <w:sz w:val="14"/>
                <w:szCs w:val="14"/>
                <w:color w:val="auto"/>
              </w:rPr>
              <w:t xml:space="preserve"> 02 - T.J. CHECKI</w:t>
            </w:r>
          </w:p>
        </w:tc>
        <w:tc>
          <w:tcPr>
            <w:tcW w:w="1120" w:type="dxa"/>
            <w:vAlign w:val="bottom"/>
          </w:tcPr>
          <w:p>
            <w:pPr>
              <w:ind w:left="160"/>
              <w:spacing w:after="0" w:line="281" w:lineRule="exact"/>
              <w:rPr>
                <w:sz w:val="20"/>
                <w:szCs w:val="20"/>
                <w:color w:val="auto"/>
              </w:rPr>
            </w:pPr>
            <w:r>
              <w:rPr>
                <w:rFonts w:ascii="MS PGothic" w:cs="MS PGothic" w:eastAsia="MS PGothic" w:hAnsi="MS PGothic"/>
                <w:sz w:val="28"/>
                <w:szCs w:val="28"/>
                <w:color w:val="auto"/>
              </w:rPr>
              <w:t>☐ ☐</w:t>
            </w:r>
          </w:p>
        </w:tc>
        <w:tc>
          <w:tcPr>
            <w:tcW w:w="2400" w:type="dxa"/>
            <w:vAlign w:val="bottom"/>
            <w:gridSpan w:val="3"/>
          </w:tcPr>
          <w:p>
            <w:pPr>
              <w:ind w:left="180"/>
              <w:spacing w:after="0" w:line="322" w:lineRule="exact"/>
              <w:rPr>
                <w:sz w:val="20"/>
                <w:szCs w:val="20"/>
                <w:color w:val="auto"/>
              </w:rPr>
            </w:pPr>
            <w:r>
              <w:rPr>
                <w:rFonts w:ascii="MS PGothic" w:cs="MS PGothic" w:eastAsia="MS PGothic" w:hAnsi="MS PGothic"/>
                <w:sz w:val="28"/>
                <w:szCs w:val="28"/>
                <w:color w:val="auto"/>
              </w:rPr>
              <w:t>☐</w:t>
            </w:r>
            <w:r>
              <w:rPr>
                <w:rFonts w:ascii="Arial" w:cs="Arial" w:eastAsia="Arial" w:hAnsi="Arial"/>
                <w:sz w:val="14"/>
                <w:szCs w:val="14"/>
                <w:color w:val="auto"/>
              </w:rPr>
              <w:t xml:space="preserve"> 03 - L.S. COLEMAN, JR.</w:t>
            </w:r>
          </w:p>
        </w:tc>
      </w:tr>
      <w:tr>
        <w:trPr>
          <w:trHeight w:val="439"/>
        </w:trPr>
        <w:tc>
          <w:tcPr>
            <w:tcW w:w="400" w:type="dxa"/>
            <w:vAlign w:val="bottom"/>
          </w:tcPr>
          <w:p>
            <w:pPr>
              <w:jc w:val="right"/>
              <w:spacing w:after="0"/>
              <w:rPr>
                <w:sz w:val="20"/>
                <w:szCs w:val="20"/>
                <w:color w:val="auto"/>
              </w:rPr>
            </w:pPr>
            <w:r>
              <w:rPr>
                <w:rFonts w:ascii="Arial" w:cs="Arial" w:eastAsia="Arial" w:hAnsi="Arial"/>
                <w:sz w:val="14"/>
                <w:szCs w:val="14"/>
                <w:color w:val="auto"/>
              </w:rPr>
              <w:t>04</w:t>
            </w:r>
          </w:p>
        </w:tc>
        <w:tc>
          <w:tcPr>
            <w:tcW w:w="1380" w:type="dxa"/>
            <w:vAlign w:val="bottom"/>
          </w:tcPr>
          <w:p>
            <w:pPr>
              <w:ind w:left="20"/>
              <w:spacing w:after="0"/>
              <w:rPr>
                <w:sz w:val="20"/>
                <w:szCs w:val="20"/>
                <w:color w:val="auto"/>
              </w:rPr>
            </w:pPr>
            <w:r>
              <w:rPr>
                <w:rFonts w:ascii="Arial" w:cs="Arial" w:eastAsia="Arial" w:hAnsi="Arial"/>
                <w:sz w:val="14"/>
                <w:szCs w:val="14"/>
                <w:color w:val="auto"/>
              </w:rPr>
              <w:t>- J.B. HESS</w:t>
            </w:r>
          </w:p>
        </w:tc>
        <w:tc>
          <w:tcPr>
            <w:tcW w:w="1040" w:type="dxa"/>
            <w:vAlign w:val="bottom"/>
          </w:tcPr>
          <w:p>
            <w:pPr>
              <w:ind w:left="100"/>
              <w:spacing w:after="0" w:line="281" w:lineRule="exact"/>
              <w:rPr>
                <w:sz w:val="20"/>
                <w:szCs w:val="20"/>
                <w:color w:val="auto"/>
              </w:rPr>
            </w:pPr>
            <w:r>
              <w:rPr>
                <w:rFonts w:ascii="MS PGothic" w:cs="MS PGothic" w:eastAsia="MS PGothic" w:hAnsi="MS PGothic"/>
                <w:sz w:val="28"/>
                <w:szCs w:val="28"/>
                <w:color w:val="auto"/>
              </w:rPr>
              <w:t>☐ ☐</w:t>
            </w:r>
          </w:p>
        </w:tc>
        <w:tc>
          <w:tcPr>
            <w:tcW w:w="880" w:type="dxa"/>
            <w:vAlign w:val="bottom"/>
            <w:gridSpan w:val="2"/>
          </w:tcPr>
          <w:p>
            <w:pPr>
              <w:jc w:val="right"/>
              <w:spacing w:after="0" w:line="322" w:lineRule="exact"/>
              <w:rPr>
                <w:sz w:val="20"/>
                <w:szCs w:val="20"/>
                <w:color w:val="auto"/>
              </w:rPr>
            </w:pPr>
            <w:r>
              <w:rPr>
                <w:rFonts w:ascii="MS PGothic" w:cs="MS PGothic" w:eastAsia="MS PGothic" w:hAnsi="MS PGothic"/>
                <w:sz w:val="28"/>
                <w:szCs w:val="28"/>
                <w:color w:val="auto"/>
              </w:rPr>
              <w:t>☐</w:t>
            </w:r>
            <w:r>
              <w:rPr>
                <w:rFonts w:ascii="Arial" w:cs="Arial" w:eastAsia="Arial" w:hAnsi="Arial"/>
                <w:sz w:val="14"/>
                <w:szCs w:val="14"/>
                <w:color w:val="auto"/>
              </w:rPr>
              <w:t xml:space="preserve"> 05</w:t>
            </w:r>
          </w:p>
        </w:tc>
        <w:tc>
          <w:tcPr>
            <w:tcW w:w="1340" w:type="dxa"/>
            <w:vAlign w:val="bottom"/>
          </w:tcPr>
          <w:p>
            <w:pPr>
              <w:ind w:left="20"/>
              <w:spacing w:after="0"/>
              <w:rPr>
                <w:sz w:val="20"/>
                <w:szCs w:val="20"/>
                <w:color w:val="auto"/>
              </w:rPr>
            </w:pPr>
            <w:r>
              <w:rPr>
                <w:rFonts w:ascii="Arial" w:cs="Arial" w:eastAsia="Arial" w:hAnsi="Arial"/>
                <w:sz w:val="14"/>
                <w:szCs w:val="14"/>
                <w:color w:val="auto"/>
              </w:rPr>
              <w:t>- E.E. HOLIDAY</w:t>
            </w:r>
          </w:p>
        </w:tc>
        <w:tc>
          <w:tcPr>
            <w:tcW w:w="1120" w:type="dxa"/>
            <w:vAlign w:val="bottom"/>
          </w:tcPr>
          <w:p>
            <w:pPr>
              <w:ind w:left="160"/>
              <w:spacing w:after="0" w:line="281" w:lineRule="exact"/>
              <w:rPr>
                <w:sz w:val="20"/>
                <w:szCs w:val="20"/>
                <w:color w:val="auto"/>
              </w:rPr>
            </w:pPr>
            <w:r>
              <w:rPr>
                <w:rFonts w:ascii="MS PGothic" w:cs="MS PGothic" w:eastAsia="MS PGothic" w:hAnsi="MS PGothic"/>
                <w:sz w:val="28"/>
                <w:szCs w:val="28"/>
                <w:color w:val="auto"/>
              </w:rPr>
              <w:t>☐ ☐</w:t>
            </w:r>
          </w:p>
        </w:tc>
        <w:tc>
          <w:tcPr>
            <w:tcW w:w="860" w:type="dxa"/>
            <w:vAlign w:val="bottom"/>
            <w:gridSpan w:val="2"/>
          </w:tcPr>
          <w:p>
            <w:pPr>
              <w:jc w:val="right"/>
              <w:spacing w:after="0" w:line="322" w:lineRule="exact"/>
              <w:rPr>
                <w:sz w:val="20"/>
                <w:szCs w:val="20"/>
                <w:color w:val="auto"/>
              </w:rPr>
            </w:pPr>
            <w:r>
              <w:rPr>
                <w:rFonts w:ascii="MS PGothic" w:cs="MS PGothic" w:eastAsia="MS PGothic" w:hAnsi="MS PGothic"/>
                <w:sz w:val="28"/>
                <w:szCs w:val="28"/>
                <w:color w:val="auto"/>
              </w:rPr>
              <w:t>☐</w:t>
            </w:r>
            <w:r>
              <w:rPr>
                <w:rFonts w:ascii="Arial" w:cs="Arial" w:eastAsia="Arial" w:hAnsi="Arial"/>
                <w:sz w:val="14"/>
                <w:szCs w:val="14"/>
                <w:color w:val="auto"/>
              </w:rPr>
              <w:t xml:space="preserve"> 06</w:t>
            </w:r>
          </w:p>
        </w:tc>
        <w:tc>
          <w:tcPr>
            <w:tcW w:w="1540" w:type="dxa"/>
            <w:vAlign w:val="bottom"/>
          </w:tcPr>
          <w:p>
            <w:pPr>
              <w:ind w:left="20"/>
              <w:spacing w:after="0"/>
              <w:rPr>
                <w:sz w:val="20"/>
                <w:szCs w:val="20"/>
                <w:color w:val="auto"/>
              </w:rPr>
            </w:pPr>
            <w:r>
              <w:rPr>
                <w:rFonts w:ascii="Arial" w:cs="Arial" w:eastAsia="Arial" w:hAnsi="Arial"/>
                <w:sz w:val="14"/>
                <w:szCs w:val="14"/>
                <w:color w:val="auto"/>
                <w:w w:val="99"/>
              </w:rPr>
              <w:t>- R. LAVIZZO-MOUREY</w:t>
            </w:r>
          </w:p>
        </w:tc>
      </w:tr>
      <w:tr>
        <w:trPr>
          <w:trHeight w:val="439"/>
        </w:trPr>
        <w:tc>
          <w:tcPr>
            <w:tcW w:w="400" w:type="dxa"/>
            <w:vAlign w:val="bottom"/>
          </w:tcPr>
          <w:p>
            <w:pPr>
              <w:jc w:val="right"/>
              <w:spacing w:after="0"/>
              <w:rPr>
                <w:sz w:val="20"/>
                <w:szCs w:val="20"/>
                <w:color w:val="auto"/>
              </w:rPr>
            </w:pPr>
            <w:r>
              <w:rPr>
                <w:rFonts w:ascii="Arial" w:cs="Arial" w:eastAsia="Arial" w:hAnsi="Arial"/>
                <w:sz w:val="14"/>
                <w:szCs w:val="14"/>
                <w:color w:val="auto"/>
              </w:rPr>
              <w:t>07</w:t>
            </w:r>
          </w:p>
        </w:tc>
        <w:tc>
          <w:tcPr>
            <w:tcW w:w="1380" w:type="dxa"/>
            <w:vAlign w:val="bottom"/>
          </w:tcPr>
          <w:p>
            <w:pPr>
              <w:ind w:left="20"/>
              <w:spacing w:after="0"/>
              <w:rPr>
                <w:sz w:val="20"/>
                <w:szCs w:val="20"/>
                <w:color w:val="auto"/>
              </w:rPr>
            </w:pPr>
            <w:r>
              <w:rPr>
                <w:rFonts w:ascii="Arial" w:cs="Arial" w:eastAsia="Arial" w:hAnsi="Arial"/>
                <w:sz w:val="14"/>
                <w:szCs w:val="14"/>
                <w:color w:val="auto"/>
              </w:rPr>
              <w:t>- M.S. LIPSCHULTZ</w:t>
            </w:r>
          </w:p>
        </w:tc>
        <w:tc>
          <w:tcPr>
            <w:tcW w:w="1040" w:type="dxa"/>
            <w:vAlign w:val="bottom"/>
          </w:tcPr>
          <w:p>
            <w:pPr>
              <w:ind w:left="100"/>
              <w:spacing w:after="0" w:line="281" w:lineRule="exact"/>
              <w:rPr>
                <w:sz w:val="20"/>
                <w:szCs w:val="20"/>
                <w:color w:val="auto"/>
              </w:rPr>
            </w:pPr>
            <w:r>
              <w:rPr>
                <w:rFonts w:ascii="MS PGothic" w:cs="MS PGothic" w:eastAsia="MS PGothic" w:hAnsi="MS PGothic"/>
                <w:sz w:val="28"/>
                <w:szCs w:val="28"/>
                <w:color w:val="auto"/>
              </w:rPr>
              <w:t>☐ ☐</w:t>
            </w:r>
          </w:p>
        </w:tc>
        <w:tc>
          <w:tcPr>
            <w:tcW w:w="580" w:type="dxa"/>
            <w:vAlign w:val="bottom"/>
          </w:tcPr>
          <w:p>
            <w:pPr>
              <w:ind w:left="200"/>
              <w:spacing w:after="0" w:line="281" w:lineRule="exact"/>
              <w:rPr>
                <w:sz w:val="20"/>
                <w:szCs w:val="20"/>
                <w:color w:val="auto"/>
              </w:rPr>
            </w:pPr>
            <w:r>
              <w:rPr>
                <w:rFonts w:ascii="MS PGothic" w:cs="MS PGothic" w:eastAsia="MS PGothic" w:hAnsi="MS PGothic"/>
                <w:sz w:val="28"/>
                <w:szCs w:val="28"/>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08</w:t>
            </w:r>
          </w:p>
        </w:tc>
        <w:tc>
          <w:tcPr>
            <w:tcW w:w="1340" w:type="dxa"/>
            <w:vAlign w:val="bottom"/>
          </w:tcPr>
          <w:p>
            <w:pPr>
              <w:ind w:left="20"/>
              <w:spacing w:after="0"/>
              <w:rPr>
                <w:sz w:val="20"/>
                <w:szCs w:val="20"/>
                <w:color w:val="auto"/>
              </w:rPr>
            </w:pPr>
            <w:r>
              <w:rPr>
                <w:rFonts w:ascii="Arial" w:cs="Arial" w:eastAsia="Arial" w:hAnsi="Arial"/>
                <w:sz w:val="14"/>
                <w:szCs w:val="14"/>
                <w:color w:val="auto"/>
              </w:rPr>
              <w:t>- D. MCMANUS</w:t>
            </w:r>
          </w:p>
        </w:tc>
        <w:tc>
          <w:tcPr>
            <w:tcW w:w="1120" w:type="dxa"/>
            <w:vAlign w:val="bottom"/>
          </w:tcPr>
          <w:p>
            <w:pPr>
              <w:ind w:left="160"/>
              <w:spacing w:after="0" w:line="281" w:lineRule="exact"/>
              <w:rPr>
                <w:sz w:val="20"/>
                <w:szCs w:val="20"/>
                <w:color w:val="auto"/>
              </w:rPr>
            </w:pPr>
            <w:r>
              <w:rPr>
                <w:rFonts w:ascii="MS PGothic" w:cs="MS PGothic" w:eastAsia="MS PGothic" w:hAnsi="MS PGothic"/>
                <w:sz w:val="28"/>
                <w:szCs w:val="28"/>
                <w:color w:val="auto"/>
              </w:rPr>
              <w:t>☐ ☐</w:t>
            </w:r>
          </w:p>
        </w:tc>
        <w:tc>
          <w:tcPr>
            <w:tcW w:w="560" w:type="dxa"/>
            <w:vAlign w:val="bottom"/>
          </w:tcPr>
          <w:p>
            <w:pPr>
              <w:ind w:left="180"/>
              <w:spacing w:after="0" w:line="281" w:lineRule="exact"/>
              <w:rPr>
                <w:sz w:val="20"/>
                <w:szCs w:val="20"/>
                <w:color w:val="auto"/>
              </w:rPr>
            </w:pPr>
            <w:r>
              <w:rPr>
                <w:rFonts w:ascii="MS PGothic" w:cs="MS PGothic" w:eastAsia="MS PGothic" w:hAnsi="MS PGothic"/>
                <w:sz w:val="28"/>
                <w:szCs w:val="28"/>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09</w:t>
            </w:r>
          </w:p>
        </w:tc>
        <w:tc>
          <w:tcPr>
            <w:tcW w:w="1540" w:type="dxa"/>
            <w:vAlign w:val="bottom"/>
          </w:tcPr>
          <w:p>
            <w:pPr>
              <w:ind w:left="20"/>
              <w:spacing w:after="0"/>
              <w:rPr>
                <w:sz w:val="20"/>
                <w:szCs w:val="20"/>
                <w:color w:val="auto"/>
              </w:rPr>
            </w:pPr>
            <w:r>
              <w:rPr>
                <w:rFonts w:ascii="Arial" w:cs="Arial" w:eastAsia="Arial" w:hAnsi="Arial"/>
                <w:sz w:val="14"/>
                <w:szCs w:val="14"/>
                <w:color w:val="auto"/>
              </w:rPr>
              <w:t>- K.O. MEYERS</w:t>
            </w:r>
          </w:p>
        </w:tc>
      </w:tr>
      <w:tr>
        <w:trPr>
          <w:trHeight w:val="445"/>
        </w:trPr>
        <w:tc>
          <w:tcPr>
            <w:tcW w:w="400" w:type="dxa"/>
            <w:vAlign w:val="bottom"/>
          </w:tcPr>
          <w:p>
            <w:pPr>
              <w:jc w:val="right"/>
              <w:spacing w:after="0"/>
              <w:rPr>
                <w:sz w:val="20"/>
                <w:szCs w:val="20"/>
                <w:color w:val="auto"/>
              </w:rPr>
            </w:pPr>
            <w:r>
              <w:rPr>
                <w:rFonts w:ascii="Arial" w:cs="Arial" w:eastAsia="Arial" w:hAnsi="Arial"/>
                <w:sz w:val="14"/>
                <w:szCs w:val="14"/>
                <w:color w:val="auto"/>
              </w:rPr>
              <w:t>10</w:t>
            </w:r>
          </w:p>
        </w:tc>
        <w:tc>
          <w:tcPr>
            <w:tcW w:w="1380" w:type="dxa"/>
            <w:vAlign w:val="bottom"/>
          </w:tcPr>
          <w:p>
            <w:pPr>
              <w:ind w:left="20"/>
              <w:spacing w:after="0"/>
              <w:rPr>
                <w:sz w:val="20"/>
                <w:szCs w:val="20"/>
                <w:color w:val="auto"/>
              </w:rPr>
            </w:pPr>
            <w:r>
              <w:rPr>
                <w:rFonts w:ascii="Arial" w:cs="Arial" w:eastAsia="Arial" w:hAnsi="Arial"/>
                <w:sz w:val="14"/>
                <w:szCs w:val="14"/>
                <w:color w:val="auto"/>
              </w:rPr>
              <w:t>- J.H. QUIGLEY</w:t>
            </w:r>
          </w:p>
        </w:tc>
        <w:tc>
          <w:tcPr>
            <w:tcW w:w="1040" w:type="dxa"/>
            <w:vAlign w:val="bottom"/>
          </w:tcPr>
          <w:p>
            <w:pPr>
              <w:ind w:left="100"/>
              <w:spacing w:after="0" w:line="281" w:lineRule="exact"/>
              <w:rPr>
                <w:sz w:val="20"/>
                <w:szCs w:val="20"/>
                <w:color w:val="auto"/>
              </w:rPr>
            </w:pPr>
            <w:r>
              <w:rPr>
                <w:rFonts w:ascii="MS PGothic" w:cs="MS PGothic" w:eastAsia="MS PGothic" w:hAnsi="MS PGothic"/>
                <w:sz w:val="28"/>
                <w:szCs w:val="28"/>
                <w:color w:val="auto"/>
              </w:rPr>
              <w:t>☐ ☐</w:t>
            </w:r>
          </w:p>
        </w:tc>
        <w:tc>
          <w:tcPr>
            <w:tcW w:w="580" w:type="dxa"/>
            <w:vAlign w:val="bottom"/>
          </w:tcPr>
          <w:p>
            <w:pPr>
              <w:ind w:left="200"/>
              <w:spacing w:after="0" w:line="281" w:lineRule="exact"/>
              <w:rPr>
                <w:sz w:val="20"/>
                <w:szCs w:val="20"/>
                <w:color w:val="auto"/>
              </w:rPr>
            </w:pPr>
            <w:r>
              <w:rPr>
                <w:rFonts w:ascii="MS PGothic" w:cs="MS PGothic" w:eastAsia="MS PGothic" w:hAnsi="MS PGothic"/>
                <w:sz w:val="28"/>
                <w:szCs w:val="28"/>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11</w:t>
            </w:r>
          </w:p>
        </w:tc>
        <w:tc>
          <w:tcPr>
            <w:tcW w:w="1340" w:type="dxa"/>
            <w:vAlign w:val="bottom"/>
          </w:tcPr>
          <w:p>
            <w:pPr>
              <w:ind w:left="20"/>
              <w:spacing w:after="0"/>
              <w:rPr>
                <w:sz w:val="20"/>
                <w:szCs w:val="20"/>
                <w:color w:val="auto"/>
              </w:rPr>
            </w:pPr>
            <w:r>
              <w:rPr>
                <w:rFonts w:ascii="Arial" w:cs="Arial" w:eastAsia="Arial" w:hAnsi="Arial"/>
                <w:sz w:val="14"/>
                <w:szCs w:val="14"/>
                <w:color w:val="auto"/>
              </w:rPr>
              <w:t>- F.G. REYNOLDS</w:t>
            </w:r>
          </w:p>
        </w:tc>
        <w:tc>
          <w:tcPr>
            <w:tcW w:w="1120" w:type="dxa"/>
            <w:vAlign w:val="bottom"/>
          </w:tcPr>
          <w:p>
            <w:pPr>
              <w:ind w:left="160"/>
              <w:spacing w:after="0" w:line="281" w:lineRule="exact"/>
              <w:rPr>
                <w:sz w:val="20"/>
                <w:szCs w:val="20"/>
                <w:color w:val="auto"/>
              </w:rPr>
            </w:pPr>
            <w:r>
              <w:rPr>
                <w:rFonts w:ascii="MS PGothic" w:cs="MS PGothic" w:eastAsia="MS PGothic" w:hAnsi="MS PGothic"/>
                <w:sz w:val="28"/>
                <w:szCs w:val="28"/>
                <w:color w:val="auto"/>
              </w:rPr>
              <w:t>☐ ☐</w:t>
            </w:r>
          </w:p>
        </w:tc>
        <w:tc>
          <w:tcPr>
            <w:tcW w:w="560" w:type="dxa"/>
            <w:vAlign w:val="bottom"/>
          </w:tcPr>
          <w:p>
            <w:pPr>
              <w:ind w:left="180"/>
              <w:spacing w:after="0" w:line="281" w:lineRule="exact"/>
              <w:rPr>
                <w:sz w:val="20"/>
                <w:szCs w:val="20"/>
                <w:color w:val="auto"/>
              </w:rPr>
            </w:pPr>
            <w:r>
              <w:rPr>
                <w:rFonts w:ascii="MS PGothic" w:cs="MS PGothic" w:eastAsia="MS PGothic" w:hAnsi="MS PGothic"/>
                <w:sz w:val="28"/>
                <w:szCs w:val="28"/>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12</w:t>
            </w:r>
          </w:p>
        </w:tc>
        <w:tc>
          <w:tcPr>
            <w:tcW w:w="1540" w:type="dxa"/>
            <w:vAlign w:val="bottom"/>
          </w:tcPr>
          <w:p>
            <w:pPr>
              <w:ind w:left="20"/>
              <w:spacing w:after="0"/>
              <w:rPr>
                <w:sz w:val="20"/>
                <w:szCs w:val="20"/>
                <w:color w:val="auto"/>
              </w:rPr>
            </w:pPr>
            <w:r>
              <w:rPr>
                <w:rFonts w:ascii="Arial" w:cs="Arial" w:eastAsia="Arial" w:hAnsi="Arial"/>
                <w:sz w:val="14"/>
                <w:szCs w:val="14"/>
                <w:color w:val="auto"/>
              </w:rPr>
              <w:t>- W.G. SCHRADER</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ind w:left="20"/>
        <w:spacing w:after="0"/>
        <w:tabs>
          <w:tab w:leader="none" w:pos="360" w:val="left"/>
        </w:tabs>
        <w:rPr>
          <w:sz w:val="20"/>
          <w:szCs w:val="20"/>
          <w:color w:val="auto"/>
        </w:rPr>
      </w:pPr>
      <w:r>
        <w:rPr>
          <w:rFonts w:ascii="Arial" w:cs="Arial" w:eastAsia="Arial" w:hAnsi="Arial"/>
          <w:sz w:val="14"/>
          <w:szCs w:val="14"/>
          <w:b w:val="1"/>
          <w:bCs w:val="1"/>
          <w:color w:val="auto"/>
        </w:rPr>
        <w:t>For</w:t>
        <w:tab/>
        <w:t xml:space="preserve">Against  Abstain  </w:t>
      </w:r>
      <w:r>
        <w:rPr>
          <w:rFonts w:ascii="Arial" w:cs="Arial" w:eastAsia="Arial" w:hAnsi="Arial"/>
          <w:sz w:val="35"/>
          <w:szCs w:val="35"/>
          <w:b w:val="1"/>
          <w:bCs w:val="1"/>
          <w:color w:val="auto"/>
        </w:rPr>
        <w:t>+</w:t>
      </w:r>
    </w:p>
    <w:p>
      <w:pPr>
        <w:spacing w:after="0" w:line="5" w:lineRule="exact"/>
        <w:rPr>
          <w:sz w:val="20"/>
          <w:szCs w:val="20"/>
          <w:color w:val="auto"/>
        </w:rPr>
      </w:pPr>
    </w:p>
    <w:p>
      <w:pPr>
        <w:spacing w:after="0" w:line="281" w:lineRule="exact"/>
        <w:tabs>
          <w:tab w:leader="none" w:pos="1120" w:val="left"/>
        </w:tabs>
        <w:rPr>
          <w:sz w:val="20"/>
          <w:szCs w:val="20"/>
          <w:color w:val="auto"/>
        </w:rPr>
      </w:pPr>
      <w:r>
        <w:rPr>
          <w:rFonts w:ascii="MS PGothic" w:cs="MS PGothic" w:eastAsia="MS PGothic" w:hAnsi="MS PGothic"/>
          <w:sz w:val="28"/>
          <w:szCs w:val="28"/>
          <w:color w:val="auto"/>
        </w:rPr>
        <w:t>☐ ☐</w:t>
      </w:r>
      <w:r>
        <w:rPr>
          <w:sz w:val="20"/>
          <w:szCs w:val="20"/>
          <w:color w:val="auto"/>
        </w:rPr>
        <w:tab/>
      </w:r>
      <w:r>
        <w:rPr>
          <w:rFonts w:ascii="MS PGothic" w:cs="MS PGothic" w:eastAsia="MS PGothic" w:hAnsi="MS PGothic"/>
          <w:sz w:val="26"/>
          <w:szCs w:val="26"/>
          <w:color w:val="auto"/>
        </w:rPr>
        <w:t>☐</w:t>
      </w:r>
    </w:p>
    <w:p>
      <w:pPr>
        <w:spacing w:after="0" w:line="99" w:lineRule="exact"/>
        <w:rPr>
          <w:sz w:val="20"/>
          <w:szCs w:val="20"/>
          <w:color w:val="auto"/>
        </w:rPr>
      </w:pPr>
    </w:p>
    <w:p>
      <w:pPr>
        <w:spacing w:after="0" w:line="281" w:lineRule="exact"/>
        <w:tabs>
          <w:tab w:leader="none" w:pos="1120" w:val="left"/>
        </w:tabs>
        <w:rPr>
          <w:sz w:val="20"/>
          <w:szCs w:val="20"/>
          <w:color w:val="auto"/>
        </w:rPr>
      </w:pPr>
      <w:r>
        <w:rPr>
          <w:rFonts w:ascii="MS PGothic" w:cs="MS PGothic" w:eastAsia="MS PGothic" w:hAnsi="MS PGothic"/>
          <w:sz w:val="28"/>
          <w:szCs w:val="28"/>
          <w:color w:val="auto"/>
        </w:rPr>
        <w:t>☐ ☐</w:t>
      </w:r>
      <w:r>
        <w:rPr>
          <w:sz w:val="20"/>
          <w:szCs w:val="20"/>
          <w:color w:val="auto"/>
        </w:rPr>
        <w:tab/>
      </w:r>
      <w:r>
        <w:rPr>
          <w:rFonts w:ascii="MS PGothic" w:cs="MS PGothic" w:eastAsia="MS PGothic" w:hAnsi="MS PGothic"/>
          <w:sz w:val="26"/>
          <w:szCs w:val="26"/>
          <w:color w:val="auto"/>
        </w:rPr>
        <w:t>☐</w:t>
      </w:r>
    </w:p>
    <w:p>
      <w:pPr>
        <w:spacing w:after="0" w:line="159" w:lineRule="exact"/>
        <w:rPr>
          <w:sz w:val="20"/>
          <w:szCs w:val="20"/>
          <w:color w:val="auto"/>
        </w:rPr>
      </w:pPr>
    </w:p>
    <w:p>
      <w:pPr>
        <w:spacing w:after="0" w:line="281" w:lineRule="exact"/>
        <w:tabs>
          <w:tab w:leader="none" w:pos="1120" w:val="left"/>
        </w:tabs>
        <w:rPr>
          <w:sz w:val="20"/>
          <w:szCs w:val="20"/>
          <w:color w:val="auto"/>
        </w:rPr>
      </w:pPr>
      <w:r>
        <w:rPr>
          <w:rFonts w:ascii="MS PGothic" w:cs="MS PGothic" w:eastAsia="MS PGothic" w:hAnsi="MS PGothic"/>
          <w:sz w:val="28"/>
          <w:szCs w:val="28"/>
          <w:color w:val="auto"/>
        </w:rPr>
        <w:t>☐ ☐</w:t>
      </w:r>
      <w:r>
        <w:rPr>
          <w:sz w:val="20"/>
          <w:szCs w:val="20"/>
          <w:color w:val="auto"/>
        </w:rPr>
        <w:tab/>
      </w:r>
      <w:r>
        <w:rPr>
          <w:rFonts w:ascii="MS PGothic" w:cs="MS PGothic" w:eastAsia="MS PGothic" w:hAnsi="MS PGothic"/>
          <w:sz w:val="26"/>
          <w:szCs w:val="26"/>
          <w:color w:val="auto"/>
        </w:rPr>
        <w:t>☐</w:t>
      </w:r>
    </w:p>
    <w:p>
      <w:pPr>
        <w:spacing w:after="0" w:line="159" w:lineRule="exact"/>
        <w:rPr>
          <w:sz w:val="20"/>
          <w:szCs w:val="20"/>
          <w:color w:val="auto"/>
        </w:rPr>
      </w:pPr>
    </w:p>
    <w:p>
      <w:pPr>
        <w:spacing w:after="0" w:line="281" w:lineRule="exact"/>
        <w:tabs>
          <w:tab w:leader="none" w:pos="1120" w:val="left"/>
        </w:tabs>
        <w:rPr>
          <w:sz w:val="20"/>
          <w:szCs w:val="20"/>
          <w:color w:val="auto"/>
        </w:rPr>
      </w:pPr>
      <w:r>
        <w:rPr>
          <w:rFonts w:ascii="MS PGothic" w:cs="MS PGothic" w:eastAsia="MS PGothic" w:hAnsi="MS PGothic"/>
          <w:sz w:val="28"/>
          <w:szCs w:val="28"/>
          <w:color w:val="auto"/>
        </w:rPr>
        <w:t>☐ ☐</w:t>
      </w:r>
      <w:r>
        <w:rPr>
          <w:sz w:val="20"/>
          <w:szCs w:val="20"/>
          <w:color w:val="auto"/>
        </w:rPr>
        <w:tab/>
      </w:r>
      <w:r>
        <w:rPr>
          <w:rFonts w:ascii="MS PGothic" w:cs="MS PGothic" w:eastAsia="MS PGothic" w:hAnsi="MS PGothic"/>
          <w:sz w:val="26"/>
          <w:szCs w:val="26"/>
          <w:color w:val="auto"/>
        </w:rPr>
        <w:t>☐</w:t>
      </w:r>
    </w:p>
    <w:p>
      <w:pPr>
        <w:spacing w:after="0" w:line="359" w:lineRule="exact"/>
        <w:rPr>
          <w:sz w:val="20"/>
          <w:szCs w:val="20"/>
          <w:color w:val="auto"/>
        </w:rPr>
      </w:pPr>
    </w:p>
    <w:p>
      <w:pPr>
        <w:sectPr>
          <w:pgSz w:w="11900" w:h="16838" w:orient="portrait"/>
          <w:cols w:equalWidth="0" w:num="2">
            <w:col w:w="8960" w:space="180"/>
            <w:col w:w="2020"/>
          </w:cols>
          <w:pgMar w:left="240" w:top="454" w:right="499" w:bottom="1440" w:gutter="0" w:footer="0" w:header="0"/>
          <w:type w:val="continuous"/>
        </w:sectPr>
      </w:pPr>
    </w:p>
    <w:p>
      <w:pPr>
        <w:spacing w:after="0" w:line="153"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 xml:space="preserve">The Board recommends a vote </w:t>
      </w:r>
      <w:r>
        <w:rPr>
          <w:rFonts w:ascii="Arial" w:cs="Arial" w:eastAsia="Arial" w:hAnsi="Arial"/>
          <w:sz w:val="17"/>
          <w:szCs w:val="17"/>
          <w:b w:val="1"/>
          <w:bCs w:val="1"/>
          <w:u w:val="single" w:color="auto"/>
          <w:color w:val="auto"/>
        </w:rPr>
        <w:t>FOR</w:t>
      </w:r>
      <w:r>
        <w:rPr>
          <w:rFonts w:ascii="Arial" w:cs="Arial" w:eastAsia="Arial" w:hAnsi="Arial"/>
          <w:sz w:val="17"/>
          <w:szCs w:val="17"/>
          <w:b w:val="1"/>
          <w:bCs w:val="1"/>
          <w:color w:val="auto"/>
        </w:rPr>
        <w:t xml:space="preserve"> Proposals 2 and 3.</w:t>
      </w:r>
    </w:p>
    <w:p>
      <w:pPr>
        <w:sectPr>
          <w:pgSz w:w="11900" w:h="16838" w:orient="portrait"/>
          <w:cols w:equalWidth="0" w:num="1">
            <w:col w:w="11160"/>
          </w:cols>
          <w:pgMar w:left="240" w:top="454" w:right="499" w:bottom="1440" w:gutter="0" w:footer="0" w:header="0"/>
          <w:type w:val="continuous"/>
        </w:sectPr>
      </w:pPr>
    </w:p>
    <w:p>
      <w:pPr>
        <w:spacing w:after="0" w:line="271" w:lineRule="exact"/>
        <w:rPr>
          <w:sz w:val="20"/>
          <w:szCs w:val="20"/>
          <w:color w:val="auto"/>
        </w:rPr>
      </w:pPr>
    </w:p>
    <w:p>
      <w:pPr>
        <w:ind w:left="600" w:hanging="221"/>
        <w:spacing w:after="0" w:line="251" w:lineRule="auto"/>
        <w:tabs>
          <w:tab w:leader="none" w:pos="600" w:val="left"/>
        </w:tabs>
        <w:numPr>
          <w:ilvl w:val="0"/>
          <w:numId w:val="92"/>
        </w:numPr>
        <w:rPr>
          <w:rFonts w:ascii="Arial" w:cs="Arial" w:eastAsia="Arial" w:hAnsi="Arial"/>
          <w:sz w:val="14"/>
          <w:szCs w:val="14"/>
          <w:color w:val="auto"/>
        </w:rPr>
      </w:pPr>
      <w:r>
        <w:rPr>
          <w:rFonts w:ascii="Arial" w:cs="Arial" w:eastAsia="Arial" w:hAnsi="Arial"/>
          <w:sz w:val="14"/>
          <w:szCs w:val="14"/>
          <w:color w:val="auto"/>
        </w:rPr>
        <w:t>Advisory vote to approve the compensation of our named executive officers.</w:t>
      </w:r>
    </w:p>
    <w:p>
      <w:pPr>
        <w:spacing w:after="0" w:line="195" w:lineRule="exact"/>
        <w:rPr>
          <w:rFonts w:ascii="Arial" w:cs="Arial" w:eastAsia="Arial" w:hAnsi="Arial"/>
          <w:sz w:val="14"/>
          <w:szCs w:val="14"/>
          <w:color w:val="auto"/>
        </w:rPr>
      </w:pPr>
    </w:p>
    <w:p>
      <w:pPr>
        <w:jc w:val="both"/>
        <w:ind w:left="600" w:right="80" w:hanging="221"/>
        <w:spacing w:after="0" w:line="244" w:lineRule="auto"/>
        <w:tabs>
          <w:tab w:leader="none" w:pos="600" w:val="left"/>
        </w:tabs>
        <w:numPr>
          <w:ilvl w:val="0"/>
          <w:numId w:val="92"/>
        </w:numPr>
        <w:rPr>
          <w:rFonts w:ascii="Arial" w:cs="Arial" w:eastAsia="Arial" w:hAnsi="Arial"/>
          <w:sz w:val="14"/>
          <w:szCs w:val="14"/>
          <w:color w:val="auto"/>
        </w:rPr>
      </w:pPr>
      <w:r>
        <w:rPr>
          <w:rFonts w:ascii="Arial" w:cs="Arial" w:eastAsia="Arial" w:hAnsi="Arial"/>
          <w:sz w:val="14"/>
          <w:szCs w:val="14"/>
          <w:color w:val="auto"/>
        </w:rPr>
        <w:t>Ratification of the selection of Ernst &amp; Young LLP as our independent registered public accountants for the fiscal year ending December 31, 2018.</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Against  Abstain</w:t>
      </w:r>
    </w:p>
    <w:p>
      <w:pPr>
        <w:spacing w:after="0" w:line="8" w:lineRule="exact"/>
        <w:rPr>
          <w:sz w:val="20"/>
          <w:szCs w:val="20"/>
          <w:color w:val="auto"/>
        </w:rPr>
      </w:pPr>
    </w:p>
    <w:p>
      <w:pPr>
        <w:spacing w:after="0" w:line="251" w:lineRule="exact"/>
        <w:tabs>
          <w:tab w:leader="none" w:pos="1120" w:val="left"/>
        </w:tabs>
        <w:rPr>
          <w:sz w:val="20"/>
          <w:szCs w:val="20"/>
          <w:color w:val="auto"/>
        </w:rPr>
      </w:pPr>
      <w:r>
        <w:rPr>
          <w:rFonts w:ascii="MS PGothic" w:cs="MS PGothic" w:eastAsia="MS PGothic" w:hAnsi="MS PGothic"/>
          <w:sz w:val="25"/>
          <w:szCs w:val="25"/>
          <w:color w:val="auto"/>
        </w:rPr>
        <w:t>☐  ☐</w:t>
      </w:r>
      <w:r>
        <w:rPr>
          <w:sz w:val="20"/>
          <w:szCs w:val="20"/>
          <w:color w:val="auto"/>
        </w:rPr>
        <w:tab/>
      </w:r>
      <w:r>
        <w:rPr>
          <w:rFonts w:ascii="MS PGothic" w:cs="MS PGothic" w:eastAsia="MS PGothic" w:hAnsi="MS PGothic"/>
          <w:sz w:val="22"/>
          <w:szCs w:val="22"/>
          <w:color w:val="auto"/>
        </w:rPr>
        <w:t>☐</w:t>
      </w:r>
    </w:p>
    <w:p>
      <w:pPr>
        <w:spacing w:after="0" w:line="224" w:lineRule="exact"/>
        <w:rPr>
          <w:sz w:val="20"/>
          <w:szCs w:val="20"/>
          <w:color w:val="auto"/>
        </w:rPr>
      </w:pPr>
    </w:p>
    <w:p>
      <w:pPr>
        <w:spacing w:after="0" w:line="251" w:lineRule="exact"/>
        <w:tabs>
          <w:tab w:leader="none" w:pos="1120" w:val="left"/>
        </w:tabs>
        <w:rPr>
          <w:sz w:val="20"/>
          <w:szCs w:val="20"/>
          <w:color w:val="auto"/>
        </w:rPr>
      </w:pPr>
      <w:r>
        <w:rPr>
          <w:rFonts w:ascii="MS PGothic" w:cs="MS PGothic" w:eastAsia="MS PGothic" w:hAnsi="MS PGothic"/>
          <w:sz w:val="25"/>
          <w:szCs w:val="25"/>
          <w:color w:val="auto"/>
        </w:rPr>
        <w:t>☐  ☐</w:t>
      </w:r>
      <w:r>
        <w:rPr>
          <w:sz w:val="20"/>
          <w:szCs w:val="20"/>
          <w:color w:val="auto"/>
        </w:rPr>
        <w:tab/>
      </w:r>
      <w:r>
        <w:rPr>
          <w:rFonts w:ascii="MS PGothic" w:cs="MS PGothic" w:eastAsia="MS PGothic" w:hAnsi="MS PGothic"/>
          <w:sz w:val="22"/>
          <w:szCs w:val="22"/>
          <w:color w:val="auto"/>
        </w:rPr>
        <w:t>☐</w:t>
      </w:r>
    </w:p>
    <w:p>
      <w:pPr>
        <w:spacing w:after="0" w:line="507" w:lineRule="exact"/>
        <w:rPr>
          <w:sz w:val="20"/>
          <w:szCs w:val="20"/>
          <w:color w:val="auto"/>
        </w:rPr>
      </w:pPr>
    </w:p>
    <w:p>
      <w:pPr>
        <w:sectPr>
          <w:pgSz w:w="11900" w:h="16838" w:orient="portrait"/>
          <w:cols w:equalWidth="0" w:num="2">
            <w:col w:w="4200" w:space="380"/>
            <w:col w:w="6580"/>
          </w:cols>
          <w:pgMar w:left="240" w:top="454" w:right="499" w:bottom="1440" w:gutter="0" w:footer="0" w:header="0"/>
          <w:type w:val="continuous"/>
        </w:sectPr>
      </w:pPr>
    </w:p>
    <w:p>
      <w:pPr>
        <w:spacing w:after="0" w:line="76" w:lineRule="exact"/>
        <w:rPr>
          <w:sz w:val="20"/>
          <w:szCs w:val="20"/>
          <w:color w:val="auto"/>
        </w:rPr>
      </w:pPr>
    </w:p>
    <w:p>
      <w:pPr>
        <w:ind w:left="560" w:hanging="235"/>
        <w:spacing w:after="0"/>
        <w:tabs>
          <w:tab w:leader="none" w:pos="560" w:val="left"/>
        </w:tabs>
        <w:numPr>
          <w:ilvl w:val="0"/>
          <w:numId w:val="93"/>
        </w:numPr>
        <w:rPr>
          <w:rFonts w:ascii="Arial" w:cs="Arial" w:eastAsia="Arial" w:hAnsi="Arial"/>
          <w:sz w:val="14"/>
          <w:szCs w:val="14"/>
          <w:b w:val="1"/>
          <w:bCs w:val="1"/>
          <w:color w:val="FFFFFF"/>
        </w:rPr>
      </w:pPr>
      <w:r>
        <w:rPr>
          <w:rFonts w:ascii="Arial" w:cs="Arial" w:eastAsia="Arial" w:hAnsi="Arial"/>
          <w:sz w:val="17"/>
          <w:szCs w:val="17"/>
          <w:b w:val="1"/>
          <w:bCs w:val="1"/>
          <w:color w:val="auto"/>
        </w:rPr>
        <w:t>Authorized Signatures — This section must be completed for your vote to be counted. —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-106680</wp:posOffset>
            </wp:positionV>
            <wp:extent cx="118110" cy="11811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81" w:lineRule="exact"/>
        <w:rPr>
          <w:sz w:val="20"/>
          <w:szCs w:val="20"/>
          <w:color w:val="auto"/>
        </w:rPr>
      </w:pPr>
    </w:p>
    <w:p>
      <w:pPr>
        <w:ind w:left="280" w:right="280"/>
        <w:spacing w:after="0" w:line="251" w:lineRule="auto"/>
        <w:rPr>
          <w:sz w:val="20"/>
          <w:szCs w:val="20"/>
          <w:color w:val="auto"/>
        </w:rPr>
      </w:pPr>
      <w:r>
        <w:rPr>
          <w:rFonts w:ascii="Arial" w:cs="Arial" w:eastAsia="Arial" w:hAnsi="Arial"/>
          <w:sz w:val="14"/>
          <w:szCs w:val="14"/>
          <w:color w:val="auto"/>
        </w:rPr>
        <w:t>Please sign exactly as name(s) appears hereon. Joint owners should each sign. When signing as attorney, executor, administrator, corporate officer, trustee, guardian, or custodian, please give full title.</w:t>
      </w:r>
    </w:p>
    <w:p>
      <w:pPr>
        <w:spacing w:after="0" w:line="62" w:lineRule="exact"/>
        <w:rPr>
          <w:sz w:val="20"/>
          <w:szCs w:val="20"/>
          <w:color w:val="auto"/>
        </w:rPr>
      </w:pPr>
    </w:p>
    <w:tbl>
      <w:tblPr>
        <w:tblLayout w:type="fixed"/>
        <w:tblInd w:w="290" w:type="dxa"/>
        <w:tblCellMar>
          <w:top w:w="0" w:type="dxa"/>
          <w:left w:w="0" w:type="dxa"/>
          <w:bottom w:w="0" w:type="dxa"/>
          <w:right w:w="0" w:type="dxa"/>
        </w:tblCellMar>
      </w:tblPr>
      <w:tr>
        <w:trPr>
          <w:trHeight w:val="170"/>
        </w:trPr>
        <w:tc>
          <w:tcPr>
            <w:tcW w:w="3480" w:type="dxa"/>
            <w:vAlign w:val="bottom"/>
            <w:gridSpan w:val="3"/>
          </w:tcPr>
          <w:p>
            <w:pPr>
              <w:spacing w:after="0"/>
              <w:rPr>
                <w:sz w:val="20"/>
                <w:szCs w:val="20"/>
                <w:color w:val="auto"/>
              </w:rPr>
            </w:pPr>
            <w:r>
              <w:rPr>
                <w:rFonts w:ascii="Arial" w:cs="Arial" w:eastAsia="Arial" w:hAnsi="Arial"/>
                <w:sz w:val="14"/>
                <w:szCs w:val="14"/>
                <w:color w:val="auto"/>
              </w:rPr>
              <w:t>Date (mm/dd/yyyy) — Please print date below.</w:t>
            </w:r>
          </w:p>
        </w:tc>
        <w:tc>
          <w:tcPr>
            <w:tcW w:w="3820" w:type="dxa"/>
            <w:vAlign w:val="bottom"/>
            <w:gridSpan w:val="2"/>
          </w:tcPr>
          <w:p>
            <w:pPr>
              <w:spacing w:after="0"/>
              <w:rPr>
                <w:sz w:val="20"/>
                <w:szCs w:val="20"/>
                <w:color w:val="auto"/>
              </w:rPr>
            </w:pPr>
            <w:r>
              <w:rPr>
                <w:rFonts w:ascii="Arial" w:cs="Arial" w:eastAsia="Arial" w:hAnsi="Arial"/>
                <w:sz w:val="14"/>
                <w:szCs w:val="14"/>
                <w:color w:val="auto"/>
              </w:rPr>
              <w:t>Signature 1 — Please keep signature within the box.</w:t>
            </w:r>
          </w:p>
        </w:tc>
        <w:tc>
          <w:tcPr>
            <w:tcW w:w="3580" w:type="dxa"/>
            <w:vAlign w:val="bottom"/>
          </w:tcPr>
          <w:p>
            <w:pPr>
              <w:spacing w:after="0"/>
              <w:rPr>
                <w:sz w:val="20"/>
                <w:szCs w:val="20"/>
                <w:color w:val="auto"/>
              </w:rPr>
            </w:pPr>
            <w:r>
              <w:rPr>
                <w:rFonts w:ascii="Arial" w:cs="Arial" w:eastAsia="Arial" w:hAnsi="Arial"/>
                <w:sz w:val="14"/>
                <w:szCs w:val="14"/>
                <w:color w:val="auto"/>
              </w:rPr>
              <w:t>Signature 2 — Please keep signature within the box.</w:t>
            </w:r>
          </w:p>
        </w:tc>
      </w:tr>
      <w:tr>
        <w:trPr>
          <w:trHeight w:val="64"/>
        </w:trPr>
        <w:tc>
          <w:tcPr>
            <w:tcW w:w="152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58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3580" w:type="dxa"/>
            <w:vAlign w:val="bottom"/>
            <w:tcBorders>
              <w:bottom w:val="single" w:sz="8" w:color="auto"/>
            </w:tcBorders>
          </w:tcPr>
          <w:p>
            <w:pPr>
              <w:spacing w:after="0"/>
              <w:rPr>
                <w:sz w:val="5"/>
                <w:szCs w:val="5"/>
                <w:color w:val="auto"/>
              </w:rPr>
            </w:pPr>
          </w:p>
        </w:tc>
      </w:tr>
      <w:tr>
        <w:trPr>
          <w:trHeight w:val="499"/>
        </w:trPr>
        <w:tc>
          <w:tcPr>
            <w:tcW w:w="1520" w:type="dxa"/>
            <w:vAlign w:val="bottom"/>
            <w:tcBorders>
              <w:left w:val="single" w:sz="8" w:color="auto"/>
              <w:bottom w:val="single" w:sz="8" w:color="auto"/>
            </w:tcBorders>
          </w:tcPr>
          <w:p>
            <w:pPr>
              <w:jc w:val="right"/>
              <w:ind w:right="254"/>
              <w:spacing w:after="0" w:line="498" w:lineRule="exact"/>
              <w:rPr>
                <w:sz w:val="20"/>
                <w:szCs w:val="20"/>
                <w:color w:val="auto"/>
              </w:rPr>
            </w:pPr>
            <w:r>
              <w:rPr>
                <w:rFonts w:ascii="Arial" w:cs="Arial" w:eastAsia="Arial" w:hAnsi="Arial"/>
                <w:sz w:val="44"/>
                <w:szCs w:val="44"/>
                <w:color w:val="auto"/>
              </w:rPr>
              <w:t>/</w:t>
            </w:r>
          </w:p>
        </w:tc>
        <w:tc>
          <w:tcPr>
            <w:tcW w:w="1760" w:type="dxa"/>
            <w:vAlign w:val="bottom"/>
            <w:tcBorders>
              <w:bottom w:val="single" w:sz="8" w:color="auto"/>
              <w:right w:val="single" w:sz="8" w:color="auto"/>
            </w:tcBorders>
          </w:tcPr>
          <w:p>
            <w:pPr>
              <w:jc w:val="right"/>
              <w:ind w:right="1018"/>
              <w:spacing w:after="0" w:line="498" w:lineRule="exact"/>
              <w:rPr>
                <w:sz w:val="20"/>
                <w:szCs w:val="20"/>
                <w:color w:val="auto"/>
              </w:rPr>
            </w:pPr>
            <w:r>
              <w:rPr>
                <w:rFonts w:ascii="Arial" w:cs="Arial" w:eastAsia="Arial" w:hAnsi="Arial"/>
                <w:sz w:val="44"/>
                <w:szCs w:val="44"/>
                <w:color w:val="auto"/>
              </w:rPr>
              <w:t>/</w:t>
            </w:r>
          </w:p>
        </w:tc>
        <w:tc>
          <w:tcPr>
            <w:tcW w:w="200" w:type="dxa"/>
            <w:vAlign w:val="bottom"/>
            <w:tcBorders>
              <w:right w:val="single" w:sz="8" w:color="auto"/>
            </w:tcBorders>
          </w:tcPr>
          <w:p>
            <w:pPr>
              <w:spacing w:after="0"/>
              <w:rPr>
                <w:sz w:val="24"/>
                <w:szCs w:val="24"/>
                <w:color w:val="auto"/>
              </w:rPr>
            </w:pPr>
          </w:p>
        </w:tc>
        <w:tc>
          <w:tcPr>
            <w:tcW w:w="3580" w:type="dxa"/>
            <w:vAlign w:val="bottom"/>
            <w:tcBorders>
              <w:bottom w:val="single" w:sz="8" w:color="auto"/>
              <w:righ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3580" w:type="dxa"/>
            <w:vAlign w:val="bottom"/>
            <w:tcBorders>
              <w:bottom w:val="single" w:sz="8" w:color="auto"/>
              <w:right w:val="single" w:sz="8" w:color="auto"/>
            </w:tcBorders>
          </w:tcPr>
          <w:p>
            <w:pPr>
              <w:spacing w:after="0"/>
              <w:rPr>
                <w:sz w:val="24"/>
                <w:szCs w:val="24"/>
                <w:color w:val="auto"/>
              </w:rPr>
            </w:pPr>
          </w:p>
        </w:tc>
      </w:tr>
    </w:tbl>
    <w:p>
      <w:pPr>
        <w:spacing w:after="0" w:line="207" w:lineRule="exact"/>
        <w:rPr>
          <w:sz w:val="20"/>
          <w:szCs w:val="20"/>
          <w:color w:val="auto"/>
        </w:rPr>
      </w:pPr>
    </w:p>
    <w:tbl>
      <w:tblPr>
        <w:tblLayout w:type="fixed"/>
        <w:tblInd w:w="5340" w:type="dxa"/>
        <w:tblCellMar>
          <w:top w:w="0" w:type="dxa"/>
          <w:left w:w="0" w:type="dxa"/>
          <w:bottom w:w="0" w:type="dxa"/>
          <w:right w:w="0" w:type="dxa"/>
        </w:tblCellMar>
      </w:tblPr>
      <w:tr>
        <w:trPr>
          <w:trHeight w:val="257"/>
        </w:trPr>
        <w:tc>
          <w:tcPr>
            <w:tcW w:w="3180" w:type="dxa"/>
            <w:vAlign w:val="bottom"/>
          </w:tcPr>
          <w:p>
            <w:pPr>
              <w:spacing w:after="0"/>
              <w:rPr>
                <w:sz w:val="20"/>
                <w:szCs w:val="20"/>
                <w:color w:val="auto"/>
              </w:rPr>
            </w:pPr>
            <w:r>
              <w:rPr>
                <w:rFonts w:ascii="Arial" w:cs="Arial" w:eastAsia="Arial" w:hAnsi="Arial"/>
                <w:sz w:val="18"/>
                <w:szCs w:val="18"/>
                <w:color w:val="auto"/>
              </w:rPr>
              <w:t>1 U P X</w:t>
            </w:r>
          </w:p>
        </w:tc>
        <w:tc>
          <w:tcPr>
            <w:tcW w:w="2620" w:type="dxa"/>
            <w:vAlign w:val="bottom"/>
            <w:vMerge w:val="restart"/>
          </w:tcPr>
          <w:p>
            <w:pPr>
              <w:jc w:val="right"/>
              <w:spacing w:after="0"/>
              <w:rPr>
                <w:sz w:val="20"/>
                <w:szCs w:val="20"/>
                <w:color w:val="auto"/>
              </w:rPr>
            </w:pPr>
            <w:r>
              <w:rPr>
                <w:rFonts w:ascii="Arial" w:cs="Arial" w:eastAsia="Arial" w:hAnsi="Arial"/>
                <w:sz w:val="35"/>
                <w:szCs w:val="35"/>
                <w:b w:val="1"/>
                <w:bCs w:val="1"/>
                <w:color w:val="auto"/>
              </w:rPr>
              <w:t>+</w:t>
            </w:r>
          </w:p>
        </w:tc>
        <w:tc>
          <w:tcPr>
            <w:tcW w:w="0" w:type="dxa"/>
            <w:vAlign w:val="bottom"/>
          </w:tcPr>
          <w:p>
            <w:pPr>
              <w:spacing w:after="0"/>
              <w:rPr>
                <w:sz w:val="1"/>
                <w:szCs w:val="1"/>
                <w:color w:val="auto"/>
              </w:rPr>
            </w:pPr>
          </w:p>
        </w:tc>
      </w:tr>
      <w:tr>
        <w:trPr>
          <w:trHeight w:val="214"/>
        </w:trPr>
        <w:tc>
          <w:tcPr>
            <w:tcW w:w="3180" w:type="dxa"/>
            <w:vAlign w:val="bottom"/>
          </w:tcPr>
          <w:p>
            <w:pPr>
              <w:spacing w:after="0"/>
              <w:rPr>
                <w:sz w:val="18"/>
                <w:szCs w:val="18"/>
                <w:color w:val="auto"/>
              </w:rPr>
            </w:pPr>
          </w:p>
        </w:tc>
        <w:tc>
          <w:tcPr>
            <w:tcW w:w="2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-117475</wp:posOffset>
            </wp:positionV>
            <wp:extent cx="151765" cy="14351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51765" cy="143510"/>
                    </a:xfrm>
                    <a:prstGeom prst="rect">
                      <a:avLst/>
                    </a:prstGeom>
                    <a:noFill/>
                  </pic:spPr>
                </pic:pic>
              </a:graphicData>
            </a:graphic>
          </wp:anchor>
        </w:drawing>
      </w:r>
    </w:p>
    <w:p>
      <w:pPr>
        <w:sectPr>
          <w:pgSz w:w="11900" w:h="16838" w:orient="portrait"/>
          <w:cols w:equalWidth="0" w:num="1">
            <w:col w:w="11160"/>
          </w:cols>
          <w:pgMar w:left="240" w:top="454" w:right="499" w:bottom="1440" w:gutter="0" w:footer="0" w:header="0"/>
          <w:type w:val="continuous"/>
        </w:sectPr>
      </w:pPr>
    </w:p>
    <w:p>
      <w:pPr>
        <w:spacing w:after="0" w:line="58"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02TQXD</w:t>
      </w:r>
    </w:p>
    <w:p>
      <w:pPr>
        <w:sectPr>
          <w:pgSz w:w="11900" w:h="16838" w:orient="portrait"/>
          <w:cols w:equalWidth="0" w:num="1">
            <w:col w:w="11160"/>
          </w:cols>
          <w:pgMar w:left="240" w:top="454" w:right="49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center"/>
        <w:ind w:right="-279"/>
        <w:spacing w:after="0"/>
        <w:rPr>
          <w:sz w:val="20"/>
          <w:szCs w:val="20"/>
          <w:color w:val="auto"/>
        </w:rPr>
      </w:pPr>
      <w:r>
        <w:rPr>
          <w:rFonts w:ascii="Arial" w:cs="Arial" w:eastAsia="Arial" w:hAnsi="Arial"/>
          <w:sz w:val="25"/>
          <w:szCs w:val="25"/>
          <w:b w:val="1"/>
          <w:bCs w:val="1"/>
          <w:color w:val="auto"/>
        </w:rPr>
        <w:t>Important notice regarding the availability of proxy materials</w:t>
      </w:r>
    </w:p>
    <w:p>
      <w:pPr>
        <w:spacing w:after="0" w:line="35" w:lineRule="exact"/>
        <w:rPr>
          <w:sz w:val="20"/>
          <w:szCs w:val="20"/>
          <w:color w:val="auto"/>
        </w:rPr>
      </w:pPr>
    </w:p>
    <w:p>
      <w:pPr>
        <w:jc w:val="center"/>
        <w:ind w:right="-279"/>
        <w:spacing w:after="0"/>
        <w:rPr>
          <w:sz w:val="20"/>
          <w:szCs w:val="20"/>
          <w:color w:val="auto"/>
        </w:rPr>
      </w:pPr>
      <w:r>
        <w:rPr>
          <w:rFonts w:ascii="Arial" w:cs="Arial" w:eastAsia="Arial" w:hAnsi="Arial"/>
          <w:sz w:val="25"/>
          <w:szCs w:val="25"/>
          <w:b w:val="1"/>
          <w:bCs w:val="1"/>
          <w:color w:val="auto"/>
        </w:rPr>
        <w:t>for the Annual Meeting of Stockholders to be held on June 6, 2018.</w:t>
      </w:r>
    </w:p>
    <w:p>
      <w:pPr>
        <w:spacing w:after="0" w:line="327"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The Notice of Meeting, the 2018 Proxy Statement and the 2017 Annual Report to Stockholders are available at:</w:t>
      </w:r>
    </w:p>
    <w:p>
      <w:pPr>
        <w:spacing w:after="0" w:line="69" w:lineRule="exact"/>
        <w:rPr>
          <w:sz w:val="20"/>
          <w:szCs w:val="20"/>
          <w:color w:val="auto"/>
        </w:rPr>
      </w:pPr>
    </w:p>
    <w:p>
      <w:pPr>
        <w:jc w:val="center"/>
        <w:ind w:right="-279"/>
        <w:spacing w:after="0"/>
        <w:rPr>
          <w:sz w:val="20"/>
          <w:szCs w:val="20"/>
          <w:color w:val="auto"/>
        </w:rPr>
      </w:pPr>
      <w:r>
        <w:rPr>
          <w:rFonts w:ascii="Arial" w:cs="Arial" w:eastAsia="Arial" w:hAnsi="Arial"/>
          <w:sz w:val="20"/>
          <w:szCs w:val="20"/>
          <w:b w:val="1"/>
          <w:bCs w:val="1"/>
          <w:u w:val="single" w:color="auto"/>
          <w:color w:val="auto"/>
        </w:rPr>
        <w:t>www.envisionreports.com/HES</w:t>
      </w:r>
    </w:p>
    <w:p>
      <w:pPr>
        <w:spacing w:after="0" w:line="302" w:lineRule="exact"/>
        <w:rPr>
          <w:sz w:val="20"/>
          <w:szCs w:val="20"/>
          <w:color w:val="auto"/>
        </w:rPr>
      </w:pPr>
    </w:p>
    <w:p>
      <w:pPr>
        <w:jc w:val="center"/>
        <w:ind w:right="-279"/>
        <w:spacing w:after="0"/>
        <w:rPr>
          <w:sz w:val="20"/>
          <w:szCs w:val="20"/>
          <w:color w:val="auto"/>
        </w:rPr>
      </w:pPr>
      <w:r>
        <w:rPr>
          <w:rFonts w:ascii="Arial" w:cs="Arial" w:eastAsia="Arial" w:hAnsi="Arial"/>
          <w:sz w:val="20"/>
          <w:szCs w:val="20"/>
          <w:b w:val="1"/>
          <w:bCs w:val="1"/>
          <w:color w:val="auto"/>
        </w:rPr>
        <w:t>All stockholders are cordially invited to attend the Annual Meeting,</w:t>
      </w:r>
    </w:p>
    <w:p>
      <w:pPr>
        <w:jc w:val="center"/>
        <w:ind w:right="-279"/>
        <w:spacing w:after="0" w:line="229" w:lineRule="auto"/>
        <w:rPr>
          <w:sz w:val="20"/>
          <w:szCs w:val="20"/>
          <w:color w:val="auto"/>
        </w:rPr>
      </w:pPr>
      <w:r>
        <w:rPr>
          <w:rFonts w:ascii="Arial" w:cs="Arial" w:eastAsia="Arial" w:hAnsi="Arial"/>
          <w:sz w:val="20"/>
          <w:szCs w:val="20"/>
          <w:b w:val="1"/>
          <w:bCs w:val="1"/>
          <w:color w:val="auto"/>
        </w:rPr>
        <w:t>although only stockholders of record at the close of business on April 16, 2018,</w:t>
      </w:r>
    </w:p>
    <w:p>
      <w:pPr>
        <w:jc w:val="center"/>
        <w:ind w:right="-279"/>
        <w:spacing w:after="0" w:line="222" w:lineRule="auto"/>
        <w:rPr>
          <w:sz w:val="20"/>
          <w:szCs w:val="20"/>
          <w:color w:val="auto"/>
        </w:rPr>
      </w:pPr>
      <w:r>
        <w:rPr>
          <w:rFonts w:ascii="Arial" w:cs="Arial" w:eastAsia="Arial" w:hAnsi="Arial"/>
          <w:sz w:val="20"/>
          <w:szCs w:val="20"/>
          <w:b w:val="1"/>
          <w:bCs w:val="1"/>
          <w:color w:val="auto"/>
        </w:rPr>
        <w:t>the record date for the Annual Meeting, will be entitled to vote at the meeting.</w:t>
      </w:r>
    </w:p>
    <w:p>
      <w:pPr>
        <w:jc w:val="center"/>
        <w:ind w:right="-279"/>
        <w:spacing w:after="0" w:line="222" w:lineRule="auto"/>
        <w:rPr>
          <w:sz w:val="20"/>
          <w:szCs w:val="20"/>
          <w:color w:val="auto"/>
        </w:rPr>
      </w:pPr>
      <w:r>
        <w:rPr>
          <w:rFonts w:ascii="Arial" w:cs="Arial" w:eastAsia="Arial" w:hAnsi="Arial"/>
          <w:sz w:val="20"/>
          <w:szCs w:val="20"/>
          <w:b w:val="1"/>
          <w:bCs w:val="1"/>
          <w:color w:val="auto"/>
        </w:rPr>
        <w:t>Directions to attend the Annual Meeting, where you may vote in person, can be found at:</w:t>
      </w:r>
    </w:p>
    <w:p>
      <w:pPr>
        <w:spacing w:after="0" w:line="1" w:lineRule="exact"/>
        <w:rPr>
          <w:sz w:val="20"/>
          <w:szCs w:val="20"/>
          <w:color w:val="auto"/>
        </w:rPr>
      </w:pPr>
    </w:p>
    <w:p>
      <w:pPr>
        <w:jc w:val="center"/>
        <w:ind w:right="-279"/>
        <w:spacing w:after="0"/>
        <w:rPr>
          <w:sz w:val="20"/>
          <w:szCs w:val="20"/>
          <w:color w:val="auto"/>
        </w:rPr>
      </w:pPr>
      <w:r>
        <w:rPr>
          <w:rFonts w:ascii="Arial" w:cs="Arial" w:eastAsia="Arial" w:hAnsi="Arial"/>
          <w:sz w:val="20"/>
          <w:szCs w:val="20"/>
          <w:b w:val="1"/>
          <w:bCs w:val="1"/>
          <w:u w:val="single" w:color="auto"/>
          <w:color w:val="auto"/>
        </w:rPr>
        <w:t>www.hess.com/company/hess-offices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left="520" w:right="140"/>
        <w:spacing w:after="0" w:line="278" w:lineRule="auto"/>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IF YOU HAVE NOT VOTED VIA THE INTERNET</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auto"/>
        </w:rPr>
        <w:t>OR</w:t>
      </w:r>
      <w:r>
        <w:rPr>
          <w:rFonts w:ascii="Arial" w:cs="Arial" w:eastAsia="Arial" w:hAnsi="Arial"/>
          <w:sz w:val="14"/>
          <w:szCs w:val="14"/>
          <w:color w:val="auto"/>
        </w:rPr>
        <w:t xml:space="preserve"> </w:t>
      </w:r>
      <w:r>
        <w:rPr>
          <w:rFonts w:ascii="Arial" w:cs="Arial" w:eastAsia="Arial" w:hAnsi="Arial"/>
          <w:sz w:val="14"/>
          <w:szCs w:val="14"/>
          <w:b w:val="1"/>
          <w:bCs w:val="1"/>
          <w:color w:val="auto"/>
        </w:rPr>
        <w:t>TELEPHONE, FOLD ALONG THE PERFORATION, DETACH AND RETURN THE BOTTOM PORTION IN THE</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ENCLOSED ENVELOPE. </w:t>
      </w:r>
      <w:r>
        <w:rPr>
          <w:rFonts w:ascii="Arial" w:cs="Arial" w:eastAsia="Arial" w:hAnsi="Arial"/>
          <w:sz w:val="14"/>
          <w:szCs w:val="14"/>
          <w:color w:val="auto"/>
        </w:rPr>
        <w:t>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126365</wp:posOffset>
            </wp:positionV>
            <wp:extent cx="6589395"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589395" cy="17145"/>
                    </a:xfrm>
                    <a:prstGeom prst="rect">
                      <a:avLst/>
                    </a:prstGeom>
                    <a:noFill/>
                  </pic:spPr>
                </pic:pic>
              </a:graphicData>
            </a:graphic>
          </wp:anchor>
        </w:drawing>
      </w:r>
    </w:p>
    <w:p>
      <w:pPr>
        <w:spacing w:after="0" w:line="217" w:lineRule="exact"/>
        <w:rPr>
          <w:sz w:val="20"/>
          <w:szCs w:val="20"/>
          <w:color w:val="auto"/>
        </w:rPr>
      </w:pPr>
    </w:p>
    <w:tbl>
      <w:tblPr>
        <w:tblLayout w:type="fixed"/>
        <w:tblInd w:w="280" w:type="dxa"/>
        <w:tblCellMar>
          <w:top w:w="0" w:type="dxa"/>
          <w:left w:w="0" w:type="dxa"/>
          <w:bottom w:w="0" w:type="dxa"/>
          <w:right w:w="0" w:type="dxa"/>
        </w:tblCellMar>
      </w:tblPr>
      <w:tr>
        <w:trPr>
          <w:trHeight w:val="329"/>
        </w:trPr>
        <w:tc>
          <w:tcPr>
            <w:tcW w:w="10380" w:type="dxa"/>
            <w:vAlign w:val="bottom"/>
          </w:tcPr>
          <w:p>
            <w:pPr>
              <w:spacing w:after="0"/>
              <w:rPr>
                <w:sz w:val="20"/>
                <w:szCs w:val="20"/>
                <w:color w:val="auto"/>
              </w:rPr>
            </w:pPr>
            <w:r>
              <w:rPr>
                <w:rFonts w:ascii="Arial" w:cs="Arial" w:eastAsia="Arial" w:hAnsi="Arial"/>
                <w:sz w:val="25"/>
                <w:szCs w:val="25"/>
                <w:b w:val="1"/>
                <w:bCs w:val="1"/>
                <w:color w:val="auto"/>
              </w:rPr>
              <w:t>Proxy — Hess Corporation</w:t>
            </w:r>
          </w:p>
        </w:tc>
        <w:tc>
          <w:tcPr>
            <w:tcW w:w="480" w:type="dxa"/>
            <w:vAlign w:val="bottom"/>
            <w:vMerge w:val="restart"/>
          </w:tcPr>
          <w:p>
            <w:pPr>
              <w:jc w:val="right"/>
              <w:spacing w:after="0"/>
              <w:rPr>
                <w:sz w:val="20"/>
                <w:szCs w:val="20"/>
                <w:color w:val="auto"/>
              </w:rPr>
            </w:pPr>
            <w:r>
              <w:rPr>
                <w:rFonts w:ascii="Arial" w:cs="Arial" w:eastAsia="Arial" w:hAnsi="Arial"/>
                <w:sz w:val="44"/>
                <w:szCs w:val="44"/>
                <w:b w:val="1"/>
                <w:bCs w:val="1"/>
                <w:color w:val="auto"/>
              </w:rPr>
              <w:t>+</w:t>
            </w:r>
          </w:p>
        </w:tc>
        <w:tc>
          <w:tcPr>
            <w:tcW w:w="0" w:type="dxa"/>
            <w:vAlign w:val="bottom"/>
          </w:tcPr>
          <w:p>
            <w:pPr>
              <w:spacing w:after="0"/>
              <w:rPr>
                <w:sz w:val="1"/>
                <w:szCs w:val="1"/>
                <w:color w:val="auto"/>
              </w:rPr>
            </w:pPr>
          </w:p>
        </w:tc>
      </w:tr>
      <w:tr>
        <w:trPr>
          <w:trHeight w:val="52"/>
        </w:trPr>
        <w:tc>
          <w:tcPr>
            <w:tcW w:w="10380" w:type="dxa"/>
            <w:vAlign w:val="bottom"/>
            <w:tcBorders>
              <w:bottom w:val="single" w:sz="8" w:color="auto"/>
            </w:tcBorders>
          </w:tcPr>
          <w:p>
            <w:pPr>
              <w:spacing w:after="0"/>
              <w:rPr>
                <w:sz w:val="4"/>
                <w:szCs w:val="4"/>
                <w:color w:val="auto"/>
              </w:rPr>
            </w:pPr>
          </w:p>
        </w:tc>
        <w:tc>
          <w:tcPr>
            <w:tcW w:w="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10380" w:type="dxa"/>
            <w:vAlign w:val="bottom"/>
            <w:vMerge w:val="restart"/>
          </w:tcPr>
          <w:p>
            <w:pPr>
              <w:spacing w:after="0"/>
              <w:rPr>
                <w:sz w:val="20"/>
                <w:szCs w:val="20"/>
                <w:color w:val="auto"/>
              </w:rPr>
            </w:pPr>
            <w:r>
              <w:rPr>
                <w:rFonts w:ascii="Arial" w:cs="Arial" w:eastAsia="Arial" w:hAnsi="Arial"/>
                <w:sz w:val="25"/>
                <w:szCs w:val="25"/>
                <w:b w:val="1"/>
                <w:bCs w:val="1"/>
                <w:color w:val="auto"/>
              </w:rPr>
              <w:t>Notice of 2018 Annual Meeting of Stockholders</w:t>
            </w:r>
          </w:p>
        </w:tc>
        <w:tc>
          <w:tcPr>
            <w:tcW w:w="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038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1501 McKinney Street, Houston, TX 77010</w:t>
      </w:r>
    </w:p>
    <w:p>
      <w:pPr>
        <w:spacing w:after="0" w:line="24"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Proxy Solicited by Board of Directors for Annual Meeting — June 6, 2018 at 9:00 a.m.</w:t>
      </w:r>
    </w:p>
    <w:p>
      <w:pPr>
        <w:spacing w:after="0" w:line="230" w:lineRule="exact"/>
        <w:rPr>
          <w:sz w:val="20"/>
          <w:szCs w:val="20"/>
          <w:color w:val="auto"/>
        </w:rPr>
      </w:pPr>
    </w:p>
    <w:p>
      <w:pPr>
        <w:jc w:val="both"/>
        <w:ind w:left="280"/>
        <w:spacing w:after="0" w:line="234" w:lineRule="auto"/>
        <w:rPr>
          <w:sz w:val="20"/>
          <w:szCs w:val="20"/>
          <w:color w:val="auto"/>
        </w:rPr>
      </w:pPr>
      <w:r>
        <w:rPr>
          <w:rFonts w:ascii="Arial" w:cs="Arial" w:eastAsia="Arial" w:hAnsi="Arial"/>
          <w:sz w:val="18"/>
          <w:szCs w:val="18"/>
          <w:color w:val="auto"/>
        </w:rPr>
        <w:t>The undersigned hereby appoints JOHN B. HESS, GREGORY P. HILL and TIMOTHY B. GOODELL, or any of them, proxies, each with power of substitution, to vote all shares the undersigned is entitled to vote at the Annual Meeting of Stockholders of Hess Corporation to be held at Hess Corporation, 1501 McKinney Street, Houston, Texas 77010, on June 6, 2018, at 9:00 a.m., local time, and all adjournments or postponements thereof, as directed on the reverse side of this card, and in their discretion, upon any other matters which may properly come before the Annual Meeting or any adjournment or postponement thereof.</w:t>
      </w:r>
    </w:p>
    <w:p>
      <w:pPr>
        <w:spacing w:after="0" w:line="202" w:lineRule="exact"/>
        <w:rPr>
          <w:sz w:val="20"/>
          <w:szCs w:val="20"/>
          <w:color w:val="auto"/>
        </w:rPr>
      </w:pPr>
    </w:p>
    <w:p>
      <w:pPr>
        <w:jc w:val="both"/>
        <w:ind w:left="280"/>
        <w:spacing w:after="0" w:line="238" w:lineRule="auto"/>
        <w:rPr>
          <w:sz w:val="20"/>
          <w:szCs w:val="20"/>
          <w:color w:val="auto"/>
        </w:rPr>
      </w:pPr>
      <w:r>
        <w:rPr>
          <w:rFonts w:ascii="Arial" w:cs="Arial" w:eastAsia="Arial" w:hAnsi="Arial"/>
          <w:sz w:val="18"/>
          <w:szCs w:val="18"/>
          <w:color w:val="auto"/>
        </w:rPr>
        <w:t>The undersigned hereby revokes any proxy heretofore given to vote said shares, and hereby ratifies all that said proxies may do at the Annual Meeting or any adjournment or postponement thereof.</w:t>
      </w:r>
    </w:p>
    <w:p>
      <w:pPr>
        <w:spacing w:after="0" w:line="20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Please indicate on the reverse side of this card how your stock is to be voted.</w:t>
      </w:r>
    </w:p>
    <w:p>
      <w:pPr>
        <w:spacing w:after="0" w:line="180"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 xml:space="preserve">If not otherwise specified, shares will be voted </w:t>
      </w:r>
      <w:r>
        <w:rPr>
          <w:rFonts w:ascii="Arial" w:cs="Arial" w:eastAsia="Arial" w:hAnsi="Arial"/>
          <w:sz w:val="17"/>
          <w:szCs w:val="17"/>
          <w:b w:val="1"/>
          <w:bCs w:val="1"/>
          <w:u w:val="single" w:color="auto"/>
          <w:color w:val="auto"/>
        </w:rPr>
        <w:t>FOR</w:t>
      </w:r>
      <w:r>
        <w:rPr>
          <w:rFonts w:ascii="Arial" w:cs="Arial" w:eastAsia="Arial" w:hAnsi="Arial"/>
          <w:sz w:val="17"/>
          <w:szCs w:val="17"/>
          <w:b w:val="1"/>
          <w:bCs w:val="1"/>
          <w:color w:val="auto"/>
        </w:rPr>
        <w:t xml:space="preserve"> each of the nominees in Proposal 1 and </w:t>
      </w:r>
      <w:r>
        <w:rPr>
          <w:rFonts w:ascii="Arial" w:cs="Arial" w:eastAsia="Arial" w:hAnsi="Arial"/>
          <w:sz w:val="17"/>
          <w:szCs w:val="17"/>
          <w:b w:val="1"/>
          <w:bCs w:val="1"/>
          <w:u w:val="single" w:color="auto"/>
          <w:color w:val="auto"/>
        </w:rPr>
        <w:t>FOR</w:t>
      </w:r>
      <w:r>
        <w:rPr>
          <w:rFonts w:ascii="Arial" w:cs="Arial" w:eastAsia="Arial" w:hAnsi="Arial"/>
          <w:sz w:val="17"/>
          <w:szCs w:val="17"/>
          <w:b w:val="1"/>
          <w:bCs w:val="1"/>
          <w:color w:val="auto"/>
        </w:rPr>
        <w:t xml:space="preserve"> Proposals 2 and 3.</w:t>
      </w:r>
    </w:p>
    <w:p>
      <w:pPr>
        <w:spacing w:after="0" w:line="200" w:lineRule="exact"/>
        <w:rPr>
          <w:sz w:val="20"/>
          <w:szCs w:val="20"/>
          <w:color w:val="auto"/>
        </w:rPr>
      </w:pPr>
    </w:p>
    <w:p>
      <w:pPr>
        <w:spacing w:after="0" w:line="286" w:lineRule="exact"/>
        <w:rPr>
          <w:sz w:val="20"/>
          <w:szCs w:val="20"/>
          <w:color w:val="auto"/>
        </w:rPr>
      </w:pPr>
    </w:p>
    <w:p>
      <w:pPr>
        <w:ind w:left="340"/>
        <w:spacing w:after="0"/>
        <w:tabs>
          <w:tab w:leader="none" w:pos="600" w:val="left"/>
        </w:tabs>
        <w:rPr>
          <w:sz w:val="20"/>
          <w:szCs w:val="20"/>
          <w:color w:val="auto"/>
        </w:rPr>
      </w:pPr>
      <w:r>
        <w:rPr>
          <w:rFonts w:ascii="Arial" w:cs="Arial" w:eastAsia="Arial" w:hAnsi="Arial"/>
          <w:sz w:val="18"/>
          <w:szCs w:val="18"/>
          <w:b w:val="1"/>
          <w:bCs w:val="1"/>
          <w:color w:val="FFFFFF"/>
        </w:rPr>
        <w:t>C</w:t>
      </w:r>
      <w:r>
        <w:rPr>
          <w:sz w:val="20"/>
          <w:szCs w:val="20"/>
          <w:color w:val="auto"/>
        </w:rPr>
        <w:tab/>
      </w:r>
      <w:r>
        <w:rPr>
          <w:rFonts w:ascii="Arial" w:cs="Arial" w:eastAsia="Arial" w:hAnsi="Arial"/>
          <w:sz w:val="17"/>
          <w:szCs w:val="17"/>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-116205</wp:posOffset>
            </wp:positionV>
            <wp:extent cx="151765" cy="1270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51765" cy="127000"/>
                    </a:xfrm>
                    <a:prstGeom prst="rect">
                      <a:avLst/>
                    </a:prstGeom>
                    <a:noFill/>
                  </pic:spPr>
                </pic:pic>
              </a:graphicData>
            </a:graphic>
          </wp:anchor>
        </w:drawing>
      </w:r>
    </w:p>
    <w:p>
      <w:pPr>
        <w:spacing w:after="0" w:line="72" w:lineRule="exact"/>
        <w:rPr>
          <w:sz w:val="20"/>
          <w:szCs w:val="20"/>
          <w:color w:val="auto"/>
        </w:rPr>
      </w:pPr>
    </w:p>
    <w:tbl>
      <w:tblPr>
        <w:tblLayout w:type="fixed"/>
        <w:tblInd w:w="290" w:type="dxa"/>
        <w:tblCellMar>
          <w:top w:w="0" w:type="dxa"/>
          <w:left w:w="0" w:type="dxa"/>
          <w:bottom w:w="0" w:type="dxa"/>
          <w:right w:w="0" w:type="dxa"/>
        </w:tblCellMar>
      </w:tblPr>
      <w:tr>
        <w:trPr>
          <w:trHeight w:val="162"/>
        </w:trPr>
        <w:tc>
          <w:tcPr>
            <w:tcW w:w="4560" w:type="dxa"/>
            <w:vAlign w:val="bottom"/>
            <w:gridSpan w:val="5"/>
          </w:tcPr>
          <w:p>
            <w:pPr>
              <w:spacing w:after="0"/>
              <w:rPr>
                <w:sz w:val="20"/>
                <w:szCs w:val="20"/>
                <w:color w:val="auto"/>
              </w:rPr>
            </w:pPr>
            <w:r>
              <w:rPr>
                <w:rFonts w:ascii="Arial" w:cs="Arial" w:eastAsia="Arial" w:hAnsi="Arial"/>
                <w:sz w:val="13"/>
                <w:szCs w:val="13"/>
                <w:b w:val="1"/>
                <w:bCs w:val="1"/>
                <w:color w:val="auto"/>
              </w:rPr>
              <w:t xml:space="preserve">Change of Address </w:t>
            </w:r>
            <w:r>
              <w:rPr>
                <w:rFonts w:ascii="Arial" w:cs="Arial" w:eastAsia="Arial" w:hAnsi="Arial"/>
                <w:sz w:val="13"/>
                <w:szCs w:val="13"/>
                <w:color w:val="auto"/>
              </w:rPr>
              <w:t>— Please print your new address below.</w:t>
            </w:r>
          </w:p>
        </w:tc>
        <w:tc>
          <w:tcPr>
            <w:tcW w:w="3900" w:type="dxa"/>
            <w:vAlign w:val="bottom"/>
          </w:tcPr>
          <w:p>
            <w:pPr>
              <w:ind w:left="20"/>
              <w:spacing w:after="0"/>
              <w:rPr>
                <w:sz w:val="20"/>
                <w:szCs w:val="20"/>
                <w:color w:val="auto"/>
              </w:rPr>
            </w:pPr>
            <w:r>
              <w:rPr>
                <w:rFonts w:ascii="Arial" w:cs="Arial" w:eastAsia="Arial" w:hAnsi="Arial"/>
                <w:sz w:val="13"/>
                <w:szCs w:val="13"/>
                <w:b w:val="1"/>
                <w:bCs w:val="1"/>
                <w:color w:val="auto"/>
              </w:rPr>
              <w:t xml:space="preserve">Comments </w:t>
            </w:r>
            <w:r>
              <w:rPr>
                <w:rFonts w:ascii="Arial" w:cs="Arial" w:eastAsia="Arial" w:hAnsi="Arial"/>
                <w:sz w:val="13"/>
                <w:szCs w:val="13"/>
                <w:color w:val="auto"/>
              </w:rPr>
              <w:t>— Please print your comments below.</w:t>
            </w:r>
          </w:p>
        </w:tc>
        <w:tc>
          <w:tcPr>
            <w:tcW w:w="2060" w:type="dxa"/>
            <w:vAlign w:val="bottom"/>
          </w:tcPr>
          <w:p>
            <w:pPr>
              <w:ind w:left="120"/>
              <w:spacing w:after="0"/>
              <w:rPr>
                <w:sz w:val="20"/>
                <w:szCs w:val="20"/>
                <w:color w:val="auto"/>
              </w:rPr>
            </w:pPr>
            <w:r>
              <w:rPr>
                <w:rFonts w:ascii="Arial" w:cs="Arial" w:eastAsia="Arial" w:hAnsi="Arial"/>
                <w:sz w:val="13"/>
                <w:szCs w:val="13"/>
                <w:b w:val="1"/>
                <w:bCs w:val="1"/>
                <w:color w:val="auto"/>
              </w:rPr>
              <w:t>Meeting Attendance</w:t>
            </w:r>
          </w:p>
        </w:tc>
        <w:tc>
          <w:tcPr>
            <w:tcW w:w="340" w:type="dxa"/>
            <w:vAlign w:val="bottom"/>
            <w:vMerge w:val="restart"/>
          </w:tcPr>
          <w:p>
            <w:pPr>
              <w:jc w:val="right"/>
              <w:spacing w:after="0" w:line="251" w:lineRule="exact"/>
              <w:rPr>
                <w:sz w:val="20"/>
                <w:szCs w:val="20"/>
                <w:color w:val="auto"/>
              </w:rPr>
            </w:pP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126"/>
        </w:trPr>
        <w:tc>
          <w:tcPr>
            <w:tcW w:w="200" w:type="dxa"/>
            <w:vAlign w:val="bottom"/>
            <w:tcBorders>
              <w:top w:val="single" w:sz="8" w:color="auto"/>
              <w:left w:val="single" w:sz="8" w:color="auto"/>
            </w:tcBorders>
          </w:tcPr>
          <w:p>
            <w:pPr>
              <w:spacing w:after="0"/>
              <w:rPr>
                <w:sz w:val="10"/>
                <w:szCs w:val="10"/>
                <w:color w:val="auto"/>
              </w:rPr>
            </w:pPr>
          </w:p>
        </w:tc>
        <w:tc>
          <w:tcPr>
            <w:tcW w:w="34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0" w:type="dxa"/>
            <w:vAlign w:val="bottom"/>
            <w:tcBorders>
              <w:top w:val="single" w:sz="8" w:color="auto"/>
              <w:right w:val="single" w:sz="8" w:color="auto"/>
            </w:tcBorders>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3900" w:type="dxa"/>
            <w:vAlign w:val="bottom"/>
            <w:tcBorders>
              <w:top w:val="single" w:sz="8" w:color="auto"/>
              <w:right w:val="single" w:sz="8" w:color="auto"/>
            </w:tcBorders>
          </w:tcPr>
          <w:p>
            <w:pPr>
              <w:spacing w:after="0"/>
              <w:rPr>
                <w:sz w:val="10"/>
                <w:szCs w:val="10"/>
                <w:color w:val="auto"/>
              </w:rPr>
            </w:pPr>
          </w:p>
        </w:tc>
        <w:tc>
          <w:tcPr>
            <w:tcW w:w="2060" w:type="dxa"/>
            <w:vAlign w:val="bottom"/>
          </w:tcPr>
          <w:p>
            <w:pPr>
              <w:ind w:left="160"/>
              <w:spacing w:after="0" w:line="126" w:lineRule="exact"/>
              <w:rPr>
                <w:sz w:val="20"/>
                <w:szCs w:val="20"/>
                <w:color w:val="auto"/>
              </w:rPr>
            </w:pPr>
            <w:r>
              <w:rPr>
                <w:rFonts w:ascii="Arial" w:cs="Arial" w:eastAsia="Arial" w:hAnsi="Arial"/>
                <w:sz w:val="13"/>
                <w:szCs w:val="13"/>
                <w:color w:val="auto"/>
              </w:rPr>
              <w:t>Mark the box to the right if you</w:t>
            </w:r>
          </w:p>
        </w:tc>
        <w:tc>
          <w:tcPr>
            <w:tcW w:w="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0" w:type="dxa"/>
            <w:vAlign w:val="bottom"/>
            <w:tcBorders>
              <w:left w:val="single" w:sz="8" w:color="auto"/>
            </w:tcBorders>
          </w:tcPr>
          <w:p>
            <w:pPr>
              <w:spacing w:after="0"/>
              <w:rPr>
                <w:sz w:val="12"/>
                <w:szCs w:val="12"/>
                <w:color w:val="auto"/>
              </w:rPr>
            </w:pPr>
          </w:p>
        </w:tc>
        <w:tc>
          <w:tcPr>
            <w:tcW w:w="3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3900" w:type="dxa"/>
            <w:vAlign w:val="bottom"/>
            <w:tcBorders>
              <w:right w:val="single" w:sz="8" w:color="auto"/>
            </w:tcBorders>
          </w:tcPr>
          <w:p>
            <w:pPr>
              <w:spacing w:after="0"/>
              <w:rPr>
                <w:sz w:val="12"/>
                <w:szCs w:val="12"/>
                <w:color w:val="auto"/>
              </w:rPr>
            </w:pPr>
          </w:p>
        </w:tc>
        <w:tc>
          <w:tcPr>
            <w:tcW w:w="2060" w:type="dxa"/>
            <w:vAlign w:val="bottom"/>
          </w:tcPr>
          <w:p>
            <w:pPr>
              <w:ind w:left="160"/>
              <w:spacing w:after="0" w:line="146" w:lineRule="exact"/>
              <w:rPr>
                <w:sz w:val="20"/>
                <w:szCs w:val="20"/>
                <w:color w:val="auto"/>
              </w:rPr>
            </w:pPr>
            <w:r>
              <w:rPr>
                <w:rFonts w:ascii="Arial" w:cs="Arial" w:eastAsia="Arial" w:hAnsi="Arial"/>
                <w:sz w:val="13"/>
                <w:szCs w:val="13"/>
                <w:color w:val="auto"/>
              </w:rPr>
              <w:t>plan to attend the Annual</w:t>
            </w: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0" w:type="dxa"/>
            <w:vAlign w:val="bottom"/>
            <w:tcBorders>
              <w:left w:val="single" w:sz="8" w:color="auto"/>
              <w:bottom w:val="single" w:sz="8" w:color="auto"/>
            </w:tcBorders>
          </w:tcPr>
          <w:p>
            <w:pPr>
              <w:spacing w:after="0"/>
              <w:rPr>
                <w:sz w:val="12"/>
                <w:szCs w:val="12"/>
                <w:color w:val="auto"/>
              </w:rPr>
            </w:pPr>
          </w:p>
        </w:tc>
        <w:tc>
          <w:tcPr>
            <w:tcW w:w="34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3900" w:type="dxa"/>
            <w:vAlign w:val="bottom"/>
            <w:tcBorders>
              <w:bottom w:val="single" w:sz="8" w:color="auto"/>
              <w:right w:val="single" w:sz="8" w:color="auto"/>
            </w:tcBorders>
          </w:tcPr>
          <w:p>
            <w:pPr>
              <w:spacing w:after="0"/>
              <w:rPr>
                <w:sz w:val="12"/>
                <w:szCs w:val="12"/>
                <w:color w:val="auto"/>
              </w:rPr>
            </w:pPr>
          </w:p>
        </w:tc>
        <w:tc>
          <w:tcPr>
            <w:tcW w:w="2060" w:type="dxa"/>
            <w:vAlign w:val="bottom"/>
          </w:tcPr>
          <w:p>
            <w:pPr>
              <w:ind w:left="160"/>
              <w:spacing w:after="0" w:line="148" w:lineRule="exact"/>
              <w:rPr>
                <w:sz w:val="20"/>
                <w:szCs w:val="20"/>
                <w:color w:val="auto"/>
              </w:rPr>
            </w:pPr>
            <w:r>
              <w:rPr>
                <w:rFonts w:ascii="Arial" w:cs="Arial" w:eastAsia="Arial" w:hAnsi="Arial"/>
                <w:sz w:val="13"/>
                <w:szCs w:val="13"/>
                <w:color w:val="auto"/>
              </w:rPr>
              <w:t>Meeting.</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200" w:type="dxa"/>
            <w:vAlign w:val="bottom"/>
          </w:tcPr>
          <w:p>
            <w:pPr>
              <w:spacing w:after="0"/>
              <w:rPr>
                <w:sz w:val="20"/>
                <w:szCs w:val="20"/>
                <w:color w:val="auto"/>
              </w:rPr>
            </w:pPr>
          </w:p>
        </w:tc>
        <w:tc>
          <w:tcPr>
            <w:tcW w:w="3440" w:type="dxa"/>
            <w:vAlign w:val="bottom"/>
            <w:vMerge w:val="restart"/>
          </w:tcPr>
          <w:p>
            <w:pPr>
              <w:ind w:left="1240"/>
              <w:spacing w:after="0"/>
              <w:rPr>
                <w:sz w:val="20"/>
                <w:szCs w:val="20"/>
                <w:color w:val="auto"/>
              </w:rPr>
            </w:pPr>
            <w:r>
              <w:rPr>
                <w:rFonts w:ascii="Arial" w:cs="Arial" w:eastAsia="Arial" w:hAnsi="Arial"/>
                <w:sz w:val="18"/>
                <w:szCs w:val="18"/>
                <w:b w:val="1"/>
                <w:bCs w:val="1"/>
                <w:color w:val="auto"/>
                <w:w w:val="99"/>
              </w:rPr>
              <w:t>IF VOTING BY MAIL, YOU</w:t>
            </w:r>
          </w:p>
        </w:tc>
        <w:tc>
          <w:tcPr>
            <w:tcW w:w="500" w:type="dxa"/>
            <w:vAlign w:val="bottom"/>
            <w:vMerge w:val="restart"/>
          </w:tcPr>
          <w:p>
            <w:pPr>
              <w:spacing w:after="0"/>
              <w:rPr>
                <w:sz w:val="20"/>
                <w:szCs w:val="20"/>
                <w:color w:val="auto"/>
              </w:rPr>
            </w:pPr>
            <w:r>
              <w:rPr>
                <w:rFonts w:ascii="Arial" w:cs="Arial" w:eastAsia="Arial" w:hAnsi="Arial"/>
                <w:sz w:val="18"/>
                <w:szCs w:val="18"/>
                <w:b w:val="1"/>
                <w:bCs w:val="1"/>
                <w:color w:val="auto"/>
                <w:w w:val="94"/>
              </w:rPr>
              <w:t>MUST</w:t>
            </w:r>
          </w:p>
        </w:tc>
        <w:tc>
          <w:tcPr>
            <w:tcW w:w="638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COMPLETE SECTIONS A - C ON BOTH SIDES OF THIS CARD.</w:t>
            </w:r>
          </w:p>
        </w:tc>
        <w:tc>
          <w:tcPr>
            <w:tcW w:w="340" w:type="dxa"/>
            <w:vAlign w:val="bottom"/>
            <w:vMerge w:val="restart"/>
          </w:tcPr>
          <w:p>
            <w:pPr>
              <w:jc w:val="right"/>
              <w:spacing w:after="0"/>
              <w:rPr>
                <w:sz w:val="20"/>
                <w:szCs w:val="20"/>
                <w:color w:val="auto"/>
              </w:rPr>
            </w:pPr>
            <w:r>
              <w:rPr>
                <w:rFonts w:ascii="Arial" w:cs="Arial" w:eastAsia="Arial" w:hAnsi="Arial"/>
                <w:sz w:val="35"/>
                <w:szCs w:val="35"/>
                <w:b w:val="1"/>
                <w:bCs w:val="1"/>
                <w:color w:val="auto"/>
              </w:rPr>
              <w:t>+</w:t>
            </w:r>
          </w:p>
        </w:tc>
        <w:tc>
          <w:tcPr>
            <w:tcW w:w="0" w:type="dxa"/>
            <w:vAlign w:val="bottom"/>
          </w:tcPr>
          <w:p>
            <w:pPr>
              <w:spacing w:after="0"/>
              <w:rPr>
                <w:sz w:val="1"/>
                <w:szCs w:val="1"/>
                <w:color w:val="auto"/>
              </w:rPr>
            </w:pPr>
          </w:p>
        </w:tc>
      </w:tr>
      <w:tr>
        <w:trPr>
          <w:trHeight w:val="180"/>
        </w:trPr>
        <w:tc>
          <w:tcPr>
            <w:tcW w:w="200" w:type="dxa"/>
            <w:vAlign w:val="bottom"/>
            <w:tcBorders>
              <w:left w:val="single" w:sz="8" w:color="auto"/>
              <w:bottom w:val="single" w:sz="8" w:color="auto"/>
            </w:tcBorders>
            <w:shd w:val="clear" w:color="auto" w:fill="000000"/>
          </w:tcPr>
          <w:p>
            <w:pPr>
              <w:spacing w:after="0"/>
              <w:rPr>
                <w:sz w:val="15"/>
                <w:szCs w:val="15"/>
                <w:color w:val="auto"/>
              </w:rPr>
            </w:pPr>
          </w:p>
        </w:tc>
        <w:tc>
          <w:tcPr>
            <w:tcW w:w="3440" w:type="dxa"/>
            <w:vAlign w:val="bottom"/>
            <w:vMerge w:val="continue"/>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6380" w:type="dxa"/>
            <w:vAlign w:val="bottom"/>
            <w:gridSpan w:val="4"/>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54" w:right="5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200660</wp:posOffset>
            </wp:positionV>
            <wp:extent cx="2365375" cy="8026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365375" cy="802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00"/>
        <w:spacing w:after="0"/>
        <w:rPr>
          <w:sz w:val="20"/>
          <w:szCs w:val="20"/>
          <w:color w:val="auto"/>
        </w:rPr>
      </w:pPr>
      <w:r>
        <w:rPr>
          <w:rFonts w:ascii="Arial" w:cs="Arial" w:eastAsia="Arial" w:hAnsi="Arial"/>
          <w:sz w:val="21"/>
          <w:szCs w:val="21"/>
          <w:b w:val="1"/>
          <w:bCs w:val="1"/>
          <w:color w:val="auto"/>
        </w:rPr>
        <w:t>Electronic Voting Instructions</w:t>
      </w:r>
    </w:p>
    <w:p>
      <w:pPr>
        <w:spacing w:after="0" w:line="87"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Available 24 hours a day, 7 days a week!</w:t>
      </w:r>
    </w:p>
    <w:p>
      <w:pPr>
        <w:spacing w:after="0" w:line="99" w:lineRule="exact"/>
        <w:rPr>
          <w:sz w:val="20"/>
          <w:szCs w:val="20"/>
          <w:color w:val="auto"/>
        </w:rPr>
      </w:pPr>
    </w:p>
    <w:p>
      <w:pPr>
        <w:ind w:left="6000"/>
        <w:spacing w:after="0"/>
        <w:rPr>
          <w:sz w:val="20"/>
          <w:szCs w:val="20"/>
          <w:color w:val="auto"/>
        </w:rPr>
      </w:pPr>
      <w:r>
        <w:rPr>
          <w:rFonts w:ascii="Arial" w:cs="Arial" w:eastAsia="Arial" w:hAnsi="Arial"/>
          <w:sz w:val="14"/>
          <w:szCs w:val="14"/>
          <w:color w:val="auto"/>
        </w:rPr>
        <w:t>Instead of mailing your proxy, you may choose one of the voting methods</w:t>
      </w:r>
    </w:p>
    <w:p>
      <w:pPr>
        <w:ind w:left="6000"/>
        <w:spacing w:after="0"/>
        <w:rPr>
          <w:sz w:val="20"/>
          <w:szCs w:val="20"/>
          <w:color w:val="auto"/>
        </w:rPr>
      </w:pPr>
      <w:r>
        <w:rPr>
          <w:rFonts w:ascii="Arial" w:cs="Arial" w:eastAsia="Arial" w:hAnsi="Arial"/>
          <w:sz w:val="14"/>
          <w:szCs w:val="14"/>
          <w:color w:val="auto"/>
        </w:rPr>
        <w:t>outlined below to vote your proxy.</w:t>
      </w:r>
    </w:p>
    <w:p>
      <w:pPr>
        <w:spacing w:after="0" w:line="78" w:lineRule="exact"/>
        <w:rPr>
          <w:sz w:val="20"/>
          <w:szCs w:val="20"/>
          <w:color w:val="auto"/>
        </w:rPr>
      </w:pPr>
    </w:p>
    <w:p>
      <w:pPr>
        <w:ind w:left="6000"/>
        <w:spacing w:after="0"/>
        <w:rPr>
          <w:sz w:val="20"/>
          <w:szCs w:val="20"/>
          <w:color w:val="auto"/>
        </w:rPr>
      </w:pPr>
      <w:r>
        <w:rPr>
          <w:rFonts w:ascii="Arial" w:cs="Arial" w:eastAsia="Arial" w:hAnsi="Arial"/>
          <w:sz w:val="14"/>
          <w:szCs w:val="14"/>
          <w:color w:val="auto"/>
        </w:rPr>
        <w:t>VALIDATION DETAILS ARE LOCATED BELOW IN THE TITLE BAR.</w:t>
      </w:r>
    </w:p>
    <w:p>
      <w:pPr>
        <w:spacing w:after="0" w:line="60" w:lineRule="exact"/>
        <w:rPr>
          <w:sz w:val="20"/>
          <w:szCs w:val="20"/>
          <w:color w:val="auto"/>
        </w:rPr>
      </w:pPr>
    </w:p>
    <w:p>
      <w:pPr>
        <w:ind w:left="6000"/>
        <w:spacing w:after="0"/>
        <w:rPr>
          <w:sz w:val="20"/>
          <w:szCs w:val="20"/>
          <w:color w:val="auto"/>
        </w:rPr>
      </w:pPr>
      <w:r>
        <w:rPr>
          <w:rFonts w:ascii="Arial" w:cs="Arial" w:eastAsia="Arial" w:hAnsi="Arial"/>
          <w:sz w:val="14"/>
          <w:szCs w:val="14"/>
          <w:b w:val="1"/>
          <w:bCs w:val="1"/>
          <w:color w:val="auto"/>
        </w:rPr>
        <w:t>Proxies submitted by the Internet or telephone must be received by 11:59</w:t>
      </w:r>
    </w:p>
    <w:p>
      <w:pPr>
        <w:spacing w:after="0" w:line="17" w:lineRule="exact"/>
        <w:rPr>
          <w:sz w:val="20"/>
          <w:szCs w:val="20"/>
          <w:color w:val="auto"/>
        </w:rPr>
      </w:pPr>
    </w:p>
    <w:p>
      <w:pPr>
        <w:ind w:left="6000"/>
        <w:spacing w:after="0"/>
        <w:rPr>
          <w:sz w:val="20"/>
          <w:szCs w:val="20"/>
          <w:color w:val="auto"/>
        </w:rPr>
      </w:pPr>
      <w:r>
        <w:rPr>
          <w:rFonts w:ascii="Arial" w:cs="Arial" w:eastAsia="Arial" w:hAnsi="Arial"/>
          <w:sz w:val="14"/>
          <w:szCs w:val="14"/>
          <w:b w:val="1"/>
          <w:bCs w:val="1"/>
          <w:color w:val="auto"/>
        </w:rPr>
        <w:t>p.m., ET, on June 5, 2018.</w:t>
      </w:r>
    </w:p>
    <w:p>
      <w:pPr>
        <w:spacing w:after="0" w:line="51" w:lineRule="exact"/>
        <w:rPr>
          <w:sz w:val="20"/>
          <w:szCs w:val="20"/>
          <w:color w:val="auto"/>
        </w:rPr>
      </w:pPr>
    </w:p>
    <w:p>
      <w:pPr>
        <w:ind w:left="7080"/>
        <w:spacing w:after="0"/>
        <w:rPr>
          <w:sz w:val="20"/>
          <w:szCs w:val="20"/>
          <w:color w:val="auto"/>
        </w:rPr>
      </w:pPr>
      <w:r>
        <w:rPr>
          <w:rFonts w:ascii="Arial" w:cs="Arial" w:eastAsia="Arial" w:hAnsi="Arial"/>
          <w:sz w:val="18"/>
          <w:szCs w:val="18"/>
          <w:b w:val="1"/>
          <w:bCs w:val="1"/>
          <w:color w:val="auto"/>
        </w:rPr>
        <w:t>Vote by Internet</w:t>
      </w:r>
    </w:p>
    <w:p>
      <w:pPr>
        <w:spacing w:after="0" w:line="82" w:lineRule="exact"/>
        <w:rPr>
          <w:sz w:val="20"/>
          <w:szCs w:val="20"/>
          <w:color w:val="auto"/>
        </w:rPr>
      </w:pPr>
    </w:p>
    <w:p>
      <w:pPr>
        <w:ind w:left="7080"/>
        <w:spacing w:after="0"/>
        <w:tabs>
          <w:tab w:leader="none" w:pos="7280" w:val="left"/>
        </w:tabs>
        <w:rPr>
          <w:sz w:val="20"/>
          <w:szCs w:val="20"/>
          <w:color w:val="auto"/>
        </w:rPr>
      </w:pPr>
      <w:r>
        <w:rPr>
          <w:rFonts w:ascii="Arial" w:cs="Arial" w:eastAsia="Arial" w:hAnsi="Arial"/>
          <w:sz w:val="14"/>
          <w:szCs w:val="14"/>
          <w:color w:val="auto"/>
        </w:rPr>
        <w:t>•</w:t>
        <w:tab/>
        <w:t xml:space="preserve">Go to </w:t>
      </w:r>
      <w:r>
        <w:rPr>
          <w:rFonts w:ascii="Arial" w:cs="Arial" w:eastAsia="Arial" w:hAnsi="Arial"/>
          <w:sz w:val="14"/>
          <w:szCs w:val="14"/>
          <w:b w:val="1"/>
          <w:bCs w:val="1"/>
          <w:color w:val="auto"/>
        </w:rPr>
        <w:t>www.envisionreports.com/HES</w:t>
      </w:r>
    </w:p>
    <w:p>
      <w:pPr>
        <w:spacing w:after="0" w:line="96" w:lineRule="exact"/>
        <w:rPr>
          <w:sz w:val="20"/>
          <w:szCs w:val="20"/>
          <w:color w:val="auto"/>
        </w:rPr>
      </w:pPr>
    </w:p>
    <w:p>
      <w:pPr>
        <w:ind w:left="7080"/>
        <w:spacing w:after="0"/>
        <w:tabs>
          <w:tab w:leader="none" w:pos="7280" w:val="left"/>
        </w:tabs>
        <w:rPr>
          <w:sz w:val="20"/>
          <w:szCs w:val="20"/>
          <w:color w:val="auto"/>
        </w:rPr>
      </w:pPr>
      <w:r>
        <w:rPr>
          <w:rFonts w:ascii="Arial" w:cs="Arial" w:eastAsia="Arial" w:hAnsi="Arial"/>
          <w:sz w:val="14"/>
          <w:szCs w:val="14"/>
          <w:color w:val="auto"/>
        </w:rPr>
        <w:t>•</w:t>
        <w:tab/>
        <w:t>Or scan the QR code with your smartphone</w:t>
      </w:r>
    </w:p>
    <w:p>
      <w:pPr>
        <w:spacing w:after="0" w:line="78" w:lineRule="exact"/>
        <w:rPr>
          <w:sz w:val="20"/>
          <w:szCs w:val="20"/>
          <w:color w:val="auto"/>
        </w:rPr>
      </w:pPr>
    </w:p>
    <w:p>
      <w:pPr>
        <w:ind w:left="7080"/>
        <w:spacing w:after="0"/>
        <w:tabs>
          <w:tab w:leader="none" w:pos="7280" w:val="left"/>
        </w:tabs>
        <w:rPr>
          <w:sz w:val="20"/>
          <w:szCs w:val="20"/>
          <w:color w:val="auto"/>
        </w:rPr>
      </w:pPr>
      <w:r>
        <w:rPr>
          <w:rFonts w:ascii="Arial" w:cs="Arial" w:eastAsia="Arial" w:hAnsi="Arial"/>
          <w:sz w:val="14"/>
          <w:szCs w:val="14"/>
          <w:color w:val="auto"/>
        </w:rPr>
        <w:t>•</w:t>
        <w:tab/>
        <w:t>Follow the steps outlined on the secure website</w:t>
      </w:r>
    </w:p>
    <w:p>
      <w:pPr>
        <w:spacing w:after="0" w:line="131"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Vote by telephone</w:t>
      </w:r>
    </w:p>
    <w:p>
      <w:pPr>
        <w:sectPr>
          <w:pgSz w:w="11900" w:h="16838" w:orient="portrait"/>
          <w:cols w:equalWidth="0" w:num="1">
            <w:col w:w="11160"/>
          </w:cols>
          <w:pgMar w:left="240" w:top="454" w:right="49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both"/>
        <w:ind w:left="380" w:right="1206"/>
        <w:spacing w:after="0" w:line="258" w:lineRule="auto"/>
        <w:rPr>
          <w:sz w:val="20"/>
          <w:szCs w:val="20"/>
          <w:color w:val="auto"/>
        </w:rPr>
      </w:pPr>
      <w:r>
        <w:rPr>
          <w:rFonts w:ascii="Arial" w:cs="Arial" w:eastAsia="Arial" w:hAnsi="Arial"/>
          <w:sz w:val="14"/>
          <w:szCs w:val="14"/>
          <w:color w:val="auto"/>
        </w:rPr>
        <w:t xml:space="preserve">Using a </w:t>
      </w:r>
      <w:r>
        <w:rPr>
          <w:rFonts w:ascii="Arial" w:cs="Arial" w:eastAsia="Arial" w:hAnsi="Arial"/>
          <w:sz w:val="14"/>
          <w:szCs w:val="14"/>
          <w:b w:val="1"/>
          <w:bCs w:val="1"/>
          <w:u w:val="single" w:color="auto"/>
          <w:color w:val="auto"/>
        </w:rPr>
        <w:t>black ink</w:t>
      </w:r>
      <w:r>
        <w:rPr>
          <w:rFonts w:ascii="Arial" w:cs="Arial" w:eastAsia="Arial" w:hAnsi="Arial"/>
          <w:sz w:val="14"/>
          <w:szCs w:val="14"/>
          <w:color w:val="auto"/>
        </w:rPr>
        <w:t xml:space="preserve"> pen, mark your votes with an </w:t>
      </w:r>
      <w:r>
        <w:rPr>
          <w:rFonts w:ascii="Arial" w:cs="Arial" w:eastAsia="Arial" w:hAnsi="Arial"/>
          <w:sz w:val="14"/>
          <w:szCs w:val="14"/>
          <w:b w:val="1"/>
          <w:bCs w:val="1"/>
          <w:color w:val="auto"/>
        </w:rPr>
        <w:t>X</w:t>
      </w:r>
      <w:r>
        <w:rPr>
          <w:rFonts w:ascii="Arial" w:cs="Arial" w:eastAsia="Arial" w:hAnsi="Arial"/>
          <w:sz w:val="14"/>
          <w:szCs w:val="14"/>
          <w:color w:val="auto"/>
        </w:rPr>
        <w:t xml:space="preserve"> as shown in this example. Please do not write outside the designated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-320675</wp:posOffset>
            </wp:positionV>
            <wp:extent cx="270510" cy="24511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70510" cy="2451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left="94" w:right="180" w:hanging="94"/>
        <w:spacing w:after="0" w:line="251" w:lineRule="auto"/>
        <w:tabs>
          <w:tab w:leader="none" w:pos="90" w:val="left"/>
        </w:tabs>
        <w:numPr>
          <w:ilvl w:val="0"/>
          <w:numId w:val="94"/>
        </w:numPr>
        <w:rPr>
          <w:rFonts w:ascii="Arial" w:cs="Arial" w:eastAsia="Arial" w:hAnsi="Arial"/>
          <w:sz w:val="14"/>
          <w:szCs w:val="14"/>
          <w:color w:val="auto"/>
        </w:rPr>
      </w:pPr>
      <w:r>
        <w:rPr>
          <w:rFonts w:ascii="Arial" w:cs="Arial" w:eastAsia="Arial" w:hAnsi="Arial"/>
          <w:sz w:val="14"/>
          <w:szCs w:val="14"/>
          <w:color w:val="auto"/>
        </w:rPr>
        <w:t xml:space="preserve">Call toll free 1-800-652-VOTE (8683) within the USA, US territories &amp; Canada on a touch tone telephone. There is </w:t>
      </w:r>
      <w:r>
        <w:rPr>
          <w:rFonts w:ascii="Arial" w:cs="Arial" w:eastAsia="Arial" w:hAnsi="Arial"/>
          <w:sz w:val="14"/>
          <w:szCs w:val="14"/>
          <w:b w:val="1"/>
          <w:bCs w:val="1"/>
          <w:color w:val="auto"/>
        </w:rPr>
        <w:t>NO CHARGE</w:t>
      </w:r>
      <w:r>
        <w:rPr>
          <w:rFonts w:ascii="Arial" w:cs="Arial" w:eastAsia="Arial" w:hAnsi="Arial"/>
          <w:sz w:val="14"/>
          <w:szCs w:val="14"/>
          <w:color w:val="auto"/>
        </w:rPr>
        <w:t xml:space="preserve"> to you for the call.</w:t>
      </w:r>
    </w:p>
    <w:p>
      <w:pPr>
        <w:spacing w:after="0" w:line="75" w:lineRule="exact"/>
        <w:rPr>
          <w:rFonts w:ascii="Arial" w:cs="Arial" w:eastAsia="Arial" w:hAnsi="Arial"/>
          <w:sz w:val="14"/>
          <w:szCs w:val="14"/>
          <w:color w:val="auto"/>
        </w:rPr>
      </w:pPr>
    </w:p>
    <w:p>
      <w:pPr>
        <w:ind w:left="94" w:hanging="94"/>
        <w:spacing w:after="0"/>
        <w:tabs>
          <w:tab w:leader="none" w:pos="94" w:val="left"/>
        </w:tabs>
        <w:numPr>
          <w:ilvl w:val="0"/>
          <w:numId w:val="94"/>
        </w:numPr>
        <w:rPr>
          <w:rFonts w:ascii="Arial" w:cs="Arial" w:eastAsia="Arial" w:hAnsi="Arial"/>
          <w:sz w:val="14"/>
          <w:szCs w:val="14"/>
          <w:color w:val="auto"/>
        </w:rPr>
      </w:pPr>
      <w:r>
        <w:rPr>
          <w:rFonts w:ascii="Arial" w:cs="Arial" w:eastAsia="Arial" w:hAnsi="Arial"/>
          <w:sz w:val="14"/>
          <w:szCs w:val="14"/>
          <w:color w:val="auto"/>
        </w:rPr>
        <w:t>Follow the instructions provided by the recorded message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-3352800</wp:posOffset>
            </wp:positionH>
            <wp:positionV relativeFrom="paragraph">
              <wp:posOffset>266700</wp:posOffset>
            </wp:positionV>
            <wp:extent cx="6294120" cy="29591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294120" cy="295910"/>
                    </a:xfrm>
                    <a:prstGeom prst="rect">
                      <a:avLst/>
                    </a:prstGeom>
                    <a:noFill/>
                  </pic:spPr>
                </pic:pic>
              </a:graphicData>
            </a:graphic>
          </wp:anchor>
        </w:drawing>
      </w:r>
    </w:p>
    <w:p>
      <w:pPr>
        <w:spacing w:after="0" w:line="460" w:lineRule="exact"/>
        <w:rPr>
          <w:sz w:val="20"/>
          <w:szCs w:val="20"/>
          <w:color w:val="auto"/>
        </w:rPr>
      </w:pPr>
    </w:p>
    <w:p>
      <w:pPr>
        <w:sectPr>
          <w:pgSz w:w="11900" w:h="16838" w:orient="portrait"/>
          <w:cols w:equalWidth="0" w:num="2">
            <w:col w:w="5326" w:space="720"/>
            <w:col w:w="5114"/>
          </w:cols>
          <w:pgMar w:left="240" w:top="454" w:right="499" w:bottom="1440" w:gutter="0" w:footer="0" w:header="0"/>
          <w:type w:val="continuous"/>
        </w:sectPr>
      </w:pPr>
    </w:p>
    <w:p>
      <w:pPr>
        <w:spacing w:after="0" w:line="200" w:lineRule="exact"/>
        <w:rPr>
          <w:sz w:val="20"/>
          <w:szCs w:val="20"/>
          <w:color w:val="auto"/>
        </w:rPr>
      </w:pPr>
    </w:p>
    <w:p>
      <w:pPr>
        <w:spacing w:after="0" w:line="291" w:lineRule="exact"/>
        <w:rPr>
          <w:sz w:val="20"/>
          <w:szCs w:val="20"/>
          <w:color w:val="auto"/>
        </w:rPr>
      </w:pPr>
    </w:p>
    <w:p>
      <w:pPr>
        <w:jc w:val="center"/>
        <w:ind w:left="420" w:right="160"/>
        <w:spacing w:after="0" w:line="278" w:lineRule="auto"/>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IF YOU HAVE NOT VOTED VIA THE INTERNET</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auto"/>
        </w:rPr>
        <w:t>OR</w:t>
      </w:r>
      <w:r>
        <w:rPr>
          <w:rFonts w:ascii="Arial" w:cs="Arial" w:eastAsia="Arial" w:hAnsi="Arial"/>
          <w:sz w:val="14"/>
          <w:szCs w:val="14"/>
          <w:color w:val="auto"/>
        </w:rPr>
        <w:t xml:space="preserve"> </w:t>
      </w:r>
      <w:r>
        <w:rPr>
          <w:rFonts w:ascii="Arial" w:cs="Arial" w:eastAsia="Arial" w:hAnsi="Arial"/>
          <w:sz w:val="14"/>
          <w:szCs w:val="14"/>
          <w:b w:val="1"/>
          <w:bCs w:val="1"/>
          <w:color w:val="auto"/>
        </w:rPr>
        <w:t>TELEPHONE, FOLD ALONG THE PERFORATION, DETACH AND RETURN THE BOTTOM PORTION IN THE</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ENCLOSED ENVELOPE. </w:t>
      </w:r>
      <w:r>
        <w:rPr>
          <w:rFonts w:ascii="Arial" w:cs="Arial" w:eastAsia="Arial" w:hAnsi="Arial"/>
          <w:sz w:val="14"/>
          <w:szCs w:val="14"/>
          <w:color w:val="auto"/>
        </w:rPr>
        <w:t>q</w:t>
      </w:r>
    </w:p>
    <w:p>
      <w:pPr>
        <w:sectPr>
          <w:pgSz w:w="11900" w:h="16838" w:orient="portrait"/>
          <w:cols w:equalWidth="0" w:num="1">
            <w:col w:w="11160"/>
          </w:cols>
          <w:pgMar w:left="240" w:top="454" w:right="499" w:bottom="1440" w:gutter="0" w:footer="0" w:header="0"/>
          <w:type w:val="continuous"/>
        </w:sectPr>
      </w:pPr>
    </w:p>
    <w:p>
      <w:pPr>
        <w:spacing w:after="0" w:line="176" w:lineRule="exact"/>
        <w:rPr>
          <w:sz w:val="20"/>
          <w:szCs w:val="20"/>
          <w:color w:val="auto"/>
        </w:rPr>
      </w:pPr>
    </w:p>
    <w:p>
      <w:pPr>
        <w:ind w:left="560" w:hanging="240"/>
        <w:spacing w:after="0"/>
        <w:tabs>
          <w:tab w:leader="none" w:pos="560" w:val="left"/>
        </w:tabs>
        <w:numPr>
          <w:ilvl w:val="0"/>
          <w:numId w:val="95"/>
        </w:numPr>
        <w:rPr>
          <w:rFonts w:ascii="Arial" w:cs="Arial" w:eastAsia="Arial" w:hAnsi="Arial"/>
          <w:sz w:val="14"/>
          <w:szCs w:val="14"/>
          <w:b w:val="1"/>
          <w:bCs w:val="1"/>
          <w:color w:val="FFFFFF"/>
        </w:rPr>
      </w:pPr>
      <w:r>
        <w:rPr>
          <w:rFonts w:ascii="Arial" w:cs="Arial" w:eastAsia="Arial" w:hAnsi="Arial"/>
          <w:sz w:val="18"/>
          <w:szCs w:val="18"/>
          <w:b w:val="1"/>
          <w:bCs w:val="1"/>
          <w:color w:val="auto"/>
        </w:rPr>
        <w:t xml:space="preserve">Proposals — 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each of the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-116205</wp:posOffset>
            </wp:positionV>
            <wp:extent cx="109855" cy="1270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09855" cy="127000"/>
                    </a:xfrm>
                    <a:prstGeom prst="rect">
                      <a:avLst/>
                    </a:prstGeom>
                    <a:noFill/>
                  </pic:spPr>
                </pic:pic>
              </a:graphicData>
            </a:graphic>
          </wp:anchor>
        </w:drawing>
      </w:r>
    </w:p>
    <w:p>
      <w:pPr>
        <w:spacing w:after="0" w:line="235" w:lineRule="exact"/>
        <w:rPr>
          <w:sz w:val="20"/>
          <w:szCs w:val="20"/>
          <w:color w:val="auto"/>
        </w:rPr>
      </w:pPr>
    </w:p>
    <w:tbl>
      <w:tblPr>
        <w:tblLayout w:type="fixed"/>
        <w:tblInd w:w="400" w:type="dxa"/>
        <w:tblCellMar>
          <w:top w:w="0" w:type="dxa"/>
          <w:left w:w="0" w:type="dxa"/>
          <w:bottom w:w="0" w:type="dxa"/>
          <w:right w:w="0" w:type="dxa"/>
        </w:tblCellMar>
      </w:tblPr>
      <w:tr>
        <w:trPr>
          <w:trHeight w:val="176"/>
        </w:trPr>
        <w:tc>
          <w:tcPr>
            <w:tcW w:w="1780" w:type="dxa"/>
            <w:vAlign w:val="bottom"/>
            <w:gridSpan w:val="2"/>
          </w:tcPr>
          <w:p>
            <w:pPr>
              <w:spacing w:after="0"/>
              <w:rPr>
                <w:sz w:val="20"/>
                <w:szCs w:val="20"/>
                <w:color w:val="auto"/>
              </w:rPr>
            </w:pPr>
            <w:r>
              <w:rPr>
                <w:rFonts w:ascii="Arial" w:cs="Arial" w:eastAsia="Arial" w:hAnsi="Arial"/>
                <w:sz w:val="14"/>
                <w:szCs w:val="14"/>
                <w:color w:val="auto"/>
              </w:rPr>
              <w:t>1.  Election of Directors:</w:t>
            </w:r>
          </w:p>
        </w:tc>
        <w:tc>
          <w:tcPr>
            <w:tcW w:w="1040" w:type="dxa"/>
            <w:vAlign w:val="bottom"/>
          </w:tcPr>
          <w:p>
            <w:pPr>
              <w:ind w:left="120"/>
              <w:spacing w:after="0"/>
              <w:rPr>
                <w:sz w:val="20"/>
                <w:szCs w:val="20"/>
                <w:color w:val="auto"/>
              </w:rPr>
            </w:pPr>
            <w:r>
              <w:rPr>
                <w:rFonts w:ascii="Arial" w:cs="Arial" w:eastAsia="Arial" w:hAnsi="Arial"/>
                <w:sz w:val="14"/>
                <w:szCs w:val="14"/>
                <w:b w:val="1"/>
                <w:bCs w:val="1"/>
                <w:color w:val="auto"/>
              </w:rPr>
              <w:t>For  Against</w:t>
            </w: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Abstain</w:t>
            </w:r>
          </w:p>
        </w:tc>
        <w:tc>
          <w:tcPr>
            <w:tcW w:w="1340" w:type="dxa"/>
            <w:vAlign w:val="bottom"/>
          </w:tcPr>
          <w:p>
            <w:pPr>
              <w:spacing w:after="0"/>
              <w:rPr>
                <w:sz w:val="15"/>
                <w:szCs w:val="15"/>
                <w:color w:val="auto"/>
              </w:rPr>
            </w:pPr>
          </w:p>
        </w:tc>
        <w:tc>
          <w:tcPr>
            <w:tcW w:w="1120" w:type="dxa"/>
            <w:vAlign w:val="bottom"/>
          </w:tcPr>
          <w:p>
            <w:pPr>
              <w:ind w:left="180"/>
              <w:spacing w:after="0"/>
              <w:rPr>
                <w:sz w:val="20"/>
                <w:szCs w:val="20"/>
                <w:color w:val="auto"/>
              </w:rPr>
            </w:pPr>
            <w:r>
              <w:rPr>
                <w:rFonts w:ascii="Arial" w:cs="Arial" w:eastAsia="Arial" w:hAnsi="Arial"/>
                <w:sz w:val="14"/>
                <w:szCs w:val="14"/>
                <w:b w:val="1"/>
                <w:bCs w:val="1"/>
                <w:color w:val="auto"/>
              </w:rPr>
              <w:t>For  Against</w:t>
            </w: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Abstain</w:t>
            </w:r>
          </w:p>
        </w:tc>
        <w:tc>
          <w:tcPr>
            <w:tcW w:w="1540" w:type="dxa"/>
            <w:vAlign w:val="bottom"/>
          </w:tcPr>
          <w:p>
            <w:pPr>
              <w:spacing w:after="0"/>
              <w:rPr>
                <w:sz w:val="15"/>
                <w:szCs w:val="15"/>
                <w:color w:val="auto"/>
              </w:rPr>
            </w:pPr>
          </w:p>
        </w:tc>
      </w:tr>
      <w:tr>
        <w:trPr>
          <w:trHeight w:val="439"/>
        </w:trPr>
        <w:tc>
          <w:tcPr>
            <w:tcW w:w="400" w:type="dxa"/>
            <w:vAlign w:val="bottom"/>
          </w:tcPr>
          <w:p>
            <w:pPr>
              <w:jc w:val="right"/>
              <w:spacing w:after="0"/>
              <w:rPr>
                <w:sz w:val="20"/>
                <w:szCs w:val="20"/>
                <w:color w:val="auto"/>
              </w:rPr>
            </w:pPr>
            <w:r>
              <w:rPr>
                <w:rFonts w:ascii="Arial" w:cs="Arial" w:eastAsia="Arial" w:hAnsi="Arial"/>
                <w:sz w:val="14"/>
                <w:szCs w:val="14"/>
                <w:color w:val="auto"/>
              </w:rPr>
              <w:t>01</w:t>
            </w:r>
          </w:p>
        </w:tc>
        <w:tc>
          <w:tcPr>
            <w:tcW w:w="1380" w:type="dxa"/>
            <w:vAlign w:val="bottom"/>
          </w:tcPr>
          <w:p>
            <w:pPr>
              <w:ind w:left="20"/>
              <w:spacing w:after="0"/>
              <w:rPr>
                <w:sz w:val="20"/>
                <w:szCs w:val="20"/>
                <w:color w:val="auto"/>
              </w:rPr>
            </w:pPr>
            <w:r>
              <w:rPr>
                <w:rFonts w:ascii="Arial" w:cs="Arial" w:eastAsia="Arial" w:hAnsi="Arial"/>
                <w:sz w:val="14"/>
                <w:szCs w:val="14"/>
                <w:color w:val="auto"/>
              </w:rPr>
              <w:t>- R.F. CHASE</w:t>
            </w:r>
          </w:p>
        </w:tc>
        <w:tc>
          <w:tcPr>
            <w:tcW w:w="1040" w:type="dxa"/>
            <w:vAlign w:val="bottom"/>
          </w:tcPr>
          <w:p>
            <w:pPr>
              <w:ind w:left="100"/>
              <w:spacing w:after="0" w:line="281" w:lineRule="exact"/>
              <w:rPr>
                <w:sz w:val="20"/>
                <w:szCs w:val="20"/>
                <w:color w:val="auto"/>
              </w:rPr>
            </w:pPr>
            <w:r>
              <w:rPr>
                <w:rFonts w:ascii="MS PGothic" w:cs="MS PGothic" w:eastAsia="MS PGothic" w:hAnsi="MS PGothic"/>
                <w:sz w:val="28"/>
                <w:szCs w:val="28"/>
                <w:color w:val="auto"/>
              </w:rPr>
              <w:t>☐ ☐</w:t>
            </w:r>
          </w:p>
        </w:tc>
        <w:tc>
          <w:tcPr>
            <w:tcW w:w="2220" w:type="dxa"/>
            <w:vAlign w:val="bottom"/>
            <w:gridSpan w:val="3"/>
          </w:tcPr>
          <w:p>
            <w:pPr>
              <w:ind w:left="200"/>
              <w:spacing w:after="0" w:line="322" w:lineRule="exact"/>
              <w:rPr>
                <w:sz w:val="20"/>
                <w:szCs w:val="20"/>
                <w:color w:val="auto"/>
              </w:rPr>
            </w:pPr>
            <w:r>
              <w:rPr>
                <w:rFonts w:ascii="MS PGothic" w:cs="MS PGothic" w:eastAsia="MS PGothic" w:hAnsi="MS PGothic"/>
                <w:sz w:val="28"/>
                <w:szCs w:val="28"/>
                <w:color w:val="auto"/>
              </w:rPr>
              <w:t>☐</w:t>
            </w:r>
            <w:r>
              <w:rPr>
                <w:rFonts w:ascii="Arial" w:cs="Arial" w:eastAsia="Arial" w:hAnsi="Arial"/>
                <w:sz w:val="14"/>
                <w:szCs w:val="14"/>
                <w:color w:val="auto"/>
              </w:rPr>
              <w:t xml:space="preserve"> 02 - T.J. CHECKI</w:t>
            </w:r>
          </w:p>
        </w:tc>
        <w:tc>
          <w:tcPr>
            <w:tcW w:w="1120" w:type="dxa"/>
            <w:vAlign w:val="bottom"/>
          </w:tcPr>
          <w:p>
            <w:pPr>
              <w:ind w:left="160"/>
              <w:spacing w:after="0" w:line="281" w:lineRule="exact"/>
              <w:rPr>
                <w:sz w:val="20"/>
                <w:szCs w:val="20"/>
                <w:color w:val="auto"/>
              </w:rPr>
            </w:pPr>
            <w:r>
              <w:rPr>
                <w:rFonts w:ascii="MS PGothic" w:cs="MS PGothic" w:eastAsia="MS PGothic" w:hAnsi="MS PGothic"/>
                <w:sz w:val="28"/>
                <w:szCs w:val="28"/>
                <w:color w:val="auto"/>
              </w:rPr>
              <w:t>☐ ☐</w:t>
            </w:r>
          </w:p>
        </w:tc>
        <w:tc>
          <w:tcPr>
            <w:tcW w:w="2400" w:type="dxa"/>
            <w:vAlign w:val="bottom"/>
            <w:gridSpan w:val="3"/>
          </w:tcPr>
          <w:p>
            <w:pPr>
              <w:ind w:left="180"/>
              <w:spacing w:after="0" w:line="322" w:lineRule="exact"/>
              <w:rPr>
                <w:sz w:val="20"/>
                <w:szCs w:val="20"/>
                <w:color w:val="auto"/>
              </w:rPr>
            </w:pPr>
            <w:r>
              <w:rPr>
                <w:rFonts w:ascii="MS PGothic" w:cs="MS PGothic" w:eastAsia="MS PGothic" w:hAnsi="MS PGothic"/>
                <w:sz w:val="28"/>
                <w:szCs w:val="28"/>
                <w:color w:val="auto"/>
              </w:rPr>
              <w:t>☐</w:t>
            </w:r>
            <w:r>
              <w:rPr>
                <w:rFonts w:ascii="Arial" w:cs="Arial" w:eastAsia="Arial" w:hAnsi="Arial"/>
                <w:sz w:val="14"/>
                <w:szCs w:val="14"/>
                <w:color w:val="auto"/>
              </w:rPr>
              <w:t xml:space="preserve"> 03 - L.S. COLEMAN, JR.</w:t>
            </w:r>
          </w:p>
        </w:tc>
      </w:tr>
      <w:tr>
        <w:trPr>
          <w:trHeight w:val="439"/>
        </w:trPr>
        <w:tc>
          <w:tcPr>
            <w:tcW w:w="400" w:type="dxa"/>
            <w:vAlign w:val="bottom"/>
          </w:tcPr>
          <w:p>
            <w:pPr>
              <w:jc w:val="right"/>
              <w:spacing w:after="0"/>
              <w:rPr>
                <w:sz w:val="20"/>
                <w:szCs w:val="20"/>
                <w:color w:val="auto"/>
              </w:rPr>
            </w:pPr>
            <w:r>
              <w:rPr>
                <w:rFonts w:ascii="Arial" w:cs="Arial" w:eastAsia="Arial" w:hAnsi="Arial"/>
                <w:sz w:val="14"/>
                <w:szCs w:val="14"/>
                <w:color w:val="auto"/>
              </w:rPr>
              <w:t>04</w:t>
            </w:r>
          </w:p>
        </w:tc>
        <w:tc>
          <w:tcPr>
            <w:tcW w:w="1380" w:type="dxa"/>
            <w:vAlign w:val="bottom"/>
          </w:tcPr>
          <w:p>
            <w:pPr>
              <w:ind w:left="20"/>
              <w:spacing w:after="0"/>
              <w:rPr>
                <w:sz w:val="20"/>
                <w:szCs w:val="20"/>
                <w:color w:val="auto"/>
              </w:rPr>
            </w:pPr>
            <w:r>
              <w:rPr>
                <w:rFonts w:ascii="Arial" w:cs="Arial" w:eastAsia="Arial" w:hAnsi="Arial"/>
                <w:sz w:val="14"/>
                <w:szCs w:val="14"/>
                <w:color w:val="auto"/>
              </w:rPr>
              <w:t>- J.B. HESS</w:t>
            </w:r>
          </w:p>
        </w:tc>
        <w:tc>
          <w:tcPr>
            <w:tcW w:w="1040" w:type="dxa"/>
            <w:vAlign w:val="bottom"/>
          </w:tcPr>
          <w:p>
            <w:pPr>
              <w:ind w:left="100"/>
              <w:spacing w:after="0" w:line="281" w:lineRule="exact"/>
              <w:rPr>
                <w:sz w:val="20"/>
                <w:szCs w:val="20"/>
                <w:color w:val="auto"/>
              </w:rPr>
            </w:pPr>
            <w:r>
              <w:rPr>
                <w:rFonts w:ascii="MS PGothic" w:cs="MS PGothic" w:eastAsia="MS PGothic" w:hAnsi="MS PGothic"/>
                <w:sz w:val="28"/>
                <w:szCs w:val="28"/>
                <w:color w:val="auto"/>
              </w:rPr>
              <w:t>☐ ☐</w:t>
            </w:r>
          </w:p>
        </w:tc>
        <w:tc>
          <w:tcPr>
            <w:tcW w:w="880" w:type="dxa"/>
            <w:vAlign w:val="bottom"/>
            <w:gridSpan w:val="2"/>
          </w:tcPr>
          <w:p>
            <w:pPr>
              <w:jc w:val="right"/>
              <w:spacing w:after="0" w:line="322" w:lineRule="exact"/>
              <w:rPr>
                <w:sz w:val="20"/>
                <w:szCs w:val="20"/>
                <w:color w:val="auto"/>
              </w:rPr>
            </w:pPr>
            <w:r>
              <w:rPr>
                <w:rFonts w:ascii="MS PGothic" w:cs="MS PGothic" w:eastAsia="MS PGothic" w:hAnsi="MS PGothic"/>
                <w:sz w:val="28"/>
                <w:szCs w:val="28"/>
                <w:color w:val="auto"/>
              </w:rPr>
              <w:t>☐</w:t>
            </w:r>
            <w:r>
              <w:rPr>
                <w:rFonts w:ascii="Arial" w:cs="Arial" w:eastAsia="Arial" w:hAnsi="Arial"/>
                <w:sz w:val="14"/>
                <w:szCs w:val="14"/>
                <w:color w:val="auto"/>
              </w:rPr>
              <w:t xml:space="preserve"> 05</w:t>
            </w:r>
          </w:p>
        </w:tc>
        <w:tc>
          <w:tcPr>
            <w:tcW w:w="1340" w:type="dxa"/>
            <w:vAlign w:val="bottom"/>
          </w:tcPr>
          <w:p>
            <w:pPr>
              <w:ind w:left="20"/>
              <w:spacing w:after="0"/>
              <w:rPr>
                <w:sz w:val="20"/>
                <w:szCs w:val="20"/>
                <w:color w:val="auto"/>
              </w:rPr>
            </w:pPr>
            <w:r>
              <w:rPr>
                <w:rFonts w:ascii="Arial" w:cs="Arial" w:eastAsia="Arial" w:hAnsi="Arial"/>
                <w:sz w:val="14"/>
                <w:szCs w:val="14"/>
                <w:color w:val="auto"/>
              </w:rPr>
              <w:t>- E.E. HOLIDAY</w:t>
            </w:r>
          </w:p>
        </w:tc>
        <w:tc>
          <w:tcPr>
            <w:tcW w:w="1120" w:type="dxa"/>
            <w:vAlign w:val="bottom"/>
          </w:tcPr>
          <w:p>
            <w:pPr>
              <w:ind w:left="160"/>
              <w:spacing w:after="0" w:line="281" w:lineRule="exact"/>
              <w:rPr>
                <w:sz w:val="20"/>
                <w:szCs w:val="20"/>
                <w:color w:val="auto"/>
              </w:rPr>
            </w:pPr>
            <w:r>
              <w:rPr>
                <w:rFonts w:ascii="MS PGothic" w:cs="MS PGothic" w:eastAsia="MS PGothic" w:hAnsi="MS PGothic"/>
                <w:sz w:val="28"/>
                <w:szCs w:val="28"/>
                <w:color w:val="auto"/>
              </w:rPr>
              <w:t>☐ ☐</w:t>
            </w:r>
          </w:p>
        </w:tc>
        <w:tc>
          <w:tcPr>
            <w:tcW w:w="860" w:type="dxa"/>
            <w:vAlign w:val="bottom"/>
            <w:gridSpan w:val="2"/>
          </w:tcPr>
          <w:p>
            <w:pPr>
              <w:jc w:val="right"/>
              <w:spacing w:after="0" w:line="322" w:lineRule="exact"/>
              <w:rPr>
                <w:sz w:val="20"/>
                <w:szCs w:val="20"/>
                <w:color w:val="auto"/>
              </w:rPr>
            </w:pPr>
            <w:r>
              <w:rPr>
                <w:rFonts w:ascii="MS PGothic" w:cs="MS PGothic" w:eastAsia="MS PGothic" w:hAnsi="MS PGothic"/>
                <w:sz w:val="28"/>
                <w:szCs w:val="28"/>
                <w:color w:val="auto"/>
              </w:rPr>
              <w:t>☐</w:t>
            </w:r>
            <w:r>
              <w:rPr>
                <w:rFonts w:ascii="Arial" w:cs="Arial" w:eastAsia="Arial" w:hAnsi="Arial"/>
                <w:sz w:val="14"/>
                <w:szCs w:val="14"/>
                <w:color w:val="auto"/>
              </w:rPr>
              <w:t xml:space="preserve"> 06</w:t>
            </w:r>
          </w:p>
        </w:tc>
        <w:tc>
          <w:tcPr>
            <w:tcW w:w="1540" w:type="dxa"/>
            <w:vAlign w:val="bottom"/>
          </w:tcPr>
          <w:p>
            <w:pPr>
              <w:ind w:left="20"/>
              <w:spacing w:after="0"/>
              <w:rPr>
                <w:sz w:val="20"/>
                <w:szCs w:val="20"/>
                <w:color w:val="auto"/>
              </w:rPr>
            </w:pPr>
            <w:r>
              <w:rPr>
                <w:rFonts w:ascii="Arial" w:cs="Arial" w:eastAsia="Arial" w:hAnsi="Arial"/>
                <w:sz w:val="14"/>
                <w:szCs w:val="14"/>
                <w:color w:val="auto"/>
                <w:w w:val="99"/>
              </w:rPr>
              <w:t>- R. LAVIZZO-MOUREY</w:t>
            </w:r>
          </w:p>
        </w:tc>
      </w:tr>
      <w:tr>
        <w:trPr>
          <w:trHeight w:val="439"/>
        </w:trPr>
        <w:tc>
          <w:tcPr>
            <w:tcW w:w="400" w:type="dxa"/>
            <w:vAlign w:val="bottom"/>
          </w:tcPr>
          <w:p>
            <w:pPr>
              <w:jc w:val="right"/>
              <w:spacing w:after="0"/>
              <w:rPr>
                <w:sz w:val="20"/>
                <w:szCs w:val="20"/>
                <w:color w:val="auto"/>
              </w:rPr>
            </w:pPr>
            <w:r>
              <w:rPr>
                <w:rFonts w:ascii="Arial" w:cs="Arial" w:eastAsia="Arial" w:hAnsi="Arial"/>
                <w:sz w:val="14"/>
                <w:szCs w:val="14"/>
                <w:color w:val="auto"/>
              </w:rPr>
              <w:t>07</w:t>
            </w:r>
          </w:p>
        </w:tc>
        <w:tc>
          <w:tcPr>
            <w:tcW w:w="1380" w:type="dxa"/>
            <w:vAlign w:val="bottom"/>
          </w:tcPr>
          <w:p>
            <w:pPr>
              <w:ind w:left="20"/>
              <w:spacing w:after="0"/>
              <w:rPr>
                <w:sz w:val="20"/>
                <w:szCs w:val="20"/>
                <w:color w:val="auto"/>
              </w:rPr>
            </w:pPr>
            <w:r>
              <w:rPr>
                <w:rFonts w:ascii="Arial" w:cs="Arial" w:eastAsia="Arial" w:hAnsi="Arial"/>
                <w:sz w:val="14"/>
                <w:szCs w:val="14"/>
                <w:color w:val="auto"/>
              </w:rPr>
              <w:t>- M.S. LIPSCHULTZ</w:t>
            </w:r>
          </w:p>
        </w:tc>
        <w:tc>
          <w:tcPr>
            <w:tcW w:w="1040" w:type="dxa"/>
            <w:vAlign w:val="bottom"/>
          </w:tcPr>
          <w:p>
            <w:pPr>
              <w:ind w:left="100"/>
              <w:spacing w:after="0" w:line="281" w:lineRule="exact"/>
              <w:rPr>
                <w:sz w:val="20"/>
                <w:szCs w:val="20"/>
                <w:color w:val="auto"/>
              </w:rPr>
            </w:pPr>
            <w:r>
              <w:rPr>
                <w:rFonts w:ascii="MS PGothic" w:cs="MS PGothic" w:eastAsia="MS PGothic" w:hAnsi="MS PGothic"/>
                <w:sz w:val="28"/>
                <w:szCs w:val="28"/>
                <w:color w:val="auto"/>
              </w:rPr>
              <w:t>☐ ☐</w:t>
            </w:r>
          </w:p>
        </w:tc>
        <w:tc>
          <w:tcPr>
            <w:tcW w:w="580" w:type="dxa"/>
            <w:vAlign w:val="bottom"/>
          </w:tcPr>
          <w:p>
            <w:pPr>
              <w:ind w:left="200"/>
              <w:spacing w:after="0" w:line="281" w:lineRule="exact"/>
              <w:rPr>
                <w:sz w:val="20"/>
                <w:szCs w:val="20"/>
                <w:color w:val="auto"/>
              </w:rPr>
            </w:pPr>
            <w:r>
              <w:rPr>
                <w:rFonts w:ascii="MS PGothic" w:cs="MS PGothic" w:eastAsia="MS PGothic" w:hAnsi="MS PGothic"/>
                <w:sz w:val="28"/>
                <w:szCs w:val="28"/>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08</w:t>
            </w:r>
          </w:p>
        </w:tc>
        <w:tc>
          <w:tcPr>
            <w:tcW w:w="1340" w:type="dxa"/>
            <w:vAlign w:val="bottom"/>
          </w:tcPr>
          <w:p>
            <w:pPr>
              <w:ind w:left="20"/>
              <w:spacing w:after="0"/>
              <w:rPr>
                <w:sz w:val="20"/>
                <w:szCs w:val="20"/>
                <w:color w:val="auto"/>
              </w:rPr>
            </w:pPr>
            <w:r>
              <w:rPr>
                <w:rFonts w:ascii="Arial" w:cs="Arial" w:eastAsia="Arial" w:hAnsi="Arial"/>
                <w:sz w:val="14"/>
                <w:szCs w:val="14"/>
                <w:color w:val="auto"/>
              </w:rPr>
              <w:t>- D. MCMANUS</w:t>
            </w:r>
          </w:p>
        </w:tc>
        <w:tc>
          <w:tcPr>
            <w:tcW w:w="1120" w:type="dxa"/>
            <w:vAlign w:val="bottom"/>
          </w:tcPr>
          <w:p>
            <w:pPr>
              <w:ind w:left="160"/>
              <w:spacing w:after="0" w:line="281" w:lineRule="exact"/>
              <w:rPr>
                <w:sz w:val="20"/>
                <w:szCs w:val="20"/>
                <w:color w:val="auto"/>
              </w:rPr>
            </w:pPr>
            <w:r>
              <w:rPr>
                <w:rFonts w:ascii="MS PGothic" w:cs="MS PGothic" w:eastAsia="MS PGothic" w:hAnsi="MS PGothic"/>
                <w:sz w:val="28"/>
                <w:szCs w:val="28"/>
                <w:color w:val="auto"/>
              </w:rPr>
              <w:t>☐ ☐</w:t>
            </w:r>
          </w:p>
        </w:tc>
        <w:tc>
          <w:tcPr>
            <w:tcW w:w="560" w:type="dxa"/>
            <w:vAlign w:val="bottom"/>
          </w:tcPr>
          <w:p>
            <w:pPr>
              <w:ind w:left="180"/>
              <w:spacing w:after="0" w:line="281" w:lineRule="exact"/>
              <w:rPr>
                <w:sz w:val="20"/>
                <w:szCs w:val="20"/>
                <w:color w:val="auto"/>
              </w:rPr>
            </w:pPr>
            <w:r>
              <w:rPr>
                <w:rFonts w:ascii="MS PGothic" w:cs="MS PGothic" w:eastAsia="MS PGothic" w:hAnsi="MS PGothic"/>
                <w:sz w:val="28"/>
                <w:szCs w:val="28"/>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09</w:t>
            </w:r>
          </w:p>
        </w:tc>
        <w:tc>
          <w:tcPr>
            <w:tcW w:w="1540" w:type="dxa"/>
            <w:vAlign w:val="bottom"/>
          </w:tcPr>
          <w:p>
            <w:pPr>
              <w:ind w:left="20"/>
              <w:spacing w:after="0"/>
              <w:rPr>
                <w:sz w:val="20"/>
                <w:szCs w:val="20"/>
                <w:color w:val="auto"/>
              </w:rPr>
            </w:pPr>
            <w:r>
              <w:rPr>
                <w:rFonts w:ascii="Arial" w:cs="Arial" w:eastAsia="Arial" w:hAnsi="Arial"/>
                <w:sz w:val="14"/>
                <w:szCs w:val="14"/>
                <w:color w:val="auto"/>
              </w:rPr>
              <w:t>- K.O. MEYERS</w:t>
            </w:r>
          </w:p>
        </w:tc>
      </w:tr>
      <w:tr>
        <w:trPr>
          <w:trHeight w:val="445"/>
        </w:trPr>
        <w:tc>
          <w:tcPr>
            <w:tcW w:w="400" w:type="dxa"/>
            <w:vAlign w:val="bottom"/>
          </w:tcPr>
          <w:p>
            <w:pPr>
              <w:jc w:val="right"/>
              <w:spacing w:after="0"/>
              <w:rPr>
                <w:sz w:val="20"/>
                <w:szCs w:val="20"/>
                <w:color w:val="auto"/>
              </w:rPr>
            </w:pPr>
            <w:r>
              <w:rPr>
                <w:rFonts w:ascii="Arial" w:cs="Arial" w:eastAsia="Arial" w:hAnsi="Arial"/>
                <w:sz w:val="14"/>
                <w:szCs w:val="14"/>
                <w:color w:val="auto"/>
              </w:rPr>
              <w:t>10</w:t>
            </w:r>
          </w:p>
        </w:tc>
        <w:tc>
          <w:tcPr>
            <w:tcW w:w="1380" w:type="dxa"/>
            <w:vAlign w:val="bottom"/>
          </w:tcPr>
          <w:p>
            <w:pPr>
              <w:ind w:left="20"/>
              <w:spacing w:after="0"/>
              <w:rPr>
                <w:sz w:val="20"/>
                <w:szCs w:val="20"/>
                <w:color w:val="auto"/>
              </w:rPr>
            </w:pPr>
            <w:r>
              <w:rPr>
                <w:rFonts w:ascii="Arial" w:cs="Arial" w:eastAsia="Arial" w:hAnsi="Arial"/>
                <w:sz w:val="14"/>
                <w:szCs w:val="14"/>
                <w:color w:val="auto"/>
              </w:rPr>
              <w:t>- J.H. QUIGLEY</w:t>
            </w:r>
          </w:p>
        </w:tc>
        <w:tc>
          <w:tcPr>
            <w:tcW w:w="1040" w:type="dxa"/>
            <w:vAlign w:val="bottom"/>
          </w:tcPr>
          <w:p>
            <w:pPr>
              <w:ind w:left="100"/>
              <w:spacing w:after="0" w:line="281" w:lineRule="exact"/>
              <w:rPr>
                <w:sz w:val="20"/>
                <w:szCs w:val="20"/>
                <w:color w:val="auto"/>
              </w:rPr>
            </w:pPr>
            <w:r>
              <w:rPr>
                <w:rFonts w:ascii="MS PGothic" w:cs="MS PGothic" w:eastAsia="MS PGothic" w:hAnsi="MS PGothic"/>
                <w:sz w:val="28"/>
                <w:szCs w:val="28"/>
                <w:color w:val="auto"/>
              </w:rPr>
              <w:t>☐ ☐</w:t>
            </w:r>
          </w:p>
        </w:tc>
        <w:tc>
          <w:tcPr>
            <w:tcW w:w="580" w:type="dxa"/>
            <w:vAlign w:val="bottom"/>
          </w:tcPr>
          <w:p>
            <w:pPr>
              <w:ind w:left="200"/>
              <w:spacing w:after="0" w:line="281" w:lineRule="exact"/>
              <w:rPr>
                <w:sz w:val="20"/>
                <w:szCs w:val="20"/>
                <w:color w:val="auto"/>
              </w:rPr>
            </w:pPr>
            <w:r>
              <w:rPr>
                <w:rFonts w:ascii="MS PGothic" w:cs="MS PGothic" w:eastAsia="MS PGothic" w:hAnsi="MS PGothic"/>
                <w:sz w:val="28"/>
                <w:szCs w:val="28"/>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11</w:t>
            </w:r>
          </w:p>
        </w:tc>
        <w:tc>
          <w:tcPr>
            <w:tcW w:w="1340" w:type="dxa"/>
            <w:vAlign w:val="bottom"/>
          </w:tcPr>
          <w:p>
            <w:pPr>
              <w:ind w:left="20"/>
              <w:spacing w:after="0"/>
              <w:rPr>
                <w:sz w:val="20"/>
                <w:szCs w:val="20"/>
                <w:color w:val="auto"/>
              </w:rPr>
            </w:pPr>
            <w:r>
              <w:rPr>
                <w:rFonts w:ascii="Arial" w:cs="Arial" w:eastAsia="Arial" w:hAnsi="Arial"/>
                <w:sz w:val="14"/>
                <w:szCs w:val="14"/>
                <w:color w:val="auto"/>
              </w:rPr>
              <w:t>- F.G. REYNOLDS</w:t>
            </w:r>
          </w:p>
        </w:tc>
        <w:tc>
          <w:tcPr>
            <w:tcW w:w="1120" w:type="dxa"/>
            <w:vAlign w:val="bottom"/>
          </w:tcPr>
          <w:p>
            <w:pPr>
              <w:ind w:left="160"/>
              <w:spacing w:after="0" w:line="281" w:lineRule="exact"/>
              <w:rPr>
                <w:sz w:val="20"/>
                <w:szCs w:val="20"/>
                <w:color w:val="auto"/>
              </w:rPr>
            </w:pPr>
            <w:r>
              <w:rPr>
                <w:rFonts w:ascii="MS PGothic" w:cs="MS PGothic" w:eastAsia="MS PGothic" w:hAnsi="MS PGothic"/>
                <w:sz w:val="28"/>
                <w:szCs w:val="28"/>
                <w:color w:val="auto"/>
              </w:rPr>
              <w:t>☐ ☐</w:t>
            </w:r>
          </w:p>
        </w:tc>
        <w:tc>
          <w:tcPr>
            <w:tcW w:w="560" w:type="dxa"/>
            <w:vAlign w:val="bottom"/>
          </w:tcPr>
          <w:p>
            <w:pPr>
              <w:ind w:left="180"/>
              <w:spacing w:after="0" w:line="281" w:lineRule="exact"/>
              <w:rPr>
                <w:sz w:val="20"/>
                <w:szCs w:val="20"/>
                <w:color w:val="auto"/>
              </w:rPr>
            </w:pPr>
            <w:r>
              <w:rPr>
                <w:rFonts w:ascii="MS PGothic" w:cs="MS PGothic" w:eastAsia="MS PGothic" w:hAnsi="MS PGothic"/>
                <w:sz w:val="28"/>
                <w:szCs w:val="28"/>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12</w:t>
            </w:r>
          </w:p>
        </w:tc>
        <w:tc>
          <w:tcPr>
            <w:tcW w:w="1540" w:type="dxa"/>
            <w:vAlign w:val="bottom"/>
          </w:tcPr>
          <w:p>
            <w:pPr>
              <w:ind w:left="20"/>
              <w:spacing w:after="0"/>
              <w:rPr>
                <w:sz w:val="20"/>
                <w:szCs w:val="20"/>
                <w:color w:val="auto"/>
              </w:rPr>
            </w:pPr>
            <w:r>
              <w:rPr>
                <w:rFonts w:ascii="Arial" w:cs="Arial" w:eastAsia="Arial" w:hAnsi="Arial"/>
                <w:sz w:val="14"/>
                <w:szCs w:val="14"/>
                <w:color w:val="auto"/>
              </w:rPr>
              <w:t>- W.G. SCHRADER</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ind w:left="20"/>
        <w:spacing w:after="0"/>
        <w:tabs>
          <w:tab w:leader="none" w:pos="360" w:val="left"/>
        </w:tabs>
        <w:rPr>
          <w:sz w:val="20"/>
          <w:szCs w:val="20"/>
          <w:color w:val="auto"/>
        </w:rPr>
      </w:pPr>
      <w:r>
        <w:rPr>
          <w:rFonts w:ascii="Arial" w:cs="Arial" w:eastAsia="Arial" w:hAnsi="Arial"/>
          <w:sz w:val="14"/>
          <w:szCs w:val="14"/>
          <w:b w:val="1"/>
          <w:bCs w:val="1"/>
          <w:color w:val="auto"/>
        </w:rPr>
        <w:t>For</w:t>
        <w:tab/>
        <w:t xml:space="preserve">Against  Abstain  </w:t>
      </w:r>
      <w:r>
        <w:rPr>
          <w:rFonts w:ascii="Arial" w:cs="Arial" w:eastAsia="Arial" w:hAnsi="Arial"/>
          <w:sz w:val="35"/>
          <w:szCs w:val="35"/>
          <w:b w:val="1"/>
          <w:bCs w:val="1"/>
          <w:color w:val="auto"/>
        </w:rPr>
        <w:t>+</w:t>
      </w:r>
    </w:p>
    <w:p>
      <w:pPr>
        <w:spacing w:after="0" w:line="281" w:lineRule="exact"/>
        <w:tabs>
          <w:tab w:leader="none" w:pos="1120" w:val="left"/>
        </w:tabs>
        <w:rPr>
          <w:sz w:val="20"/>
          <w:szCs w:val="20"/>
          <w:color w:val="auto"/>
        </w:rPr>
      </w:pPr>
      <w:r>
        <w:rPr>
          <w:rFonts w:ascii="MS PGothic" w:cs="MS PGothic" w:eastAsia="MS PGothic" w:hAnsi="MS PGothic"/>
          <w:sz w:val="28"/>
          <w:szCs w:val="28"/>
          <w:color w:val="auto"/>
        </w:rPr>
        <w:t>☐ ☐</w:t>
      </w:r>
      <w:r>
        <w:rPr>
          <w:sz w:val="20"/>
          <w:szCs w:val="20"/>
          <w:color w:val="auto"/>
        </w:rPr>
        <w:tab/>
      </w:r>
      <w:r>
        <w:rPr>
          <w:rFonts w:ascii="MS PGothic" w:cs="MS PGothic" w:eastAsia="MS PGothic" w:hAnsi="MS PGothic"/>
          <w:sz w:val="26"/>
          <w:szCs w:val="26"/>
          <w:color w:val="auto"/>
        </w:rPr>
        <w:t>☐</w:t>
      </w:r>
    </w:p>
    <w:p>
      <w:pPr>
        <w:spacing w:after="0" w:line="99" w:lineRule="exact"/>
        <w:rPr>
          <w:sz w:val="20"/>
          <w:szCs w:val="20"/>
          <w:color w:val="auto"/>
        </w:rPr>
      </w:pPr>
    </w:p>
    <w:p>
      <w:pPr>
        <w:spacing w:after="0" w:line="281" w:lineRule="exact"/>
        <w:tabs>
          <w:tab w:leader="none" w:pos="1120" w:val="left"/>
        </w:tabs>
        <w:rPr>
          <w:sz w:val="20"/>
          <w:szCs w:val="20"/>
          <w:color w:val="auto"/>
        </w:rPr>
      </w:pPr>
      <w:r>
        <w:rPr>
          <w:rFonts w:ascii="MS PGothic" w:cs="MS PGothic" w:eastAsia="MS PGothic" w:hAnsi="MS PGothic"/>
          <w:sz w:val="28"/>
          <w:szCs w:val="28"/>
          <w:color w:val="auto"/>
        </w:rPr>
        <w:t>☐ ☐</w:t>
      </w:r>
      <w:r>
        <w:rPr>
          <w:sz w:val="20"/>
          <w:szCs w:val="20"/>
          <w:color w:val="auto"/>
        </w:rPr>
        <w:tab/>
      </w:r>
      <w:r>
        <w:rPr>
          <w:rFonts w:ascii="MS PGothic" w:cs="MS PGothic" w:eastAsia="MS PGothic" w:hAnsi="MS PGothic"/>
          <w:sz w:val="26"/>
          <w:szCs w:val="26"/>
          <w:color w:val="auto"/>
        </w:rPr>
        <w:t>☐</w:t>
      </w:r>
    </w:p>
    <w:p>
      <w:pPr>
        <w:spacing w:after="0" w:line="159" w:lineRule="exact"/>
        <w:rPr>
          <w:sz w:val="20"/>
          <w:szCs w:val="20"/>
          <w:color w:val="auto"/>
        </w:rPr>
      </w:pPr>
    </w:p>
    <w:p>
      <w:pPr>
        <w:spacing w:after="0" w:line="281" w:lineRule="exact"/>
        <w:tabs>
          <w:tab w:leader="none" w:pos="1120" w:val="left"/>
        </w:tabs>
        <w:rPr>
          <w:sz w:val="20"/>
          <w:szCs w:val="20"/>
          <w:color w:val="auto"/>
        </w:rPr>
      </w:pPr>
      <w:r>
        <w:rPr>
          <w:rFonts w:ascii="MS PGothic" w:cs="MS PGothic" w:eastAsia="MS PGothic" w:hAnsi="MS PGothic"/>
          <w:sz w:val="28"/>
          <w:szCs w:val="28"/>
          <w:color w:val="auto"/>
        </w:rPr>
        <w:t>☐ ☐</w:t>
      </w:r>
      <w:r>
        <w:rPr>
          <w:sz w:val="20"/>
          <w:szCs w:val="20"/>
          <w:color w:val="auto"/>
        </w:rPr>
        <w:tab/>
      </w:r>
      <w:r>
        <w:rPr>
          <w:rFonts w:ascii="MS PGothic" w:cs="MS PGothic" w:eastAsia="MS PGothic" w:hAnsi="MS PGothic"/>
          <w:sz w:val="26"/>
          <w:szCs w:val="26"/>
          <w:color w:val="auto"/>
        </w:rPr>
        <w:t>☐</w:t>
      </w:r>
    </w:p>
    <w:p>
      <w:pPr>
        <w:spacing w:after="0" w:line="159" w:lineRule="exact"/>
        <w:rPr>
          <w:sz w:val="20"/>
          <w:szCs w:val="20"/>
          <w:color w:val="auto"/>
        </w:rPr>
      </w:pPr>
    </w:p>
    <w:p>
      <w:pPr>
        <w:spacing w:after="0" w:line="281" w:lineRule="exact"/>
        <w:tabs>
          <w:tab w:leader="none" w:pos="1120" w:val="left"/>
        </w:tabs>
        <w:rPr>
          <w:sz w:val="20"/>
          <w:szCs w:val="20"/>
          <w:color w:val="auto"/>
        </w:rPr>
      </w:pPr>
      <w:r>
        <w:rPr>
          <w:rFonts w:ascii="MS PGothic" w:cs="MS PGothic" w:eastAsia="MS PGothic" w:hAnsi="MS PGothic"/>
          <w:sz w:val="28"/>
          <w:szCs w:val="28"/>
          <w:color w:val="auto"/>
        </w:rPr>
        <w:t>☐ ☐</w:t>
      </w:r>
      <w:r>
        <w:rPr>
          <w:sz w:val="20"/>
          <w:szCs w:val="20"/>
          <w:color w:val="auto"/>
        </w:rPr>
        <w:tab/>
      </w:r>
      <w:r>
        <w:rPr>
          <w:rFonts w:ascii="MS PGothic" w:cs="MS PGothic" w:eastAsia="MS PGothic" w:hAnsi="MS PGothic"/>
          <w:sz w:val="26"/>
          <w:szCs w:val="26"/>
          <w:color w:val="auto"/>
        </w:rPr>
        <w:t>☐</w:t>
      </w:r>
    </w:p>
    <w:p>
      <w:pPr>
        <w:spacing w:after="0" w:line="359" w:lineRule="exact"/>
        <w:rPr>
          <w:sz w:val="20"/>
          <w:szCs w:val="20"/>
          <w:color w:val="auto"/>
        </w:rPr>
      </w:pPr>
    </w:p>
    <w:p>
      <w:pPr>
        <w:sectPr>
          <w:pgSz w:w="11900" w:h="16838" w:orient="portrait"/>
          <w:cols w:equalWidth="0" w:num="2">
            <w:col w:w="8960" w:space="180"/>
            <w:col w:w="2020"/>
          </w:cols>
          <w:pgMar w:left="240" w:top="454" w:right="499" w:bottom="1440" w:gutter="0" w:footer="0" w:header="0"/>
          <w:type w:val="continuous"/>
        </w:sectPr>
      </w:pPr>
    </w:p>
    <w:p>
      <w:pPr>
        <w:spacing w:after="0" w:line="4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 xml:space="preserve">The Board recommends a vote </w:t>
      </w:r>
      <w:r>
        <w:rPr>
          <w:rFonts w:ascii="Arial" w:cs="Arial" w:eastAsia="Arial" w:hAnsi="Arial"/>
          <w:sz w:val="17"/>
          <w:szCs w:val="17"/>
          <w:b w:val="1"/>
          <w:bCs w:val="1"/>
          <w:u w:val="single" w:color="auto"/>
          <w:color w:val="auto"/>
        </w:rPr>
        <w:t>FOR</w:t>
      </w:r>
      <w:r>
        <w:rPr>
          <w:rFonts w:ascii="Arial" w:cs="Arial" w:eastAsia="Arial" w:hAnsi="Arial"/>
          <w:sz w:val="17"/>
          <w:szCs w:val="17"/>
          <w:b w:val="1"/>
          <w:bCs w:val="1"/>
          <w:color w:val="auto"/>
        </w:rPr>
        <w:t xml:space="preserve"> Proposals 2 and 3.</w:t>
      </w:r>
    </w:p>
    <w:p>
      <w:pPr>
        <w:sectPr>
          <w:pgSz w:w="11900" w:h="16838" w:orient="portrait"/>
          <w:cols w:equalWidth="0" w:num="1">
            <w:col w:w="11160"/>
          </w:cols>
          <w:pgMar w:left="240" w:top="454" w:right="499" w:bottom="1440" w:gutter="0" w:footer="0" w:header="0"/>
          <w:type w:val="continuous"/>
        </w:sectPr>
      </w:pPr>
    </w:p>
    <w:p>
      <w:pPr>
        <w:spacing w:after="0" w:line="271" w:lineRule="exact"/>
        <w:rPr>
          <w:sz w:val="20"/>
          <w:szCs w:val="20"/>
          <w:color w:val="auto"/>
        </w:rPr>
      </w:pPr>
    </w:p>
    <w:p>
      <w:pPr>
        <w:ind w:left="600" w:hanging="221"/>
        <w:spacing w:after="0" w:line="251" w:lineRule="auto"/>
        <w:tabs>
          <w:tab w:leader="none" w:pos="600" w:val="left"/>
        </w:tabs>
        <w:numPr>
          <w:ilvl w:val="0"/>
          <w:numId w:val="96"/>
        </w:numPr>
        <w:rPr>
          <w:rFonts w:ascii="Arial" w:cs="Arial" w:eastAsia="Arial" w:hAnsi="Arial"/>
          <w:sz w:val="14"/>
          <w:szCs w:val="14"/>
          <w:color w:val="auto"/>
        </w:rPr>
      </w:pPr>
      <w:r>
        <w:rPr>
          <w:rFonts w:ascii="Arial" w:cs="Arial" w:eastAsia="Arial" w:hAnsi="Arial"/>
          <w:sz w:val="14"/>
          <w:szCs w:val="14"/>
          <w:color w:val="auto"/>
        </w:rPr>
        <w:t>Advisory vote to approve the compensation of our named executive officers.</w:t>
      </w:r>
    </w:p>
    <w:p>
      <w:pPr>
        <w:spacing w:after="0" w:line="195" w:lineRule="exact"/>
        <w:rPr>
          <w:rFonts w:ascii="Arial" w:cs="Arial" w:eastAsia="Arial" w:hAnsi="Arial"/>
          <w:sz w:val="14"/>
          <w:szCs w:val="14"/>
          <w:color w:val="auto"/>
        </w:rPr>
      </w:pPr>
    </w:p>
    <w:p>
      <w:pPr>
        <w:jc w:val="both"/>
        <w:ind w:left="600" w:right="80" w:hanging="221"/>
        <w:spacing w:after="0" w:line="244" w:lineRule="auto"/>
        <w:tabs>
          <w:tab w:leader="none" w:pos="600" w:val="left"/>
        </w:tabs>
        <w:numPr>
          <w:ilvl w:val="0"/>
          <w:numId w:val="96"/>
        </w:numPr>
        <w:rPr>
          <w:rFonts w:ascii="Arial" w:cs="Arial" w:eastAsia="Arial" w:hAnsi="Arial"/>
          <w:sz w:val="14"/>
          <w:szCs w:val="14"/>
          <w:color w:val="auto"/>
        </w:rPr>
      </w:pPr>
      <w:r>
        <w:rPr>
          <w:rFonts w:ascii="Arial" w:cs="Arial" w:eastAsia="Arial" w:hAnsi="Arial"/>
          <w:sz w:val="14"/>
          <w:szCs w:val="14"/>
          <w:color w:val="auto"/>
        </w:rPr>
        <w:t>Ratification of the selection of Ernst &amp; Young LLP as our independent registered public accountants for the fiscal year ending December 31, 2018.</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Against  Abstain</w:t>
      </w:r>
    </w:p>
    <w:p>
      <w:pPr>
        <w:spacing w:after="0" w:line="8" w:lineRule="exact"/>
        <w:rPr>
          <w:sz w:val="20"/>
          <w:szCs w:val="20"/>
          <w:color w:val="auto"/>
        </w:rPr>
      </w:pPr>
    </w:p>
    <w:p>
      <w:pPr>
        <w:spacing w:after="0" w:line="251" w:lineRule="exact"/>
        <w:tabs>
          <w:tab w:leader="none" w:pos="1120" w:val="left"/>
        </w:tabs>
        <w:rPr>
          <w:sz w:val="20"/>
          <w:szCs w:val="20"/>
          <w:color w:val="auto"/>
        </w:rPr>
      </w:pPr>
      <w:r>
        <w:rPr>
          <w:rFonts w:ascii="MS PGothic" w:cs="MS PGothic" w:eastAsia="MS PGothic" w:hAnsi="MS PGothic"/>
          <w:sz w:val="25"/>
          <w:szCs w:val="25"/>
          <w:color w:val="auto"/>
        </w:rPr>
        <w:t>☐  ☐</w:t>
      </w:r>
      <w:r>
        <w:rPr>
          <w:sz w:val="20"/>
          <w:szCs w:val="20"/>
          <w:color w:val="auto"/>
        </w:rPr>
        <w:tab/>
      </w:r>
      <w:r>
        <w:rPr>
          <w:rFonts w:ascii="MS PGothic" w:cs="MS PGothic" w:eastAsia="MS PGothic" w:hAnsi="MS PGothic"/>
          <w:sz w:val="22"/>
          <w:szCs w:val="22"/>
          <w:color w:val="auto"/>
        </w:rPr>
        <w:t>☐</w:t>
      </w:r>
    </w:p>
    <w:p>
      <w:pPr>
        <w:spacing w:after="0" w:line="224" w:lineRule="exact"/>
        <w:rPr>
          <w:sz w:val="20"/>
          <w:szCs w:val="20"/>
          <w:color w:val="auto"/>
        </w:rPr>
      </w:pPr>
    </w:p>
    <w:p>
      <w:pPr>
        <w:spacing w:after="0" w:line="251" w:lineRule="exact"/>
        <w:tabs>
          <w:tab w:leader="none" w:pos="1120" w:val="left"/>
        </w:tabs>
        <w:rPr>
          <w:sz w:val="20"/>
          <w:szCs w:val="20"/>
          <w:color w:val="auto"/>
        </w:rPr>
      </w:pPr>
      <w:r>
        <w:rPr>
          <w:rFonts w:ascii="MS PGothic" w:cs="MS PGothic" w:eastAsia="MS PGothic" w:hAnsi="MS PGothic"/>
          <w:sz w:val="25"/>
          <w:szCs w:val="25"/>
          <w:color w:val="auto"/>
        </w:rPr>
        <w:t>☐  ☐</w:t>
      </w:r>
      <w:r>
        <w:rPr>
          <w:sz w:val="20"/>
          <w:szCs w:val="20"/>
          <w:color w:val="auto"/>
        </w:rPr>
        <w:tab/>
      </w:r>
      <w:r>
        <w:rPr>
          <w:rFonts w:ascii="MS PGothic" w:cs="MS PGothic" w:eastAsia="MS PGothic" w:hAnsi="MS PGothic"/>
          <w:sz w:val="22"/>
          <w:szCs w:val="22"/>
          <w:color w:val="auto"/>
        </w:rPr>
        <w:t>☐</w:t>
      </w:r>
    </w:p>
    <w:p>
      <w:pPr>
        <w:spacing w:after="0" w:line="507" w:lineRule="exact"/>
        <w:rPr>
          <w:sz w:val="20"/>
          <w:szCs w:val="20"/>
          <w:color w:val="auto"/>
        </w:rPr>
      </w:pPr>
    </w:p>
    <w:p>
      <w:pPr>
        <w:sectPr>
          <w:pgSz w:w="11900" w:h="16838" w:orient="portrait"/>
          <w:cols w:equalWidth="0" w:num="2">
            <w:col w:w="4200" w:space="380"/>
            <w:col w:w="6580"/>
          </w:cols>
          <w:pgMar w:left="240" w:top="454" w:right="499" w:bottom="1440" w:gutter="0" w:footer="0" w:header="0"/>
          <w:type w:val="continuous"/>
        </w:sectPr>
      </w:pPr>
    </w:p>
    <w:p>
      <w:pPr>
        <w:spacing w:after="0" w:line="76" w:lineRule="exact"/>
        <w:rPr>
          <w:sz w:val="20"/>
          <w:szCs w:val="20"/>
          <w:color w:val="auto"/>
        </w:rPr>
      </w:pPr>
    </w:p>
    <w:p>
      <w:pPr>
        <w:ind w:left="560" w:hanging="235"/>
        <w:spacing w:after="0"/>
        <w:tabs>
          <w:tab w:leader="none" w:pos="560" w:val="left"/>
        </w:tabs>
        <w:numPr>
          <w:ilvl w:val="0"/>
          <w:numId w:val="97"/>
        </w:numPr>
        <w:rPr>
          <w:rFonts w:ascii="Arial" w:cs="Arial" w:eastAsia="Arial" w:hAnsi="Arial"/>
          <w:sz w:val="14"/>
          <w:szCs w:val="14"/>
          <w:b w:val="1"/>
          <w:bCs w:val="1"/>
          <w:color w:val="FFFFFF"/>
        </w:rPr>
      </w:pPr>
      <w:r>
        <w:rPr>
          <w:rFonts w:ascii="Arial" w:cs="Arial" w:eastAsia="Arial" w:hAnsi="Arial"/>
          <w:sz w:val="17"/>
          <w:szCs w:val="17"/>
          <w:b w:val="1"/>
          <w:bCs w:val="1"/>
          <w:color w:val="auto"/>
        </w:rPr>
        <w:t>Authorized Signatures — This section must be completed for your vote to be counted. —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-106680</wp:posOffset>
            </wp:positionV>
            <wp:extent cx="118110" cy="11811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81" w:lineRule="exact"/>
        <w:rPr>
          <w:sz w:val="20"/>
          <w:szCs w:val="20"/>
          <w:color w:val="auto"/>
        </w:rPr>
      </w:pPr>
    </w:p>
    <w:p>
      <w:pPr>
        <w:ind w:left="280" w:right="280"/>
        <w:spacing w:after="0" w:line="251" w:lineRule="auto"/>
        <w:rPr>
          <w:sz w:val="20"/>
          <w:szCs w:val="20"/>
          <w:color w:val="auto"/>
        </w:rPr>
      </w:pPr>
      <w:r>
        <w:rPr>
          <w:rFonts w:ascii="Arial" w:cs="Arial" w:eastAsia="Arial" w:hAnsi="Arial"/>
          <w:sz w:val="14"/>
          <w:szCs w:val="14"/>
          <w:color w:val="auto"/>
        </w:rPr>
        <w:t>Please sign exactly as name(s) appears hereon. Joint owners should each sign. When signing as attorney, executor, administrator, corporate officer, trustee, guardian, or custodian, please give full title.</w:t>
      </w:r>
    </w:p>
    <w:p>
      <w:pPr>
        <w:spacing w:after="0" w:line="57" w:lineRule="exact"/>
        <w:rPr>
          <w:sz w:val="20"/>
          <w:szCs w:val="20"/>
          <w:color w:val="auto"/>
        </w:rPr>
      </w:pPr>
    </w:p>
    <w:tbl>
      <w:tblPr>
        <w:tblLayout w:type="fixed"/>
        <w:tblInd w:w="290" w:type="dxa"/>
        <w:tblCellMar>
          <w:top w:w="0" w:type="dxa"/>
          <w:left w:w="0" w:type="dxa"/>
          <w:bottom w:w="0" w:type="dxa"/>
          <w:right w:w="0" w:type="dxa"/>
        </w:tblCellMar>
      </w:tblPr>
      <w:tr>
        <w:trPr>
          <w:trHeight w:val="160"/>
        </w:trPr>
        <w:tc>
          <w:tcPr>
            <w:tcW w:w="3480" w:type="dxa"/>
            <w:vAlign w:val="bottom"/>
            <w:gridSpan w:val="3"/>
          </w:tcPr>
          <w:p>
            <w:pPr>
              <w:spacing w:after="0"/>
              <w:rPr>
                <w:sz w:val="20"/>
                <w:szCs w:val="20"/>
                <w:color w:val="auto"/>
              </w:rPr>
            </w:pPr>
            <w:r>
              <w:rPr>
                <w:rFonts w:ascii="Arial" w:cs="Arial" w:eastAsia="Arial" w:hAnsi="Arial"/>
                <w:sz w:val="13"/>
                <w:szCs w:val="13"/>
                <w:color w:val="auto"/>
              </w:rPr>
              <w:t>Date (mm/dd/yyyy) — Please print date below.</w:t>
            </w:r>
          </w:p>
        </w:tc>
        <w:tc>
          <w:tcPr>
            <w:tcW w:w="3820" w:type="dxa"/>
            <w:vAlign w:val="bottom"/>
            <w:gridSpan w:val="2"/>
          </w:tcPr>
          <w:p>
            <w:pPr>
              <w:spacing w:after="0"/>
              <w:rPr>
                <w:sz w:val="20"/>
                <w:szCs w:val="20"/>
                <w:color w:val="auto"/>
              </w:rPr>
            </w:pPr>
            <w:r>
              <w:rPr>
                <w:rFonts w:ascii="Arial" w:cs="Arial" w:eastAsia="Arial" w:hAnsi="Arial"/>
                <w:sz w:val="13"/>
                <w:szCs w:val="13"/>
                <w:color w:val="auto"/>
              </w:rPr>
              <w:t>Signature 1 — Please keep signature within the box.</w:t>
            </w:r>
          </w:p>
        </w:tc>
        <w:tc>
          <w:tcPr>
            <w:tcW w:w="3580" w:type="dxa"/>
            <w:vAlign w:val="bottom"/>
          </w:tcPr>
          <w:p>
            <w:pPr>
              <w:spacing w:after="0"/>
              <w:rPr>
                <w:sz w:val="20"/>
                <w:szCs w:val="20"/>
                <w:color w:val="auto"/>
              </w:rPr>
            </w:pPr>
            <w:r>
              <w:rPr>
                <w:rFonts w:ascii="Arial" w:cs="Arial" w:eastAsia="Arial" w:hAnsi="Arial"/>
                <w:sz w:val="13"/>
                <w:szCs w:val="13"/>
                <w:color w:val="auto"/>
              </w:rPr>
              <w:t>Signature 2 — Please keep signature within the box.</w:t>
            </w:r>
          </w:p>
        </w:tc>
      </w:tr>
      <w:tr>
        <w:trPr>
          <w:trHeight w:val="80"/>
        </w:trPr>
        <w:tc>
          <w:tcPr>
            <w:tcW w:w="152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358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3580" w:type="dxa"/>
            <w:vAlign w:val="bottom"/>
            <w:tcBorders>
              <w:bottom w:val="single" w:sz="8" w:color="auto"/>
            </w:tcBorders>
          </w:tcPr>
          <w:p>
            <w:pPr>
              <w:spacing w:after="0"/>
              <w:rPr>
                <w:sz w:val="6"/>
                <w:szCs w:val="6"/>
                <w:color w:val="auto"/>
              </w:rPr>
            </w:pPr>
          </w:p>
        </w:tc>
      </w:tr>
      <w:tr>
        <w:trPr>
          <w:trHeight w:val="499"/>
        </w:trPr>
        <w:tc>
          <w:tcPr>
            <w:tcW w:w="1520" w:type="dxa"/>
            <w:vAlign w:val="bottom"/>
            <w:tcBorders>
              <w:left w:val="single" w:sz="8" w:color="auto"/>
              <w:bottom w:val="single" w:sz="8" w:color="auto"/>
            </w:tcBorders>
          </w:tcPr>
          <w:p>
            <w:pPr>
              <w:jc w:val="right"/>
              <w:ind w:right="256"/>
              <w:spacing w:after="0" w:line="498" w:lineRule="exact"/>
              <w:rPr>
                <w:sz w:val="20"/>
                <w:szCs w:val="20"/>
                <w:color w:val="auto"/>
              </w:rPr>
            </w:pPr>
            <w:r>
              <w:rPr>
                <w:rFonts w:ascii="Arial" w:cs="Arial" w:eastAsia="Arial" w:hAnsi="Arial"/>
                <w:sz w:val="44"/>
                <w:szCs w:val="44"/>
                <w:color w:val="auto"/>
              </w:rPr>
              <w:t>/</w:t>
            </w:r>
          </w:p>
        </w:tc>
        <w:tc>
          <w:tcPr>
            <w:tcW w:w="1760" w:type="dxa"/>
            <w:vAlign w:val="bottom"/>
            <w:tcBorders>
              <w:bottom w:val="single" w:sz="8" w:color="auto"/>
              <w:right w:val="single" w:sz="8" w:color="auto"/>
            </w:tcBorders>
          </w:tcPr>
          <w:p>
            <w:pPr>
              <w:jc w:val="right"/>
              <w:ind w:right="1018"/>
              <w:spacing w:after="0" w:line="498" w:lineRule="exact"/>
              <w:rPr>
                <w:sz w:val="20"/>
                <w:szCs w:val="20"/>
                <w:color w:val="auto"/>
              </w:rPr>
            </w:pPr>
            <w:r>
              <w:rPr>
                <w:rFonts w:ascii="Arial" w:cs="Arial" w:eastAsia="Arial" w:hAnsi="Arial"/>
                <w:sz w:val="44"/>
                <w:szCs w:val="44"/>
                <w:color w:val="auto"/>
              </w:rPr>
              <w:t>/</w:t>
            </w:r>
          </w:p>
        </w:tc>
        <w:tc>
          <w:tcPr>
            <w:tcW w:w="200" w:type="dxa"/>
            <w:vAlign w:val="bottom"/>
            <w:tcBorders>
              <w:right w:val="single" w:sz="8" w:color="auto"/>
            </w:tcBorders>
          </w:tcPr>
          <w:p>
            <w:pPr>
              <w:spacing w:after="0"/>
              <w:rPr>
                <w:sz w:val="24"/>
                <w:szCs w:val="24"/>
                <w:color w:val="auto"/>
              </w:rPr>
            </w:pPr>
          </w:p>
        </w:tc>
        <w:tc>
          <w:tcPr>
            <w:tcW w:w="3580" w:type="dxa"/>
            <w:vAlign w:val="bottom"/>
            <w:tcBorders>
              <w:bottom w:val="single" w:sz="8" w:color="auto"/>
              <w:righ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3580" w:type="dxa"/>
            <w:vAlign w:val="bottom"/>
            <w:tcBorders>
              <w:bottom w:val="single" w:sz="8" w:color="auto"/>
              <w:right w:val="single" w:sz="8" w:color="auto"/>
            </w:tcBorders>
          </w:tcPr>
          <w:p>
            <w:pPr>
              <w:spacing w:after="0"/>
              <w:rPr>
                <w:sz w:val="24"/>
                <w:szCs w:val="24"/>
                <w:color w:val="auto"/>
              </w:rPr>
            </w:pPr>
          </w:p>
        </w:tc>
      </w:tr>
    </w:tbl>
    <w:p>
      <w:pPr>
        <w:spacing w:after="0" w:line="207" w:lineRule="exact"/>
        <w:rPr>
          <w:sz w:val="20"/>
          <w:szCs w:val="20"/>
          <w:color w:val="auto"/>
        </w:rPr>
      </w:pPr>
    </w:p>
    <w:tbl>
      <w:tblPr>
        <w:tblLayout w:type="fixed"/>
        <w:tblInd w:w="5340" w:type="dxa"/>
        <w:tblCellMar>
          <w:top w:w="0" w:type="dxa"/>
          <w:left w:w="0" w:type="dxa"/>
          <w:bottom w:w="0" w:type="dxa"/>
          <w:right w:w="0" w:type="dxa"/>
        </w:tblCellMar>
      </w:tblPr>
      <w:tr>
        <w:trPr>
          <w:trHeight w:val="257"/>
        </w:trPr>
        <w:tc>
          <w:tcPr>
            <w:tcW w:w="3180" w:type="dxa"/>
            <w:vAlign w:val="bottom"/>
          </w:tcPr>
          <w:p>
            <w:pPr>
              <w:spacing w:after="0"/>
              <w:rPr>
                <w:sz w:val="20"/>
                <w:szCs w:val="20"/>
                <w:color w:val="auto"/>
              </w:rPr>
            </w:pPr>
            <w:r>
              <w:rPr>
                <w:rFonts w:ascii="Arial" w:cs="Arial" w:eastAsia="Arial" w:hAnsi="Arial"/>
                <w:sz w:val="18"/>
                <w:szCs w:val="18"/>
                <w:color w:val="auto"/>
              </w:rPr>
              <w:t>1 U P X</w:t>
            </w:r>
          </w:p>
        </w:tc>
        <w:tc>
          <w:tcPr>
            <w:tcW w:w="2620" w:type="dxa"/>
            <w:vAlign w:val="bottom"/>
            <w:vMerge w:val="restart"/>
          </w:tcPr>
          <w:p>
            <w:pPr>
              <w:jc w:val="right"/>
              <w:spacing w:after="0"/>
              <w:rPr>
                <w:sz w:val="20"/>
                <w:szCs w:val="20"/>
                <w:color w:val="auto"/>
              </w:rPr>
            </w:pPr>
            <w:r>
              <w:rPr>
                <w:rFonts w:ascii="Arial" w:cs="Arial" w:eastAsia="Arial" w:hAnsi="Arial"/>
                <w:sz w:val="35"/>
                <w:szCs w:val="35"/>
                <w:b w:val="1"/>
                <w:bCs w:val="1"/>
                <w:color w:val="auto"/>
              </w:rPr>
              <w:t>+</w:t>
            </w:r>
          </w:p>
        </w:tc>
        <w:tc>
          <w:tcPr>
            <w:tcW w:w="0" w:type="dxa"/>
            <w:vAlign w:val="bottom"/>
          </w:tcPr>
          <w:p>
            <w:pPr>
              <w:spacing w:after="0"/>
              <w:rPr>
                <w:sz w:val="1"/>
                <w:szCs w:val="1"/>
                <w:color w:val="auto"/>
              </w:rPr>
            </w:pPr>
          </w:p>
        </w:tc>
      </w:tr>
      <w:tr>
        <w:trPr>
          <w:trHeight w:val="214"/>
        </w:trPr>
        <w:tc>
          <w:tcPr>
            <w:tcW w:w="3180" w:type="dxa"/>
            <w:vAlign w:val="bottom"/>
          </w:tcPr>
          <w:p>
            <w:pPr>
              <w:spacing w:after="0"/>
              <w:rPr>
                <w:sz w:val="18"/>
                <w:szCs w:val="18"/>
                <w:color w:val="auto"/>
              </w:rPr>
            </w:pPr>
          </w:p>
        </w:tc>
        <w:tc>
          <w:tcPr>
            <w:tcW w:w="2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-117475</wp:posOffset>
            </wp:positionV>
            <wp:extent cx="151765" cy="14351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51765" cy="143510"/>
                    </a:xfrm>
                    <a:prstGeom prst="rect">
                      <a:avLst/>
                    </a:prstGeom>
                    <a:noFill/>
                  </pic:spPr>
                </pic:pic>
              </a:graphicData>
            </a:graphic>
          </wp:anchor>
        </w:drawing>
      </w:r>
    </w:p>
    <w:p>
      <w:pPr>
        <w:sectPr>
          <w:pgSz w:w="11900" w:h="16838" w:orient="portrait"/>
          <w:cols w:equalWidth="0" w:num="1">
            <w:col w:w="11160"/>
          </w:cols>
          <w:pgMar w:left="240" w:top="454" w:right="499" w:bottom="1440" w:gutter="0" w:footer="0" w:header="0"/>
          <w:type w:val="continuous"/>
        </w:sectPr>
      </w:pPr>
    </w:p>
    <w:p>
      <w:pPr>
        <w:spacing w:after="0" w:line="58"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02TR0D</w:t>
      </w:r>
    </w:p>
    <w:p>
      <w:pPr>
        <w:sectPr>
          <w:pgSz w:w="11900" w:h="16838" w:orient="portrait"/>
          <w:cols w:equalWidth="0" w:num="1">
            <w:col w:w="11160"/>
          </w:cols>
          <w:pgMar w:left="240" w:top="454" w:right="49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1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for the Annual Meeting of Stockholders to be held on June 6, 2018.</w:t>
      </w:r>
    </w:p>
    <w:p>
      <w:pPr>
        <w:spacing w:after="0" w:line="20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The Notice of Meeting, the 2018 Proxy Statement and the 2017 Annual Report to Stockholders are available at:</w:t>
      </w:r>
    </w:p>
    <w:p>
      <w:pPr>
        <w:spacing w:after="0" w:line="7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u w:val="single" w:color="auto"/>
          <w:color w:val="auto"/>
        </w:rPr>
        <w:t>www.envisionreports.com/HES</w:t>
      </w:r>
    </w:p>
    <w:p>
      <w:pPr>
        <w:spacing w:after="0" w:line="2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All stockholders are cordially invited to attend the Annual Meeting,</w:t>
      </w:r>
    </w:p>
    <w:p>
      <w:pPr>
        <w:spacing w:after="0" w:line="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although only stockholders of record at the close of business on April 16, 2018,</w:t>
      </w:r>
    </w:p>
    <w:p>
      <w:pPr>
        <w:jc w:val="center"/>
        <w:ind w:right="-279"/>
        <w:spacing w:after="0" w:line="231" w:lineRule="auto"/>
        <w:rPr>
          <w:sz w:val="20"/>
          <w:szCs w:val="20"/>
          <w:color w:val="auto"/>
        </w:rPr>
      </w:pPr>
      <w:r>
        <w:rPr>
          <w:rFonts w:ascii="Arial" w:cs="Arial" w:eastAsia="Arial" w:hAnsi="Arial"/>
          <w:sz w:val="18"/>
          <w:szCs w:val="18"/>
          <w:b w:val="1"/>
          <w:bCs w:val="1"/>
          <w:color w:val="auto"/>
        </w:rPr>
        <w:t>the record date for the Annual Meeting, will be entitled to vote at the meeting.</w:t>
      </w:r>
    </w:p>
    <w:p>
      <w:pPr>
        <w:jc w:val="center"/>
        <w:ind w:right="-279"/>
        <w:spacing w:after="0" w:line="231" w:lineRule="auto"/>
        <w:rPr>
          <w:sz w:val="20"/>
          <w:szCs w:val="20"/>
          <w:color w:val="auto"/>
        </w:rPr>
      </w:pPr>
      <w:r>
        <w:rPr>
          <w:rFonts w:ascii="Arial" w:cs="Arial" w:eastAsia="Arial" w:hAnsi="Arial"/>
          <w:sz w:val="18"/>
          <w:szCs w:val="18"/>
          <w:b w:val="1"/>
          <w:bCs w:val="1"/>
          <w:color w:val="auto"/>
        </w:rPr>
        <w:t>Directions to attend the Annual Meeting, where you may vote in person, can be found at:</w:t>
      </w:r>
    </w:p>
    <w:p>
      <w:pPr>
        <w:spacing w:after="0" w:line="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u w:val="single" w:color="auto"/>
          <w:color w:val="auto"/>
        </w:rPr>
        <w:t>www.hess.com/company/hess-offices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left="520" w:right="140"/>
        <w:spacing w:after="0" w:line="278" w:lineRule="auto"/>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IF YOU HAVE NOT VOTED VIA THE INTERNET</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auto"/>
        </w:rPr>
        <w:t>OR</w:t>
      </w:r>
      <w:r>
        <w:rPr>
          <w:rFonts w:ascii="Arial" w:cs="Arial" w:eastAsia="Arial" w:hAnsi="Arial"/>
          <w:sz w:val="14"/>
          <w:szCs w:val="14"/>
          <w:color w:val="auto"/>
        </w:rPr>
        <w:t xml:space="preserve"> </w:t>
      </w:r>
      <w:r>
        <w:rPr>
          <w:rFonts w:ascii="Arial" w:cs="Arial" w:eastAsia="Arial" w:hAnsi="Arial"/>
          <w:sz w:val="14"/>
          <w:szCs w:val="14"/>
          <w:b w:val="1"/>
          <w:bCs w:val="1"/>
          <w:color w:val="auto"/>
        </w:rPr>
        <w:t>TELEPHONE, FOLD ALONG THE PERFORATION, DETACH AND RETURN THE BOTTOM PORTION IN THE</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ENCLOSED ENVELOPE. </w:t>
      </w:r>
      <w:r>
        <w:rPr>
          <w:rFonts w:ascii="Arial" w:cs="Arial" w:eastAsia="Arial" w:hAnsi="Arial"/>
          <w:sz w:val="14"/>
          <w:szCs w:val="14"/>
          <w:color w:val="auto"/>
        </w:rPr>
        <w:t>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126365</wp:posOffset>
            </wp:positionV>
            <wp:extent cx="6589395"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589395" cy="17145"/>
                    </a:xfrm>
                    <a:prstGeom prst="rect">
                      <a:avLst/>
                    </a:prstGeom>
                    <a:noFill/>
                  </pic:spPr>
                </pic:pic>
              </a:graphicData>
            </a:graphic>
          </wp:anchor>
        </w:drawing>
      </w:r>
    </w:p>
    <w:p>
      <w:pPr>
        <w:spacing w:after="0" w:line="217" w:lineRule="exact"/>
        <w:rPr>
          <w:sz w:val="20"/>
          <w:szCs w:val="20"/>
          <w:color w:val="auto"/>
        </w:rPr>
      </w:pPr>
    </w:p>
    <w:tbl>
      <w:tblPr>
        <w:tblLayout w:type="fixed"/>
        <w:tblInd w:w="280" w:type="dxa"/>
        <w:tblCellMar>
          <w:top w:w="0" w:type="dxa"/>
          <w:left w:w="0" w:type="dxa"/>
          <w:bottom w:w="0" w:type="dxa"/>
          <w:right w:w="0" w:type="dxa"/>
        </w:tblCellMar>
      </w:tblPr>
      <w:tr>
        <w:trPr>
          <w:trHeight w:val="329"/>
        </w:trPr>
        <w:tc>
          <w:tcPr>
            <w:tcW w:w="10380" w:type="dxa"/>
            <w:vAlign w:val="bottom"/>
          </w:tcPr>
          <w:p>
            <w:pPr>
              <w:spacing w:after="0"/>
              <w:rPr>
                <w:sz w:val="20"/>
                <w:szCs w:val="20"/>
                <w:color w:val="auto"/>
              </w:rPr>
            </w:pPr>
            <w:r>
              <w:rPr>
                <w:rFonts w:ascii="Arial" w:cs="Arial" w:eastAsia="Arial" w:hAnsi="Arial"/>
                <w:sz w:val="25"/>
                <w:szCs w:val="25"/>
                <w:b w:val="1"/>
                <w:bCs w:val="1"/>
                <w:color w:val="auto"/>
              </w:rPr>
              <w:t>Proxy — Hess Corporation</w:t>
            </w:r>
          </w:p>
        </w:tc>
        <w:tc>
          <w:tcPr>
            <w:tcW w:w="480" w:type="dxa"/>
            <w:vAlign w:val="bottom"/>
            <w:vMerge w:val="restart"/>
          </w:tcPr>
          <w:p>
            <w:pPr>
              <w:jc w:val="right"/>
              <w:spacing w:after="0"/>
              <w:rPr>
                <w:sz w:val="20"/>
                <w:szCs w:val="20"/>
                <w:color w:val="auto"/>
              </w:rPr>
            </w:pPr>
            <w:r>
              <w:rPr>
                <w:rFonts w:ascii="Arial" w:cs="Arial" w:eastAsia="Arial" w:hAnsi="Arial"/>
                <w:sz w:val="44"/>
                <w:szCs w:val="44"/>
                <w:b w:val="1"/>
                <w:bCs w:val="1"/>
                <w:color w:val="auto"/>
              </w:rPr>
              <w:t>+</w:t>
            </w:r>
          </w:p>
        </w:tc>
        <w:tc>
          <w:tcPr>
            <w:tcW w:w="0" w:type="dxa"/>
            <w:vAlign w:val="bottom"/>
          </w:tcPr>
          <w:p>
            <w:pPr>
              <w:spacing w:after="0"/>
              <w:rPr>
                <w:sz w:val="1"/>
                <w:szCs w:val="1"/>
                <w:color w:val="auto"/>
              </w:rPr>
            </w:pPr>
          </w:p>
        </w:tc>
      </w:tr>
      <w:tr>
        <w:trPr>
          <w:trHeight w:val="52"/>
        </w:trPr>
        <w:tc>
          <w:tcPr>
            <w:tcW w:w="10380" w:type="dxa"/>
            <w:vAlign w:val="bottom"/>
            <w:tcBorders>
              <w:bottom w:val="single" w:sz="8" w:color="auto"/>
            </w:tcBorders>
          </w:tcPr>
          <w:p>
            <w:pPr>
              <w:spacing w:after="0"/>
              <w:rPr>
                <w:sz w:val="4"/>
                <w:szCs w:val="4"/>
                <w:color w:val="auto"/>
              </w:rPr>
            </w:pPr>
          </w:p>
        </w:tc>
        <w:tc>
          <w:tcPr>
            <w:tcW w:w="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10380" w:type="dxa"/>
            <w:vAlign w:val="bottom"/>
            <w:vMerge w:val="restart"/>
          </w:tcPr>
          <w:p>
            <w:pPr>
              <w:spacing w:after="0"/>
              <w:rPr>
                <w:sz w:val="20"/>
                <w:szCs w:val="20"/>
                <w:color w:val="auto"/>
              </w:rPr>
            </w:pPr>
            <w:r>
              <w:rPr>
                <w:rFonts w:ascii="Arial" w:cs="Arial" w:eastAsia="Arial" w:hAnsi="Arial"/>
                <w:sz w:val="25"/>
                <w:szCs w:val="25"/>
                <w:b w:val="1"/>
                <w:bCs w:val="1"/>
                <w:color w:val="auto"/>
              </w:rPr>
              <w:t>Notice of 2018 Annual Meeting of Stockholders</w:t>
            </w:r>
          </w:p>
        </w:tc>
        <w:tc>
          <w:tcPr>
            <w:tcW w:w="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038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1501 McKinney Street, Houston, TX 77010</w:t>
      </w:r>
    </w:p>
    <w:p>
      <w:pPr>
        <w:spacing w:after="0" w:line="24"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Proxy Solicited by Board of Directors for Annual Meeting — June 6, 2018 at 9:00 a.m.</w:t>
      </w:r>
    </w:p>
    <w:p>
      <w:pPr>
        <w:spacing w:after="0" w:line="123" w:lineRule="exact"/>
        <w:rPr>
          <w:sz w:val="20"/>
          <w:szCs w:val="20"/>
          <w:color w:val="auto"/>
        </w:rPr>
      </w:pPr>
    </w:p>
    <w:p>
      <w:pPr>
        <w:jc w:val="both"/>
        <w:ind w:left="280"/>
        <w:spacing w:after="0" w:line="234" w:lineRule="auto"/>
        <w:rPr>
          <w:sz w:val="20"/>
          <w:szCs w:val="20"/>
          <w:color w:val="auto"/>
        </w:rPr>
      </w:pPr>
      <w:r>
        <w:rPr>
          <w:rFonts w:ascii="Arial" w:cs="Arial" w:eastAsia="Arial" w:hAnsi="Arial"/>
          <w:sz w:val="18"/>
          <w:szCs w:val="18"/>
          <w:color w:val="auto"/>
        </w:rPr>
        <w:t>The undersigned hereby appoints JOHN B. HESS, GREGORY P. HILL and TIMOTHY B. GOODELL, or any of them, proxies, each with power of substitution, to vote all shares the undersigned is entitled to vote at the Annual Meeting of Stockholders of Hess Corporation to be held at Hess Corporation, 1501 McKinney Street, Houston, Texas 77010, on June 6, 2018, at 9:00 a.m., local time, and all adjournments or postponements thereof, as directed on the reverse side of this card, and in their discretion, upon any other matters which may properly come before the Annual Meeting or any adjournment or postponement thereof.</w:t>
      </w:r>
    </w:p>
    <w:p>
      <w:pPr>
        <w:spacing w:after="0" w:line="95" w:lineRule="exact"/>
        <w:rPr>
          <w:sz w:val="20"/>
          <w:szCs w:val="20"/>
          <w:color w:val="auto"/>
        </w:rPr>
      </w:pPr>
    </w:p>
    <w:p>
      <w:pPr>
        <w:jc w:val="both"/>
        <w:ind w:left="280"/>
        <w:spacing w:after="0" w:line="238" w:lineRule="auto"/>
        <w:rPr>
          <w:sz w:val="20"/>
          <w:szCs w:val="20"/>
          <w:color w:val="auto"/>
        </w:rPr>
      </w:pPr>
      <w:r>
        <w:rPr>
          <w:rFonts w:ascii="Arial" w:cs="Arial" w:eastAsia="Arial" w:hAnsi="Arial"/>
          <w:sz w:val="18"/>
          <w:szCs w:val="18"/>
          <w:color w:val="auto"/>
        </w:rPr>
        <w:t>The undersigned hereby revokes any proxy heretofore given to vote said shares, and hereby ratifies all that said proxies may do at the Annual Meeting or any adjournment or postponement thereof.</w:t>
      </w:r>
    </w:p>
    <w:p>
      <w:pPr>
        <w:spacing w:after="0" w:line="9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Please indicate on the reverse side of this card how your stock is to be voted.</w:t>
      </w:r>
    </w:p>
    <w:p>
      <w:pPr>
        <w:spacing w:after="0" w:line="74"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 xml:space="preserve">If not otherwise specified, shares will be voted </w:t>
      </w:r>
      <w:r>
        <w:rPr>
          <w:rFonts w:ascii="Arial" w:cs="Arial" w:eastAsia="Arial" w:hAnsi="Arial"/>
          <w:sz w:val="17"/>
          <w:szCs w:val="17"/>
          <w:b w:val="1"/>
          <w:bCs w:val="1"/>
          <w:u w:val="single" w:color="auto"/>
          <w:color w:val="auto"/>
        </w:rPr>
        <w:t>FOR</w:t>
      </w:r>
      <w:r>
        <w:rPr>
          <w:rFonts w:ascii="Arial" w:cs="Arial" w:eastAsia="Arial" w:hAnsi="Arial"/>
          <w:sz w:val="17"/>
          <w:szCs w:val="17"/>
          <w:b w:val="1"/>
          <w:bCs w:val="1"/>
          <w:color w:val="auto"/>
        </w:rPr>
        <w:t xml:space="preserve"> each of the nominees in Proposal 1 and </w:t>
      </w:r>
      <w:r>
        <w:rPr>
          <w:rFonts w:ascii="Arial" w:cs="Arial" w:eastAsia="Arial" w:hAnsi="Arial"/>
          <w:sz w:val="17"/>
          <w:szCs w:val="17"/>
          <w:b w:val="1"/>
          <w:bCs w:val="1"/>
          <w:u w:val="single" w:color="auto"/>
          <w:color w:val="auto"/>
        </w:rPr>
        <w:t>FOR</w:t>
      </w:r>
      <w:r>
        <w:rPr>
          <w:rFonts w:ascii="Arial" w:cs="Arial" w:eastAsia="Arial" w:hAnsi="Arial"/>
          <w:sz w:val="17"/>
          <w:szCs w:val="17"/>
          <w:b w:val="1"/>
          <w:bCs w:val="1"/>
          <w:color w:val="auto"/>
        </w:rPr>
        <w:t xml:space="preserve"> Proposals 2 and 3.</w:t>
      </w:r>
    </w:p>
    <w:p>
      <w:pPr>
        <w:spacing w:after="0" w:line="100" w:lineRule="exact"/>
        <w:rPr>
          <w:sz w:val="20"/>
          <w:szCs w:val="20"/>
          <w:color w:val="auto"/>
        </w:rPr>
      </w:pPr>
    </w:p>
    <w:p>
      <w:pPr>
        <w:jc w:val="both"/>
        <w:ind w:left="280"/>
        <w:spacing w:after="0" w:line="247" w:lineRule="auto"/>
        <w:rPr>
          <w:sz w:val="20"/>
          <w:szCs w:val="20"/>
          <w:color w:val="auto"/>
        </w:rPr>
      </w:pPr>
      <w:r>
        <w:rPr>
          <w:rFonts w:ascii="Arial" w:cs="Arial" w:eastAsia="Arial" w:hAnsi="Arial"/>
          <w:sz w:val="18"/>
          <w:szCs w:val="18"/>
          <w:b w:val="1"/>
          <w:bCs w:val="1"/>
          <w:color w:val="auto"/>
        </w:rPr>
        <w:t>Additional instructions for Hess Corporation Savings Plan Participants: Participants and Beneficiaries who do not vote the stock in the Company Stock Fund attributable to their accounts shall be deemed to have directed Fidelity Management Trust Company as Trustee to vote such stock on each proposal in the same proportion as other participants in the plan vote.</w:t>
      </w:r>
    </w:p>
    <w:p>
      <w:pPr>
        <w:spacing w:after="0" w:line="199" w:lineRule="exact"/>
        <w:rPr>
          <w:sz w:val="20"/>
          <w:szCs w:val="20"/>
          <w:color w:val="auto"/>
        </w:rPr>
      </w:pPr>
    </w:p>
    <w:p>
      <w:pPr>
        <w:ind w:left="340"/>
        <w:spacing w:after="0"/>
        <w:tabs>
          <w:tab w:leader="none" w:pos="600" w:val="left"/>
        </w:tabs>
        <w:rPr>
          <w:sz w:val="20"/>
          <w:szCs w:val="20"/>
          <w:color w:val="auto"/>
        </w:rPr>
      </w:pPr>
      <w:r>
        <w:rPr>
          <w:rFonts w:ascii="Arial" w:cs="Arial" w:eastAsia="Arial" w:hAnsi="Arial"/>
          <w:sz w:val="18"/>
          <w:szCs w:val="18"/>
          <w:b w:val="1"/>
          <w:bCs w:val="1"/>
          <w:color w:val="FFFFFF"/>
        </w:rPr>
        <w:t>C</w:t>
      </w:r>
      <w:r>
        <w:rPr>
          <w:sz w:val="20"/>
          <w:szCs w:val="20"/>
          <w:color w:val="auto"/>
        </w:rPr>
        <w:tab/>
      </w:r>
      <w:r>
        <w:rPr>
          <w:rFonts w:ascii="Arial" w:cs="Arial" w:eastAsia="Arial" w:hAnsi="Arial"/>
          <w:sz w:val="17"/>
          <w:szCs w:val="17"/>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-116205</wp:posOffset>
            </wp:positionV>
            <wp:extent cx="151765" cy="1270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51765" cy="127000"/>
                    </a:xfrm>
                    <a:prstGeom prst="rect">
                      <a:avLst/>
                    </a:prstGeom>
                    <a:noFill/>
                  </pic:spPr>
                </pic:pic>
              </a:graphicData>
            </a:graphic>
          </wp:anchor>
        </w:drawing>
      </w:r>
    </w:p>
    <w:p>
      <w:pPr>
        <w:spacing w:after="0" w:line="72" w:lineRule="exact"/>
        <w:rPr>
          <w:sz w:val="20"/>
          <w:szCs w:val="20"/>
          <w:color w:val="auto"/>
        </w:rPr>
      </w:pPr>
    </w:p>
    <w:tbl>
      <w:tblPr>
        <w:tblLayout w:type="fixed"/>
        <w:tblInd w:w="290" w:type="dxa"/>
        <w:tblCellMar>
          <w:top w:w="0" w:type="dxa"/>
          <w:left w:w="0" w:type="dxa"/>
          <w:bottom w:w="0" w:type="dxa"/>
          <w:right w:w="0" w:type="dxa"/>
        </w:tblCellMar>
      </w:tblPr>
      <w:tr>
        <w:trPr>
          <w:trHeight w:val="162"/>
        </w:trPr>
        <w:tc>
          <w:tcPr>
            <w:tcW w:w="4560" w:type="dxa"/>
            <w:vAlign w:val="bottom"/>
            <w:gridSpan w:val="5"/>
          </w:tcPr>
          <w:p>
            <w:pPr>
              <w:spacing w:after="0"/>
              <w:rPr>
                <w:sz w:val="20"/>
                <w:szCs w:val="20"/>
                <w:color w:val="auto"/>
              </w:rPr>
            </w:pPr>
            <w:r>
              <w:rPr>
                <w:rFonts w:ascii="Arial" w:cs="Arial" w:eastAsia="Arial" w:hAnsi="Arial"/>
                <w:sz w:val="13"/>
                <w:szCs w:val="13"/>
                <w:b w:val="1"/>
                <w:bCs w:val="1"/>
                <w:color w:val="auto"/>
              </w:rPr>
              <w:t xml:space="preserve">Change of Address </w:t>
            </w:r>
            <w:r>
              <w:rPr>
                <w:rFonts w:ascii="Arial" w:cs="Arial" w:eastAsia="Arial" w:hAnsi="Arial"/>
                <w:sz w:val="13"/>
                <w:szCs w:val="13"/>
                <w:color w:val="auto"/>
              </w:rPr>
              <w:t>— Please print your new address below.</w:t>
            </w:r>
          </w:p>
        </w:tc>
        <w:tc>
          <w:tcPr>
            <w:tcW w:w="3900" w:type="dxa"/>
            <w:vAlign w:val="bottom"/>
          </w:tcPr>
          <w:p>
            <w:pPr>
              <w:ind w:left="20"/>
              <w:spacing w:after="0"/>
              <w:rPr>
                <w:sz w:val="20"/>
                <w:szCs w:val="20"/>
                <w:color w:val="auto"/>
              </w:rPr>
            </w:pPr>
            <w:r>
              <w:rPr>
                <w:rFonts w:ascii="Arial" w:cs="Arial" w:eastAsia="Arial" w:hAnsi="Arial"/>
                <w:sz w:val="13"/>
                <w:szCs w:val="13"/>
                <w:b w:val="1"/>
                <w:bCs w:val="1"/>
                <w:color w:val="auto"/>
              </w:rPr>
              <w:t xml:space="preserve">Comments </w:t>
            </w:r>
            <w:r>
              <w:rPr>
                <w:rFonts w:ascii="Arial" w:cs="Arial" w:eastAsia="Arial" w:hAnsi="Arial"/>
                <w:sz w:val="13"/>
                <w:szCs w:val="13"/>
                <w:color w:val="auto"/>
              </w:rPr>
              <w:t>— Please print your comments below.</w:t>
            </w:r>
          </w:p>
        </w:tc>
        <w:tc>
          <w:tcPr>
            <w:tcW w:w="2060" w:type="dxa"/>
            <w:vAlign w:val="bottom"/>
          </w:tcPr>
          <w:p>
            <w:pPr>
              <w:ind w:left="120"/>
              <w:spacing w:after="0"/>
              <w:rPr>
                <w:sz w:val="20"/>
                <w:szCs w:val="20"/>
                <w:color w:val="auto"/>
              </w:rPr>
            </w:pPr>
            <w:r>
              <w:rPr>
                <w:rFonts w:ascii="Arial" w:cs="Arial" w:eastAsia="Arial" w:hAnsi="Arial"/>
                <w:sz w:val="13"/>
                <w:szCs w:val="13"/>
                <w:b w:val="1"/>
                <w:bCs w:val="1"/>
                <w:color w:val="auto"/>
              </w:rPr>
              <w:t>Meeting Attendance</w:t>
            </w:r>
          </w:p>
        </w:tc>
        <w:tc>
          <w:tcPr>
            <w:tcW w:w="340" w:type="dxa"/>
            <w:vAlign w:val="bottom"/>
            <w:vMerge w:val="restart"/>
          </w:tcPr>
          <w:p>
            <w:pPr>
              <w:jc w:val="right"/>
              <w:spacing w:after="0" w:line="251" w:lineRule="exact"/>
              <w:rPr>
                <w:sz w:val="20"/>
                <w:szCs w:val="20"/>
                <w:color w:val="auto"/>
              </w:rPr>
            </w:pP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126"/>
        </w:trPr>
        <w:tc>
          <w:tcPr>
            <w:tcW w:w="200" w:type="dxa"/>
            <w:vAlign w:val="bottom"/>
            <w:tcBorders>
              <w:top w:val="single" w:sz="8" w:color="auto"/>
              <w:left w:val="single" w:sz="8" w:color="auto"/>
            </w:tcBorders>
          </w:tcPr>
          <w:p>
            <w:pPr>
              <w:spacing w:after="0"/>
              <w:rPr>
                <w:sz w:val="10"/>
                <w:szCs w:val="10"/>
                <w:color w:val="auto"/>
              </w:rPr>
            </w:pPr>
          </w:p>
        </w:tc>
        <w:tc>
          <w:tcPr>
            <w:tcW w:w="34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0" w:type="dxa"/>
            <w:vAlign w:val="bottom"/>
            <w:tcBorders>
              <w:top w:val="single" w:sz="8" w:color="auto"/>
              <w:right w:val="single" w:sz="8" w:color="auto"/>
            </w:tcBorders>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3900" w:type="dxa"/>
            <w:vAlign w:val="bottom"/>
            <w:tcBorders>
              <w:top w:val="single" w:sz="8" w:color="auto"/>
              <w:right w:val="single" w:sz="8" w:color="auto"/>
            </w:tcBorders>
          </w:tcPr>
          <w:p>
            <w:pPr>
              <w:spacing w:after="0"/>
              <w:rPr>
                <w:sz w:val="10"/>
                <w:szCs w:val="10"/>
                <w:color w:val="auto"/>
              </w:rPr>
            </w:pPr>
          </w:p>
        </w:tc>
        <w:tc>
          <w:tcPr>
            <w:tcW w:w="2060" w:type="dxa"/>
            <w:vAlign w:val="bottom"/>
          </w:tcPr>
          <w:p>
            <w:pPr>
              <w:ind w:left="160"/>
              <w:spacing w:after="0" w:line="126" w:lineRule="exact"/>
              <w:rPr>
                <w:sz w:val="20"/>
                <w:szCs w:val="20"/>
                <w:color w:val="auto"/>
              </w:rPr>
            </w:pPr>
            <w:r>
              <w:rPr>
                <w:rFonts w:ascii="Arial" w:cs="Arial" w:eastAsia="Arial" w:hAnsi="Arial"/>
                <w:sz w:val="13"/>
                <w:szCs w:val="13"/>
                <w:color w:val="auto"/>
              </w:rPr>
              <w:t>Mark the box to the right if you</w:t>
            </w:r>
          </w:p>
        </w:tc>
        <w:tc>
          <w:tcPr>
            <w:tcW w:w="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0" w:type="dxa"/>
            <w:vAlign w:val="bottom"/>
            <w:tcBorders>
              <w:left w:val="single" w:sz="8" w:color="auto"/>
            </w:tcBorders>
          </w:tcPr>
          <w:p>
            <w:pPr>
              <w:spacing w:after="0"/>
              <w:rPr>
                <w:sz w:val="12"/>
                <w:szCs w:val="12"/>
                <w:color w:val="auto"/>
              </w:rPr>
            </w:pPr>
          </w:p>
        </w:tc>
        <w:tc>
          <w:tcPr>
            <w:tcW w:w="3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3900" w:type="dxa"/>
            <w:vAlign w:val="bottom"/>
            <w:tcBorders>
              <w:right w:val="single" w:sz="8" w:color="auto"/>
            </w:tcBorders>
          </w:tcPr>
          <w:p>
            <w:pPr>
              <w:spacing w:after="0"/>
              <w:rPr>
                <w:sz w:val="12"/>
                <w:szCs w:val="12"/>
                <w:color w:val="auto"/>
              </w:rPr>
            </w:pPr>
          </w:p>
        </w:tc>
        <w:tc>
          <w:tcPr>
            <w:tcW w:w="2060" w:type="dxa"/>
            <w:vAlign w:val="bottom"/>
          </w:tcPr>
          <w:p>
            <w:pPr>
              <w:ind w:left="160"/>
              <w:spacing w:after="0" w:line="146" w:lineRule="exact"/>
              <w:rPr>
                <w:sz w:val="20"/>
                <w:szCs w:val="20"/>
                <w:color w:val="auto"/>
              </w:rPr>
            </w:pPr>
            <w:r>
              <w:rPr>
                <w:rFonts w:ascii="Arial" w:cs="Arial" w:eastAsia="Arial" w:hAnsi="Arial"/>
                <w:sz w:val="13"/>
                <w:szCs w:val="13"/>
                <w:color w:val="auto"/>
              </w:rPr>
              <w:t>plan to attend the Annual</w:t>
            </w: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0" w:type="dxa"/>
            <w:vAlign w:val="bottom"/>
            <w:tcBorders>
              <w:left w:val="single" w:sz="8" w:color="auto"/>
              <w:bottom w:val="single" w:sz="8" w:color="auto"/>
            </w:tcBorders>
          </w:tcPr>
          <w:p>
            <w:pPr>
              <w:spacing w:after="0"/>
              <w:rPr>
                <w:sz w:val="12"/>
                <w:szCs w:val="12"/>
                <w:color w:val="auto"/>
              </w:rPr>
            </w:pPr>
          </w:p>
        </w:tc>
        <w:tc>
          <w:tcPr>
            <w:tcW w:w="34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3900" w:type="dxa"/>
            <w:vAlign w:val="bottom"/>
            <w:tcBorders>
              <w:bottom w:val="single" w:sz="8" w:color="auto"/>
              <w:right w:val="single" w:sz="8" w:color="auto"/>
            </w:tcBorders>
          </w:tcPr>
          <w:p>
            <w:pPr>
              <w:spacing w:after="0"/>
              <w:rPr>
                <w:sz w:val="12"/>
                <w:szCs w:val="12"/>
                <w:color w:val="auto"/>
              </w:rPr>
            </w:pPr>
          </w:p>
        </w:tc>
        <w:tc>
          <w:tcPr>
            <w:tcW w:w="2060" w:type="dxa"/>
            <w:vAlign w:val="bottom"/>
          </w:tcPr>
          <w:p>
            <w:pPr>
              <w:ind w:left="160"/>
              <w:spacing w:after="0" w:line="148" w:lineRule="exact"/>
              <w:rPr>
                <w:sz w:val="20"/>
                <w:szCs w:val="20"/>
                <w:color w:val="auto"/>
              </w:rPr>
            </w:pPr>
            <w:r>
              <w:rPr>
                <w:rFonts w:ascii="Arial" w:cs="Arial" w:eastAsia="Arial" w:hAnsi="Arial"/>
                <w:sz w:val="13"/>
                <w:szCs w:val="13"/>
                <w:color w:val="auto"/>
              </w:rPr>
              <w:t>Meeting.</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200" w:type="dxa"/>
            <w:vAlign w:val="bottom"/>
          </w:tcPr>
          <w:p>
            <w:pPr>
              <w:spacing w:after="0"/>
              <w:rPr>
                <w:sz w:val="20"/>
                <w:szCs w:val="20"/>
                <w:color w:val="auto"/>
              </w:rPr>
            </w:pPr>
          </w:p>
        </w:tc>
        <w:tc>
          <w:tcPr>
            <w:tcW w:w="3440" w:type="dxa"/>
            <w:vAlign w:val="bottom"/>
            <w:vMerge w:val="restart"/>
          </w:tcPr>
          <w:p>
            <w:pPr>
              <w:ind w:left="1240"/>
              <w:spacing w:after="0"/>
              <w:rPr>
                <w:sz w:val="20"/>
                <w:szCs w:val="20"/>
                <w:color w:val="auto"/>
              </w:rPr>
            </w:pPr>
            <w:r>
              <w:rPr>
                <w:rFonts w:ascii="Arial" w:cs="Arial" w:eastAsia="Arial" w:hAnsi="Arial"/>
                <w:sz w:val="18"/>
                <w:szCs w:val="18"/>
                <w:b w:val="1"/>
                <w:bCs w:val="1"/>
                <w:color w:val="auto"/>
                <w:w w:val="99"/>
              </w:rPr>
              <w:t>IF VOTING BY MAIL, YOU</w:t>
            </w:r>
          </w:p>
        </w:tc>
        <w:tc>
          <w:tcPr>
            <w:tcW w:w="500" w:type="dxa"/>
            <w:vAlign w:val="bottom"/>
            <w:vMerge w:val="restart"/>
          </w:tcPr>
          <w:p>
            <w:pPr>
              <w:spacing w:after="0"/>
              <w:rPr>
                <w:sz w:val="20"/>
                <w:szCs w:val="20"/>
                <w:color w:val="auto"/>
              </w:rPr>
            </w:pPr>
            <w:r>
              <w:rPr>
                <w:rFonts w:ascii="Arial" w:cs="Arial" w:eastAsia="Arial" w:hAnsi="Arial"/>
                <w:sz w:val="18"/>
                <w:szCs w:val="18"/>
                <w:b w:val="1"/>
                <w:bCs w:val="1"/>
                <w:color w:val="auto"/>
                <w:w w:val="94"/>
              </w:rPr>
              <w:t>MUST</w:t>
            </w:r>
          </w:p>
        </w:tc>
        <w:tc>
          <w:tcPr>
            <w:tcW w:w="638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COMPLETE SECTIONS A - C ON BOTH SIDES OF THIS CARD.</w:t>
            </w:r>
          </w:p>
        </w:tc>
        <w:tc>
          <w:tcPr>
            <w:tcW w:w="340" w:type="dxa"/>
            <w:vAlign w:val="bottom"/>
            <w:vMerge w:val="restart"/>
          </w:tcPr>
          <w:p>
            <w:pPr>
              <w:jc w:val="right"/>
              <w:spacing w:after="0"/>
              <w:rPr>
                <w:sz w:val="20"/>
                <w:szCs w:val="20"/>
                <w:color w:val="auto"/>
              </w:rPr>
            </w:pPr>
            <w:r>
              <w:rPr>
                <w:rFonts w:ascii="Arial" w:cs="Arial" w:eastAsia="Arial" w:hAnsi="Arial"/>
                <w:sz w:val="35"/>
                <w:szCs w:val="35"/>
                <w:b w:val="1"/>
                <w:bCs w:val="1"/>
                <w:color w:val="auto"/>
              </w:rPr>
              <w:t>+</w:t>
            </w:r>
          </w:p>
        </w:tc>
        <w:tc>
          <w:tcPr>
            <w:tcW w:w="0" w:type="dxa"/>
            <w:vAlign w:val="bottom"/>
          </w:tcPr>
          <w:p>
            <w:pPr>
              <w:spacing w:after="0"/>
              <w:rPr>
                <w:sz w:val="1"/>
                <w:szCs w:val="1"/>
                <w:color w:val="auto"/>
              </w:rPr>
            </w:pPr>
          </w:p>
        </w:tc>
      </w:tr>
      <w:tr>
        <w:trPr>
          <w:trHeight w:val="180"/>
        </w:trPr>
        <w:tc>
          <w:tcPr>
            <w:tcW w:w="200" w:type="dxa"/>
            <w:vAlign w:val="bottom"/>
            <w:tcBorders>
              <w:left w:val="single" w:sz="8" w:color="auto"/>
              <w:bottom w:val="single" w:sz="8" w:color="auto"/>
            </w:tcBorders>
            <w:shd w:val="clear" w:color="auto" w:fill="000000"/>
          </w:tcPr>
          <w:p>
            <w:pPr>
              <w:spacing w:after="0"/>
              <w:rPr>
                <w:sz w:val="15"/>
                <w:szCs w:val="15"/>
                <w:color w:val="auto"/>
              </w:rPr>
            </w:pPr>
          </w:p>
        </w:tc>
        <w:tc>
          <w:tcPr>
            <w:tcW w:w="3440" w:type="dxa"/>
            <w:vAlign w:val="bottom"/>
            <w:vMerge w:val="continue"/>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6380" w:type="dxa"/>
            <w:vAlign w:val="bottom"/>
            <w:gridSpan w:val="4"/>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140"/>
      </w:cols>
      <w:pgMar w:left="240" w:top="45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lvl w:ilvl="1">
      <w:lvlJc w:val="left"/>
      <w:lvlText w:val="%2)"/>
      <w:numFmt w:val="decimal"/>
      <w:start w:val="1"/>
    </w:lvl>
  </w:abstractNum>
  <w:abstractNum w:abstractNumId="3">
    <w:nsid w:val="3DC240FB"/>
    <w:multiLevelType w:val="hybridMultilevel"/>
    <w:lvl w:ilvl="0">
      <w:lvlJc w:val="left"/>
      <w:lvlText w:val="%1."/>
      <w:numFmt w:val="decimal"/>
      <w:start w:val="1"/>
    </w:lvl>
  </w:abstractNum>
  <w:abstractNum w:abstractNumId="4">
    <w:nsid w:val="1BA026FA"/>
    <w:multiLevelType w:val="hybridMultilevel"/>
    <w:lvl w:ilvl="0">
      <w:lvlJc w:val="left"/>
      <w:lvlText w:val="ü"/>
      <w:numFmt w:val="bullet"/>
      <w:start w:val="1"/>
    </w:lvl>
  </w:abstractNum>
  <w:abstractNum w:abstractNumId="5">
    <w:nsid w:val="79A1DEAA"/>
    <w:multiLevelType w:val="hybridMultilevel"/>
    <w:lvl w:ilvl="0">
      <w:lvlJc w:val="left"/>
      <w:lvlText w:val="ü"/>
      <w:numFmt w:val="bullet"/>
      <w:start w:val="1"/>
    </w:lvl>
  </w:abstractNum>
  <w:abstractNum w:abstractNumId="6">
    <w:nsid w:val="75C6C33A"/>
    <w:multiLevelType w:val="hybridMultilevel"/>
    <w:lvl w:ilvl="0">
      <w:lvlJc w:val="left"/>
      <w:lvlText w:val="%1"/>
      <w:numFmt w:val="lowerRoman"/>
      <w:start w:val="2"/>
    </w:lvl>
  </w:abstractNum>
  <w:abstractNum w:abstractNumId="7">
    <w:nsid w:val="12E685FB"/>
    <w:multiLevelType w:val="hybridMultilevel"/>
    <w:lvl w:ilvl="0">
      <w:lvlJc w:val="left"/>
      <w:lvlText w:val="%1"/>
      <w:numFmt w:val="lowerRoman"/>
      <w:start w:val="4"/>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ü"/>
      <w:numFmt w:val="bullet"/>
      <w:start w:val="1"/>
    </w:lvl>
  </w:abstractNum>
  <w:abstractNum w:abstractNumId="10">
    <w:nsid w:val="374A3FE6"/>
    <w:multiLevelType w:val="hybridMultilevel"/>
    <w:lvl w:ilvl="0">
      <w:lvlJc w:val="left"/>
      <w:lvlText w:val="%1"/>
      <w:numFmt w:val="lowerRoman"/>
      <w:start w:val="6"/>
    </w:lvl>
  </w:abstractNum>
  <w:abstractNum w:abstractNumId="11">
    <w:nsid w:val="4F4EF005"/>
    <w:multiLevelType w:val="hybridMultilevel"/>
    <w:lvl w:ilvl="0">
      <w:lvlJc w:val="left"/>
      <w:lvlText w:val="(%1)"/>
      <w:numFmt w:val="decimal"/>
      <w:start w:val="1"/>
    </w:lvl>
  </w:abstractNum>
  <w:abstractNum w:abstractNumId="12">
    <w:nsid w:val="23F9C13C"/>
    <w:multiLevelType w:val="hybridMultilevel"/>
    <w:lvl w:ilvl="0">
      <w:lvlJc w:val="left"/>
      <w:lvlText w:val="ü"/>
      <w:numFmt w:val="bullet"/>
      <w:start w:val="1"/>
    </w:lvl>
  </w:abstractNum>
  <w:abstractNum w:abstractNumId="13">
    <w:nsid w:val="649BB77C"/>
    <w:multiLevelType w:val="hybridMultilevel"/>
    <w:lvl w:ilvl="0">
      <w:lvlJc w:val="left"/>
      <w:lvlText w:val="ü"/>
      <w:numFmt w:val="bullet"/>
      <w:start w:val="1"/>
    </w:lvl>
  </w:abstractNum>
  <w:abstractNum w:abstractNumId="14">
    <w:nsid w:val="275AC794"/>
    <w:multiLevelType w:val="hybridMultilevel"/>
    <w:lvl w:ilvl="0">
      <w:lvlJc w:val="left"/>
      <w:lvlText w:val="ü"/>
      <w:numFmt w:val="bullet"/>
      <w:start w:val="1"/>
    </w:lvl>
  </w:abstractNum>
  <w:abstractNum w:abstractNumId="15">
    <w:nsid w:val="39386575"/>
    <w:multiLevelType w:val="hybridMultilevel"/>
    <w:lvl w:ilvl="0">
      <w:lvlJc w:val="left"/>
      <w:lvlText w:val="%1"/>
      <w:numFmt w:val="lowerRoman"/>
      <w:start w:val="8"/>
    </w:lvl>
  </w:abstractNum>
  <w:abstractNum w:abstractNumId="16">
    <w:nsid w:val="1CF10FD8"/>
    <w:multiLevelType w:val="hybridMultilevel"/>
    <w:lvl w:ilvl="0">
      <w:lvlJc w:val="left"/>
      <w:lvlText w:val="2"/>
      <w:numFmt w:val="bullet"/>
      <w:start w:val="1"/>
    </w:lvl>
  </w:abstractNum>
  <w:abstractNum w:abstractNumId="17">
    <w:nsid w:val="180115BE"/>
    <w:multiLevelType w:val="hybridMultilevel"/>
    <w:lvl w:ilvl="0">
      <w:lvlJc w:val="left"/>
      <w:lvlText w:val="4"/>
      <w:numFmt w:val="bullet"/>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6"/>
      <w:numFmt w:val="bullet"/>
      <w:start w:val="1"/>
    </w:lvl>
  </w:abstractNum>
  <w:abstractNum w:abstractNumId="21">
    <w:nsid w:val="15B5AF5C"/>
    <w:multiLevelType w:val="hybridMultilevel"/>
    <w:lvl w:ilvl="0">
      <w:lvlJc w:val="left"/>
      <w:lvlText w:val="•"/>
      <w:numFmt w:val="bullet"/>
      <w:start w:val="1"/>
    </w:lvl>
  </w:abstractNum>
  <w:abstractNum w:abstractNumId="22">
    <w:nsid w:val="741226BB"/>
    <w:multiLevelType w:val="hybridMultilevel"/>
    <w:lvl w:ilvl="0">
      <w:lvlJc w:val="left"/>
      <w:lvlText w:val="•"/>
      <w:numFmt w:val="bullet"/>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8"/>
      <w:numFmt w:val="bullet"/>
      <w:start w:val="1"/>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
      <w:numFmt w:val="bullet"/>
      <w:start w:val="1"/>
    </w:lvl>
  </w:abstractNum>
  <w:abstractNum w:abstractNumId="28">
    <w:nsid w:val="77AE35EB"/>
    <w:multiLevelType w:val="hybridMultilevel"/>
    <w:lvl w:ilvl="0">
      <w:lvlJc w:val="left"/>
      <w:lvlText w:val="%1"/>
      <w:numFmt w:val="decimal"/>
      <w:start w:val="10"/>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
      <w:numFmt w:val="bullet"/>
      <w:start w:val="1"/>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1"/>
      <w:numFmt w:val="decimal"/>
      <w:start w:val="12"/>
    </w:lvl>
  </w:abstractNum>
  <w:abstractNum w:abstractNumId="33">
    <w:nsid w:val="25A70BF7"/>
    <w:multiLevelType w:val="hybridMultilevel"/>
    <w:lvl w:ilvl="0">
      <w:lvlJc w:val="left"/>
      <w:lvlText w:val="•"/>
      <w:numFmt w:val="bullet"/>
      <w:start w:val="1"/>
    </w:lvl>
  </w:abstractNum>
  <w:abstractNum w:abstractNumId="34">
    <w:nsid w:val="1DBABF00"/>
    <w:multiLevelType w:val="hybridMultilevel"/>
    <w:lvl w:ilvl="0">
      <w:lvlJc w:val="left"/>
      <w:lvlText w:val="•"/>
      <w:numFmt w:val="bullet"/>
      <w:start w:val="1"/>
    </w:lvl>
  </w:abstractNum>
  <w:abstractNum w:abstractNumId="35">
    <w:nsid w:val="4AD084E9"/>
    <w:multiLevelType w:val="hybridMultilevel"/>
    <w:lvl w:ilvl="0">
      <w:lvlJc w:val="left"/>
      <w:lvlText w:val="%1"/>
      <w:numFmt w:val="decimal"/>
      <w:start w:val="14"/>
    </w:lvl>
  </w:abstractNum>
  <w:abstractNum w:abstractNumId="36">
    <w:nsid w:val="1F48EAA1"/>
    <w:multiLevelType w:val="hybridMultilevel"/>
    <w:lvl w:ilvl="0">
      <w:lvlJc w:val="left"/>
      <w:lvlText w:val="(%1)"/>
      <w:numFmt w:val="lowerLetter"/>
      <w:start w:val="1"/>
    </w:lvl>
    <w:lvl w:ilvl="1">
      <w:lvlJc w:val="left"/>
      <w:lvlText w:val="•"/>
      <w:numFmt w:val="bullet"/>
      <w:start w:val="1"/>
    </w:lvl>
  </w:abstractNum>
  <w:abstractNum w:abstractNumId="37">
    <w:nsid w:val="1381823A"/>
    <w:multiLevelType w:val="hybridMultilevel"/>
    <w:lvl w:ilvl="0">
      <w:lvlJc w:val="left"/>
      <w:lvlText w:val="%1"/>
      <w:numFmt w:val="decimal"/>
      <w:start w:val="16"/>
    </w:lvl>
  </w:abstractNum>
  <w:abstractNum w:abstractNumId="38">
    <w:nsid w:val="5DB70AE5"/>
    <w:multiLevelType w:val="hybridMultilevel"/>
    <w:lvl w:ilvl="0">
      <w:lvlJc w:val="left"/>
      <w:lvlText w:val="(%1)"/>
      <w:numFmt w:val="lowerLetter"/>
      <w:start w:val="5"/>
    </w:lvl>
    <w:lvl w:ilvl="1">
      <w:lvlJc w:val="left"/>
      <w:lvlText w:val="•"/>
      <w:numFmt w:val="bullet"/>
      <w:start w:val="1"/>
    </w:lvl>
  </w:abstractNum>
  <w:abstractNum w:abstractNumId="39">
    <w:nsid w:val="100F8FCA"/>
    <w:multiLevelType w:val="hybridMultilevel"/>
    <w:lvl w:ilvl="0">
      <w:lvlJc w:val="left"/>
      <w:lvlText w:val="(%1)"/>
      <w:numFmt w:val="lowerLetter"/>
      <w:start w:val="1"/>
    </w:lvl>
  </w:abstractNum>
  <w:abstractNum w:abstractNumId="40">
    <w:nsid w:val="6590700B"/>
    <w:multiLevelType w:val="hybridMultilevel"/>
    <w:lvl w:ilvl="0">
      <w:lvlJc w:val="left"/>
      <w:lvlText w:val="%1"/>
      <w:numFmt w:val="decimal"/>
      <w:start w:val="18"/>
    </w:lvl>
  </w:abstractNum>
  <w:abstractNum w:abstractNumId="41">
    <w:nsid w:val="15014ACB"/>
    <w:multiLevelType w:val="hybridMultilevel"/>
    <w:lvl w:ilvl="0">
      <w:lvlJc w:val="left"/>
      <w:lvlText w:val="(%1)"/>
      <w:numFmt w:val="lowerLetter"/>
      <w:start w:val="1"/>
    </w:lvl>
  </w:abstractNum>
  <w:abstractNum w:abstractNumId="42">
    <w:nsid w:val="5F5E7FD0"/>
    <w:multiLevelType w:val="hybridMultilevel"/>
    <w:lvl w:ilvl="0">
      <w:lvlJc w:val="left"/>
      <w:lvlText w:val="%1"/>
      <w:numFmt w:val="decimal"/>
      <w:start w:val="20"/>
    </w:lvl>
  </w:abstractNum>
  <w:abstractNum w:abstractNumId="43">
    <w:nsid w:val="98A3148"/>
    <w:multiLevelType w:val="hybridMultilevel"/>
    <w:lvl w:ilvl="0">
      <w:lvlJc w:val="left"/>
      <w:lvlText w:val="%1"/>
      <w:numFmt w:val="decimal"/>
      <w:start w:val="22"/>
    </w:lvl>
  </w:abstractNum>
  <w:abstractNum w:abstractNumId="44">
    <w:nsid w:val="799D0247"/>
    <w:multiLevelType w:val="hybridMultilevel"/>
    <w:lvl w:ilvl="0">
      <w:lvlJc w:val="left"/>
      <w:lvlText w:val="(%1)"/>
      <w:numFmt w:val="decimal"/>
      <w:start w:val="1"/>
    </w:lvl>
  </w:abstractNum>
  <w:abstractNum w:abstractNumId="45">
    <w:nsid w:val="6B94764"/>
    <w:multiLevelType w:val="hybridMultilevel"/>
    <w:lvl w:ilvl="0">
      <w:lvlJc w:val="left"/>
      <w:lvlText w:val="%1"/>
      <w:numFmt w:val="decimal"/>
      <w:start w:val="24"/>
    </w:lvl>
  </w:abstractNum>
  <w:abstractNum w:abstractNumId="46">
    <w:nsid w:val="42C296BD"/>
    <w:multiLevelType w:val="hybridMultilevel"/>
    <w:lvl w:ilvl="0">
      <w:lvlJc w:val="left"/>
      <w:lvlText w:val="ü"/>
      <w:numFmt w:val="bullet"/>
      <w:start w:val="1"/>
    </w:lvl>
  </w:abstractNum>
  <w:abstractNum w:abstractNumId="47">
    <w:nsid w:val="168E121F"/>
    <w:multiLevelType w:val="hybridMultilevel"/>
    <w:lvl w:ilvl="0">
      <w:lvlJc w:val="left"/>
      <w:lvlText w:val="ü"/>
      <w:numFmt w:val="bullet"/>
      <w:start w:val="1"/>
    </w:lvl>
  </w:abstractNum>
  <w:abstractNum w:abstractNumId="48">
    <w:nsid w:val="1EBA5D23"/>
    <w:multiLevelType w:val="hybridMultilevel"/>
    <w:lvl w:ilvl="0">
      <w:lvlJc w:val="left"/>
      <w:lvlText w:val="%1"/>
      <w:numFmt w:val="decimal"/>
      <w:start w:val="26"/>
    </w:lvl>
  </w:abstractNum>
  <w:abstractNum w:abstractNumId="49">
    <w:nsid w:val="661E3F1E"/>
    <w:multiLevelType w:val="hybridMultilevel"/>
    <w:lvl w:ilvl="0">
      <w:lvlJc w:val="left"/>
      <w:lvlText w:val="•"/>
      <w:numFmt w:val="bullet"/>
      <w:start w:val="1"/>
    </w:lvl>
  </w:abstractNum>
  <w:abstractNum w:abstractNumId="50">
    <w:nsid w:val="5DC79EA8"/>
    <w:multiLevelType w:val="hybridMultilevel"/>
    <w:lvl w:ilvl="0">
      <w:lvlJc w:val="left"/>
      <w:lvlText w:val="%1"/>
      <w:numFmt w:val="decimal"/>
      <w:start w:val="28"/>
    </w:lvl>
  </w:abstractNum>
  <w:abstractNum w:abstractNumId="51">
    <w:nsid w:val="540A471C"/>
    <w:multiLevelType w:val="hybridMultilevel"/>
    <w:lvl w:ilvl="0">
      <w:lvlJc w:val="left"/>
      <w:lvlText w:val="(%1)"/>
      <w:numFmt w:val="decimal"/>
      <w:start w:val="2"/>
    </w:lvl>
  </w:abstractNum>
  <w:abstractNum w:abstractNumId="52">
    <w:nsid w:val="7BD3EE7B"/>
    <w:multiLevelType w:val="hybridMultilevel"/>
    <w:lvl w:ilvl="0">
      <w:lvlJc w:val="left"/>
      <w:lvlText w:val="•"/>
      <w:numFmt w:val="bullet"/>
      <w:start w:val="1"/>
    </w:lvl>
  </w:abstractNum>
  <w:abstractNum w:abstractNumId="53">
    <w:nsid w:val="51D9C564"/>
    <w:multiLevelType w:val="hybridMultilevel"/>
    <w:lvl w:ilvl="0">
      <w:lvlJc w:val="left"/>
      <w:lvlText w:val="•"/>
      <w:numFmt w:val="bullet"/>
      <w:start w:val="1"/>
    </w:lvl>
  </w:abstractNum>
  <w:abstractNum w:abstractNumId="54">
    <w:nsid w:val="613EFDC5"/>
    <w:multiLevelType w:val="hybridMultilevel"/>
    <w:lvl w:ilvl="0">
      <w:lvlJc w:val="left"/>
      <w:lvlText w:val="•"/>
      <w:numFmt w:val="bullet"/>
      <w:start w:val="1"/>
    </w:lvl>
  </w:abstractNum>
  <w:abstractNum w:abstractNumId="55">
    <w:nsid w:val="BF72B14"/>
    <w:multiLevelType w:val="hybridMultilevel"/>
    <w:lvl w:ilvl="0">
      <w:lvlJc w:val="left"/>
      <w:lvlText w:val="•"/>
      <w:numFmt w:val="bullet"/>
      <w:start w:val="1"/>
    </w:lvl>
  </w:abstractNum>
  <w:abstractNum w:abstractNumId="56">
    <w:nsid w:val="11447B73"/>
    <w:multiLevelType w:val="hybridMultilevel"/>
    <w:lvl w:ilvl="0">
      <w:lvlJc w:val="left"/>
      <w:lvlText w:val="%1"/>
      <w:numFmt w:val="decimal"/>
      <w:start w:val="30"/>
    </w:lvl>
  </w:abstractNum>
  <w:abstractNum w:abstractNumId="57">
    <w:nsid w:val="42963E5A"/>
    <w:multiLevelType w:val="hybridMultilevel"/>
    <w:lvl w:ilvl="0">
      <w:lvlJc w:val="left"/>
      <w:lvlText w:val="(%1)"/>
      <w:numFmt w:val="decimal"/>
      <w:start w:val="1"/>
    </w:lvl>
  </w:abstractNum>
  <w:abstractNum w:abstractNumId="58">
    <w:nsid w:val="A0382C5"/>
    <w:multiLevelType w:val="hybridMultilevel"/>
    <w:lvl w:ilvl="0">
      <w:lvlJc w:val="left"/>
      <w:lvlText w:val="%1"/>
      <w:numFmt w:val="decimal"/>
      <w:start w:val="32"/>
    </w:lvl>
  </w:abstractNum>
  <w:abstractNum w:abstractNumId="59">
    <w:nsid w:val="8F2B15E"/>
    <w:multiLevelType w:val="hybridMultilevel"/>
    <w:lvl w:ilvl="0">
      <w:lvlJc w:val="left"/>
      <w:lvlText w:val="%1"/>
      <w:numFmt w:val="decimal"/>
      <w:start w:val="34"/>
    </w:lvl>
  </w:abstractNum>
  <w:abstractNum w:abstractNumId="60">
    <w:nsid w:val="1A32234B"/>
    <w:multiLevelType w:val="hybridMultilevel"/>
    <w:lvl w:ilvl="0">
      <w:lvlJc w:val="left"/>
      <w:lvlText w:val="%1"/>
      <w:numFmt w:val="decimal"/>
      <w:start w:val="36"/>
    </w:lvl>
  </w:abstractNum>
  <w:abstractNum w:abstractNumId="61">
    <w:nsid w:val="3B0FD379"/>
    <w:multiLevelType w:val="hybridMultilevel"/>
    <w:lvl w:ilvl="0">
      <w:lvlJc w:val="left"/>
      <w:lvlText w:val="*"/>
      <w:numFmt w:val="bullet"/>
      <w:start w:val="1"/>
    </w:lvl>
  </w:abstractNum>
  <w:abstractNum w:abstractNumId="62">
    <w:nsid w:val="68EB2F63"/>
    <w:multiLevelType w:val="hybridMultilevel"/>
    <w:lvl w:ilvl="0">
      <w:lvlJc w:val="left"/>
      <w:lvlText w:val="(%1)"/>
      <w:numFmt w:val="decimal"/>
      <w:start w:val="1"/>
    </w:lvl>
  </w:abstractNum>
  <w:abstractNum w:abstractNumId="63">
    <w:nsid w:val="4962813B"/>
    <w:multiLevelType w:val="hybridMultilevel"/>
    <w:lvl w:ilvl="0">
      <w:lvlJc w:val="left"/>
      <w:lvlText w:val="(%1)"/>
      <w:numFmt w:val="decimal"/>
      <w:start w:val="1"/>
    </w:lvl>
  </w:abstractNum>
  <w:abstractNum w:abstractNumId="64">
    <w:nsid w:val="60B6DF70"/>
    <w:multiLevelType w:val="hybridMultilevel"/>
    <w:lvl w:ilvl="0">
      <w:lvlJc w:val="left"/>
      <w:lvlText w:val="%1"/>
      <w:numFmt w:val="decimal"/>
      <w:start w:val="38"/>
    </w:lvl>
  </w:abstractNum>
  <w:abstractNum w:abstractNumId="65">
    <w:nsid w:val="6A5EE64"/>
    <w:multiLevelType w:val="hybridMultilevel"/>
    <w:lvl w:ilvl="0">
      <w:lvlJc w:val="left"/>
      <w:lvlText w:val="(%1)"/>
      <w:numFmt w:val="decimal"/>
      <w:start w:val="1"/>
    </w:lvl>
  </w:abstractNum>
  <w:abstractNum w:abstractNumId="66">
    <w:nsid w:val="14330624"/>
    <w:multiLevelType w:val="hybridMultilevel"/>
    <w:lvl w:ilvl="0">
      <w:lvlJc w:val="left"/>
      <w:lvlText w:val="(%1)"/>
      <w:numFmt w:val="decimal"/>
      <w:start w:val="4"/>
    </w:lvl>
  </w:abstractNum>
  <w:abstractNum w:abstractNumId="67">
    <w:nsid w:val="7FFFCA11"/>
    <w:multiLevelType w:val="hybridMultilevel"/>
    <w:lvl w:ilvl="0">
      <w:lvlJc w:val="left"/>
      <w:lvlText w:val="%1"/>
      <w:numFmt w:val="decimal"/>
      <w:start w:val="40"/>
    </w:lvl>
  </w:abstractNum>
  <w:abstractNum w:abstractNumId="68">
    <w:nsid w:val="1A27709E"/>
    <w:multiLevelType w:val="hybridMultilevel"/>
    <w:lvl w:ilvl="0">
      <w:lvlJc w:val="left"/>
      <w:lvlText w:val="(%1)"/>
      <w:numFmt w:val="decimal"/>
      <w:start w:val="1"/>
    </w:lvl>
  </w:abstractNum>
  <w:abstractNum w:abstractNumId="69">
    <w:nsid w:val="71EA1109"/>
    <w:multiLevelType w:val="hybridMultilevel"/>
    <w:lvl w:ilvl="0">
      <w:lvlJc w:val="left"/>
      <w:lvlText w:val="(%1)"/>
      <w:numFmt w:val="decimal"/>
      <w:start w:val="1"/>
    </w:lvl>
  </w:abstractNum>
  <w:abstractNum w:abstractNumId="70">
    <w:nsid w:val="100F59DC"/>
    <w:multiLevelType w:val="hybridMultilevel"/>
    <w:lvl w:ilvl="0">
      <w:lvlJc w:val="left"/>
      <w:lvlText w:val="%1"/>
      <w:numFmt w:val="decimal"/>
      <w:start w:val="42"/>
    </w:lvl>
  </w:abstractNum>
  <w:abstractNum w:abstractNumId="71">
    <w:nsid w:val="7FB7E0AA"/>
    <w:multiLevelType w:val="hybridMultilevel"/>
    <w:lvl w:ilvl="0">
      <w:lvlJc w:val="left"/>
      <w:lvlText w:val="•"/>
      <w:numFmt w:val="bullet"/>
      <w:start w:val="1"/>
    </w:lvl>
  </w:abstractNum>
  <w:abstractNum w:abstractNumId="72">
    <w:nsid w:val="6EB5BD4"/>
    <w:multiLevelType w:val="hybridMultilevel"/>
    <w:lvl w:ilvl="0">
      <w:lvlJc w:val="left"/>
      <w:lvlText w:val="%1"/>
      <w:numFmt w:val="decimal"/>
      <w:start w:val="44"/>
    </w:lvl>
  </w:abstractNum>
  <w:abstractNum w:abstractNumId="73">
    <w:nsid w:val="6F6DD9AC"/>
    <w:multiLevelType w:val="hybridMultilevel"/>
    <w:lvl w:ilvl="0">
      <w:lvlJc w:val="left"/>
      <w:lvlText w:val="(%1)"/>
      <w:numFmt w:val="decimal"/>
      <w:start w:val="1"/>
    </w:lvl>
  </w:abstractNum>
  <w:abstractNum w:abstractNumId="74">
    <w:nsid w:val="94211F2"/>
    <w:multiLevelType w:val="hybridMultilevel"/>
    <w:lvl w:ilvl="0">
      <w:lvlJc w:val="left"/>
      <w:lvlText w:val="•"/>
      <w:numFmt w:val="bullet"/>
      <w:start w:val="1"/>
    </w:lvl>
  </w:abstractNum>
  <w:abstractNum w:abstractNumId="75">
    <w:nsid w:val="885E1B"/>
    <w:multiLevelType w:val="hybridMultilevel"/>
    <w:lvl w:ilvl="0">
      <w:lvlJc w:val="left"/>
      <w:lvlText w:val="•"/>
      <w:numFmt w:val="bullet"/>
      <w:start w:val="1"/>
    </w:lvl>
  </w:abstractNum>
  <w:abstractNum w:abstractNumId="76">
    <w:nsid w:val="76272110"/>
    <w:multiLevelType w:val="hybridMultilevel"/>
    <w:lvl w:ilvl="0">
      <w:lvlJc w:val="left"/>
      <w:lvlText w:val="%1"/>
      <w:numFmt w:val="decimal"/>
      <w:start w:val="46"/>
    </w:lvl>
  </w:abstractNum>
  <w:abstractNum w:abstractNumId="77">
    <w:nsid w:val="4C04A8AF"/>
    <w:multiLevelType w:val="hybridMultilevel"/>
    <w:lvl w:ilvl="0">
      <w:lvlJc w:val="left"/>
      <w:lvlText w:val="•"/>
      <w:numFmt w:val="bullet"/>
      <w:start w:val="1"/>
    </w:lvl>
  </w:abstractNum>
  <w:abstractNum w:abstractNumId="78">
    <w:nsid w:val="1716703B"/>
    <w:multiLevelType w:val="hybridMultilevel"/>
    <w:lvl w:ilvl="0">
      <w:lvlJc w:val="left"/>
      <w:lvlText w:val="•"/>
      <w:numFmt w:val="bullet"/>
      <w:start w:val="1"/>
    </w:lvl>
  </w:abstractNum>
  <w:abstractNum w:abstractNumId="79">
    <w:nsid w:val="14E17E33"/>
    <w:multiLevelType w:val="hybridMultilevel"/>
    <w:lvl w:ilvl="0">
      <w:lvlJc w:val="left"/>
      <w:lvlText w:val="%1"/>
      <w:numFmt w:val="decimal"/>
      <w:start w:val="48"/>
    </w:lvl>
  </w:abstractNum>
  <w:abstractNum w:abstractNumId="80">
    <w:nsid w:val="3222E7CD"/>
    <w:multiLevelType w:val="hybridMultilevel"/>
    <w:lvl w:ilvl="0">
      <w:lvlJc w:val="left"/>
      <w:lvlText w:val="%1"/>
      <w:numFmt w:val="decimal"/>
      <w:start w:val="50"/>
    </w:lvl>
  </w:abstractNum>
  <w:abstractNum w:abstractNumId="81">
    <w:nsid w:val="74DE0EE3"/>
    <w:multiLevelType w:val="hybridMultilevel"/>
    <w:lvl w:ilvl="0">
      <w:lvlJc w:val="left"/>
      <w:lvlText w:val="•"/>
      <w:numFmt w:val="bullet"/>
      <w:start w:val="1"/>
    </w:lvl>
  </w:abstractNum>
  <w:abstractNum w:abstractNumId="82">
    <w:nsid w:val="68EBC550"/>
    <w:multiLevelType w:val="hybridMultilevel"/>
    <w:lvl w:ilvl="0">
      <w:lvlJc w:val="left"/>
      <w:lvlText w:val="%1"/>
      <w:numFmt w:val="decimal"/>
      <w:start w:val="52"/>
    </w:lvl>
  </w:abstractNum>
  <w:abstractNum w:abstractNumId="83">
    <w:nsid w:val="2DF6D648"/>
    <w:multiLevelType w:val="hybridMultilevel"/>
    <w:lvl w:ilvl="0">
      <w:lvlJc w:val="left"/>
      <w:lvlText w:val="•"/>
      <w:numFmt w:val="bullet"/>
      <w:start w:val="1"/>
    </w:lvl>
  </w:abstractNum>
  <w:abstractNum w:abstractNumId="84">
    <w:nsid w:val="46B7D447"/>
    <w:multiLevelType w:val="hybridMultilevel"/>
    <w:lvl w:ilvl="0">
      <w:lvlJc w:val="left"/>
      <w:lvlText w:val="•"/>
      <w:numFmt w:val="bullet"/>
      <w:start w:val="1"/>
    </w:lvl>
  </w:abstractNum>
  <w:abstractNum w:abstractNumId="85">
    <w:nsid w:val="4A2AC315"/>
    <w:multiLevelType w:val="hybridMultilevel"/>
    <w:lvl w:ilvl="0">
      <w:lvlJc w:val="left"/>
      <w:lvlText w:val="•"/>
      <w:numFmt w:val="bullet"/>
      <w:start w:val="1"/>
    </w:lvl>
  </w:abstractNum>
  <w:abstractNum w:abstractNumId="86">
    <w:nsid w:val="39EE015C"/>
    <w:multiLevelType w:val="hybridMultilevel"/>
    <w:lvl w:ilvl="0">
      <w:lvlJc w:val="left"/>
      <w:lvlText w:val="•"/>
      <w:numFmt w:val="bullet"/>
      <w:start w:val="1"/>
    </w:lvl>
  </w:abstractNum>
  <w:abstractNum w:abstractNumId="87">
    <w:nsid w:val="57FC4FBB"/>
    <w:multiLevelType w:val="hybridMultilevel"/>
    <w:lvl w:ilvl="0">
      <w:lvlJc w:val="left"/>
      <w:lvlText w:val="%1"/>
      <w:numFmt w:val="decimal"/>
      <w:start w:val="54"/>
    </w:lvl>
  </w:abstractNum>
  <w:abstractNum w:abstractNumId="88">
    <w:nsid w:val="CC1016F"/>
    <w:multiLevelType w:val="hybridMultilevel"/>
    <w:lvl w:ilvl="0">
      <w:lvlJc w:val="left"/>
      <w:lvlText w:val="%1"/>
      <w:numFmt w:val="decimal"/>
      <w:start w:val="56"/>
    </w:lvl>
  </w:abstractNum>
  <w:abstractNum w:abstractNumId="89">
    <w:nsid w:val="43F18422"/>
    <w:multiLevelType w:val="hybridMultilevel"/>
    <w:lvl w:ilvl="0">
      <w:lvlJc w:val="left"/>
      <w:lvlText w:val="•"/>
      <w:numFmt w:val="bullet"/>
      <w:start w:val="1"/>
    </w:lvl>
  </w:abstractNum>
  <w:abstractNum w:abstractNumId="90">
    <w:nsid w:val="60EF0119"/>
    <w:multiLevelType w:val="hybridMultilevel"/>
    <w:lvl w:ilvl="0">
      <w:lvlJc w:val="left"/>
      <w:lvlText w:val="A"/>
      <w:numFmt w:val="bullet"/>
      <w:start w:val="1"/>
    </w:lvl>
  </w:abstractNum>
  <w:abstractNum w:abstractNumId="91">
    <w:nsid w:val="26F324BA"/>
    <w:multiLevelType w:val="hybridMultilevel"/>
    <w:lvl w:ilvl="0">
      <w:lvlJc w:val="left"/>
      <w:lvlText w:val="%1."/>
      <w:numFmt w:val="decimal"/>
      <w:start w:val="2"/>
    </w:lvl>
  </w:abstractNum>
  <w:abstractNum w:abstractNumId="92">
    <w:nsid w:val="7F01579B"/>
    <w:multiLevelType w:val="hybridMultilevel"/>
    <w:lvl w:ilvl="0">
      <w:lvlJc w:val="left"/>
      <w:lvlText w:val="B"/>
      <w:numFmt w:val="bullet"/>
      <w:start w:val="1"/>
    </w:lvl>
  </w:abstractNum>
  <w:abstractNum w:abstractNumId="93">
    <w:nsid w:val="49DA307D"/>
    <w:multiLevelType w:val="hybridMultilevel"/>
    <w:lvl w:ilvl="0">
      <w:lvlJc w:val="left"/>
      <w:lvlText w:val="•"/>
      <w:numFmt w:val="bullet"/>
      <w:start w:val="1"/>
    </w:lvl>
  </w:abstractNum>
  <w:abstractNum w:abstractNumId="94">
    <w:nsid w:val="7055A5F5"/>
    <w:multiLevelType w:val="hybridMultilevel"/>
    <w:lvl w:ilvl="0">
      <w:lvlJc w:val="left"/>
      <w:lvlText w:val="A"/>
      <w:numFmt w:val="bullet"/>
      <w:start w:val="1"/>
    </w:lvl>
  </w:abstractNum>
  <w:abstractNum w:abstractNumId="95">
    <w:nsid w:val="5FB8370B"/>
    <w:multiLevelType w:val="hybridMultilevel"/>
    <w:lvl w:ilvl="0">
      <w:lvlJc w:val="left"/>
      <w:lvlText w:val="%1."/>
      <w:numFmt w:val="decimal"/>
      <w:start w:val="2"/>
    </w:lvl>
  </w:abstractNum>
  <w:abstractNum w:abstractNumId="96">
    <w:nsid w:val="50801EE1"/>
    <w:multiLevelType w:val="hybridMultilevel"/>
    <w:lvl w:ilvl="0">
      <w:lvlJc w:val="left"/>
      <w:lvlText w:val="B"/>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jpeg"/><Relationship Id="rId347" Type="http://schemas.openxmlformats.org/officeDocument/2006/relationships/image" Target="media/image340.jpeg"/><Relationship Id="rId348" Type="http://schemas.openxmlformats.org/officeDocument/2006/relationships/image" Target="media/image341.jpe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jpe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jpeg"/><Relationship Id="rId376" Type="http://schemas.openxmlformats.org/officeDocument/2006/relationships/image" Target="media/image369.jpe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jpeg"/><Relationship Id="rId385" Type="http://schemas.openxmlformats.org/officeDocument/2006/relationships/image" Target="media/image378.jpeg"/><Relationship Id="rId386" Type="http://schemas.openxmlformats.org/officeDocument/2006/relationships/image" Target="media/image379.jpe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2019-12-05T01:06:57Z</dcterms:created>
  <dcterms:modified xsi:type="dcterms:W3CDTF">2019-12-05T01:06:57Z</dcterms:modified>
</cp:coreProperties>
</file>