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6993890" cy="6651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6651625"/>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80"/>
            <w:col w:w="848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Schoonman Geurt G</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1185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HESS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HES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07/18/2025</w:t>
      </w:r>
    </w:p>
    <w:p>
      <w:pPr>
        <w:spacing w:after="0" w:line="20" w:lineRule="exact"/>
        <w:rPr>
          <w:sz w:val="24"/>
          <w:szCs w:val="24"/>
          <w:color w:val="auto"/>
        </w:rPr>
      </w:pPr>
      <w:r>
        <w:rPr>
          <w:sz w:val="24"/>
          <w:szCs w:val="24"/>
          <w:color w:val="auto"/>
        </w:rPr>
        <w:br w:type="column"/>
      </w:r>
    </w:p>
    <w:p>
      <w:pPr>
        <w:ind w:left="1" w:right="640" w:hanging="1"/>
        <w:spacing w:after="0" w:line="257"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861"/>
        <w:spacing w:after="0"/>
        <w:rPr>
          <w:sz w:val="20"/>
          <w:szCs w:val="20"/>
          <w:color w:val="auto"/>
        </w:rPr>
      </w:pPr>
      <w:r>
        <w:rPr>
          <w:rFonts w:ascii="Times New Roman" w:cs="Times New Roman" w:eastAsia="Times New Roman" w:hAnsi="Times New Roman"/>
          <w:sz w:val="17"/>
          <w:szCs w:val="17"/>
          <w:color w:val="0000FF"/>
        </w:rPr>
        <w:t>Senior Vice President</w:t>
      </w:r>
    </w:p>
    <w:p>
      <w:pPr>
        <w:spacing w:after="0" w:line="310" w:lineRule="exact"/>
        <w:rPr>
          <w:sz w:val="24"/>
          <w:szCs w:val="24"/>
          <w:color w:val="auto"/>
        </w:rPr>
      </w:pPr>
    </w:p>
    <w:p>
      <w:pPr>
        <w:sectPr>
          <w:pgSz w:w="11900" w:h="16838" w:orient="portrait"/>
          <w:cols w:equalWidth="0" w:num="3">
            <w:col w:w="3180" w:space="720"/>
            <w:col w:w="3119" w:space="720"/>
            <w:col w:w="3341"/>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54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126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3680" w:type="dxa"/>
            <w:vAlign w:val="bottom"/>
            <w:gridSpan w:val="8"/>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gridSpan w:val="10"/>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0" w:type="dxa"/>
            <w:vAlign w:val="bottom"/>
          </w:tcPr>
          <w:p>
            <w:pPr>
              <w:spacing w:after="0"/>
              <w:rPr>
                <w:sz w:val="7"/>
                <w:szCs w:val="7"/>
                <w:color w:val="auto"/>
              </w:rPr>
            </w:pPr>
          </w:p>
        </w:tc>
        <w:tc>
          <w:tcPr>
            <w:tcW w:w="3680" w:type="dxa"/>
            <w:vAlign w:val="bottom"/>
            <w:gridSpan w:val="8"/>
            <w:vMerge w:val="continue"/>
          </w:tcPr>
          <w:p>
            <w:pPr>
              <w:spacing w:after="0"/>
              <w:rPr>
                <w:sz w:val="7"/>
                <w:szCs w:val="7"/>
                <w:color w:val="auto"/>
              </w:rPr>
            </w:pPr>
          </w:p>
        </w:tc>
        <w:tc>
          <w:tcPr>
            <w:tcW w:w="36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280" w:type="dxa"/>
            <w:vAlign w:val="bottom"/>
          </w:tcPr>
          <w:p>
            <w:pPr>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tcPr>
          <w:p>
            <w:pPr>
              <w:spacing w:after="0"/>
              <w:rPr>
                <w:sz w:val="19"/>
                <w:szCs w:val="19"/>
                <w:color w:val="auto"/>
              </w:rPr>
            </w:pPr>
          </w:p>
        </w:tc>
        <w:tc>
          <w:tcPr>
            <w:tcW w:w="12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7"/>
          </w:tcPr>
          <w:p>
            <w:pPr>
              <w:ind w:left="140"/>
              <w:spacing w:after="0" w:line="136"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14"/>
                <w:szCs w:val="14"/>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8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660" w:type="dxa"/>
            <w:vAlign w:val="bottom"/>
            <w:tcBorders>
              <w:bottom w:val="single" w:sz="8" w:color="2C2C2C"/>
            </w:tcBorders>
            <w:gridSpan w:val="5"/>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120" w:type="dxa"/>
            <w:vAlign w:val="bottom"/>
            <w:tcBorders>
              <w:top w:val="single" w:sz="8" w:color="2C2C2C"/>
            </w:tcBorders>
            <w:gridSpan w:val="15"/>
          </w:tcPr>
          <w:p>
            <w:pPr>
              <w:ind w:left="70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gridSpan w:val="2"/>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2620" w:type="dxa"/>
            <w:vAlign w:val="bottom"/>
            <w:gridSpan w:val="7"/>
          </w:tcPr>
          <w:p>
            <w:pPr>
              <w:ind w:left="120"/>
              <w:spacing w:after="0" w:line="128" w:lineRule="exact"/>
              <w:rPr>
                <w:sz w:val="20"/>
                <w:szCs w:val="20"/>
                <w:color w:val="auto"/>
              </w:rPr>
            </w:pPr>
            <w:r>
              <w:rPr>
                <w:rFonts w:ascii="Arial" w:cs="Arial" w:eastAsia="Arial" w:hAnsi="Arial"/>
                <w:sz w:val="12"/>
                <w:szCs w:val="12"/>
                <w:b w:val="1"/>
                <w:bCs w:val="1"/>
                <w:color w:val="auto"/>
                <w:w w:val="97"/>
              </w:rPr>
              <w:t>Disposed Of (D) (Instr. 3, 4 and 5)  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60" w:type="dxa"/>
            <w:vAlign w:val="bottom"/>
            <w:gridSpan w:val="3"/>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4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460" w:type="dxa"/>
            <w:vAlign w:val="bottom"/>
            <w:tcBorders>
              <w:bottom w:val="single" w:sz="8" w:color="2C2C2C"/>
            </w:tcBorders>
            <w:gridSpan w:val="5"/>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46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$1.00 par value</w:t>
            </w:r>
          </w:p>
        </w:tc>
        <w:tc>
          <w:tcPr>
            <w:tcW w:w="186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07/18/2025</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78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w w:val="91"/>
              </w:rPr>
              <w:t>51,872</w:t>
            </w:r>
            <w:r>
              <w:rPr>
                <w:rFonts w:ascii="Times New Roman" w:cs="Times New Roman" w:eastAsia="Times New Roman" w:hAnsi="Times New Roman"/>
                <w:sz w:val="21"/>
                <w:szCs w:val="21"/>
                <w:color w:val="008000"/>
                <w:w w:val="91"/>
                <w:vertAlign w:val="superscript"/>
              </w:rPr>
              <w:t>(1)</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right"/>
              <w:ind w:right="32"/>
              <w:spacing w:after="0"/>
              <w:rPr>
                <w:sz w:val="20"/>
                <w:szCs w:val="20"/>
                <w:color w:val="auto"/>
              </w:rPr>
            </w:pPr>
            <w:r>
              <w:rPr>
                <w:rFonts w:ascii="Times New Roman" w:cs="Times New Roman" w:eastAsia="Times New Roman" w:hAnsi="Times New Roman"/>
                <w:sz w:val="11"/>
                <w:szCs w:val="11"/>
                <w:color w:val="008000"/>
              </w:rPr>
              <w:t>(2)</w:t>
            </w: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w w:val="70"/>
              </w:rPr>
              <w:t>0</w:t>
            </w: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8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560" w:type="dxa"/>
            <w:vAlign w:val="bottom"/>
            <w:gridSpan w:val="12"/>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6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Price of</w:t>
            </w: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80" w:type="dxa"/>
            <w:vAlign w:val="bottom"/>
            <w:gridSpan w:val="2"/>
          </w:tcPr>
          <w:p>
            <w:pPr>
              <w:ind w:left="24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Security</w:t>
            </w: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80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2023</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800" w:type="dxa"/>
            <w:vAlign w:val="bottom"/>
            <w:gridSpan w:val="3"/>
            <w:vMerge w:val="continue"/>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gridSpan w:val="2"/>
            <w:vMerge w:val="restart"/>
          </w:tcPr>
          <w:p>
            <w:pPr>
              <w:jc w:val="center"/>
              <w:ind w:right="81"/>
              <w:spacing w:after="0"/>
              <w:rPr>
                <w:sz w:val="20"/>
                <w:szCs w:val="20"/>
                <w:color w:val="auto"/>
              </w:rPr>
            </w:pPr>
            <w:r>
              <w:rPr>
                <w:rFonts w:ascii="Times New Roman" w:cs="Times New Roman" w:eastAsia="Times New Roman" w:hAnsi="Times New Roman"/>
                <w:sz w:val="11"/>
                <w:szCs w:val="11"/>
                <w:color w:val="008000"/>
                <w:w w:val="93"/>
              </w:rPr>
              <w:t>(3)</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20" w:type="dxa"/>
            <w:vAlign w:val="bottom"/>
          </w:tcPr>
          <w:p>
            <w:pPr>
              <w:spacing w:after="0"/>
              <w:rPr>
                <w:sz w:val="5"/>
                <w:szCs w:val="5"/>
                <w:color w:val="auto"/>
              </w:rPr>
            </w:pPr>
          </w:p>
        </w:tc>
        <w:tc>
          <w:tcPr>
            <w:tcW w:w="540" w:type="dxa"/>
            <w:vAlign w:val="bottom"/>
            <w:vMerge w:val="restart"/>
          </w:tcPr>
          <w:p>
            <w:pPr>
              <w:jc w:val="center"/>
              <w:ind w:right="115"/>
              <w:spacing w:after="0"/>
              <w:rPr>
                <w:sz w:val="20"/>
                <w:szCs w:val="20"/>
                <w:color w:val="auto"/>
              </w:rPr>
            </w:pPr>
            <w:r>
              <w:rPr>
                <w:rFonts w:ascii="Times New Roman" w:cs="Times New Roman" w:eastAsia="Times New Roman" w:hAnsi="Times New Roman"/>
                <w:sz w:val="13"/>
                <w:szCs w:val="13"/>
                <w:color w:val="0000FF"/>
                <w:w w:val="97"/>
              </w:rPr>
              <w:t>Stock,</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14,799</w:t>
            </w: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color w:val="008000"/>
              </w:rPr>
              <w:t>(3)</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540" w:type="dxa"/>
            <w:vAlign w:val="bottom"/>
            <w:vMerge w:val="restart"/>
          </w:tcPr>
          <w:p>
            <w:pPr>
              <w:jc w:val="center"/>
              <w:ind w:left="20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280" w:type="dxa"/>
            <w:vAlign w:val="bottom"/>
          </w:tcPr>
          <w:p>
            <w:pPr>
              <w:spacing w:after="0"/>
              <w:rPr>
                <w:sz w:val="8"/>
                <w:szCs w:val="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07/18/2025</w:t>
            </w:r>
          </w:p>
        </w:tc>
        <w:tc>
          <w:tcPr>
            <w:tcW w:w="1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D</w:t>
            </w:r>
          </w:p>
        </w:tc>
        <w:tc>
          <w:tcPr>
            <w:tcW w:w="200" w:type="dxa"/>
            <w:vAlign w:val="bottom"/>
          </w:tcPr>
          <w:p>
            <w:pPr>
              <w:spacing w:after="0"/>
              <w:rPr>
                <w:sz w:val="8"/>
                <w:szCs w:val="8"/>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7,047</w:t>
            </w:r>
          </w:p>
        </w:tc>
        <w:tc>
          <w:tcPr>
            <w:tcW w:w="78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58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126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gridSpan w:val="2"/>
          </w:tcPr>
          <w:p>
            <w:pPr>
              <w:ind w:left="60"/>
              <w:spacing w:after="0" w:line="53" w:lineRule="exact"/>
              <w:rPr>
                <w:sz w:val="20"/>
                <w:szCs w:val="20"/>
                <w:color w:val="auto"/>
              </w:rPr>
            </w:pPr>
            <w:r>
              <w:rPr>
                <w:rFonts w:ascii="Times New Roman" w:cs="Times New Roman" w:eastAsia="Times New Roman" w:hAnsi="Times New Roman"/>
                <w:sz w:val="6"/>
                <w:szCs w:val="6"/>
                <w:color w:val="0000FF"/>
              </w:rPr>
              <w:t>$1.00 par</w:t>
            </w:r>
          </w:p>
        </w:tc>
        <w:tc>
          <w:tcPr>
            <w:tcW w:w="5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Share Unit</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vMerge w:val="restart"/>
          </w:tcPr>
          <w:p>
            <w:pPr>
              <w:jc w:val="center"/>
              <w:ind w:right="115"/>
              <w:spacing w:after="0"/>
              <w:rPr>
                <w:sz w:val="20"/>
                <w:szCs w:val="20"/>
                <w:color w:val="auto"/>
              </w:rPr>
            </w:pPr>
            <w:r>
              <w:rPr>
                <w:rFonts w:ascii="Times New Roman" w:cs="Times New Roman" w:eastAsia="Times New Roman" w:hAnsi="Times New Roman"/>
                <w:sz w:val="13"/>
                <w:szCs w:val="13"/>
                <w:color w:val="0000FF"/>
                <w:w w:val="99"/>
              </w:rPr>
              <w:t>value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 to</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purchase</w:t>
            </w:r>
          </w:p>
        </w:tc>
        <w:tc>
          <w:tcPr>
            <w:tcW w:w="820" w:type="dxa"/>
            <w:vAlign w:val="bottom"/>
            <w:gridSpan w:val="2"/>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141.55</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07/18/2025</w:t>
            </w: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D</w:t>
            </w:r>
          </w:p>
        </w:tc>
        <w:tc>
          <w:tcPr>
            <w:tcW w:w="20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2,206</w:t>
            </w:r>
          </w:p>
        </w:tc>
        <w:tc>
          <w:tcPr>
            <w:tcW w:w="780" w:type="dxa"/>
            <w:vAlign w:val="bottom"/>
            <w:gridSpan w:val="2"/>
            <w:vMerge w:val="restart"/>
          </w:tcPr>
          <w:p>
            <w:pPr>
              <w:jc w:val="center"/>
              <w:ind w:right="61"/>
              <w:spacing w:after="0"/>
              <w:rPr>
                <w:sz w:val="20"/>
                <w:szCs w:val="20"/>
                <w:color w:val="auto"/>
              </w:rPr>
            </w:pPr>
            <w:r>
              <w:rPr>
                <w:rFonts w:ascii="Times New Roman" w:cs="Times New Roman" w:eastAsia="Times New Roman" w:hAnsi="Times New Roman"/>
                <w:sz w:val="13"/>
                <w:szCs w:val="13"/>
                <w:color w:val="0000FF"/>
                <w:w w:val="97"/>
              </w:rPr>
              <w:t>03/06/2024</w:t>
            </w:r>
          </w:p>
        </w:tc>
        <w:tc>
          <w:tcPr>
            <w:tcW w:w="660" w:type="dxa"/>
            <w:vAlign w:val="bottom"/>
            <w:vMerge w:val="restart"/>
          </w:tcPr>
          <w:p>
            <w:pPr>
              <w:jc w:val="center"/>
              <w:ind w:right="18"/>
              <w:spacing w:after="0"/>
              <w:rPr>
                <w:sz w:val="20"/>
                <w:szCs w:val="20"/>
                <w:color w:val="auto"/>
              </w:rPr>
            </w:pPr>
            <w:r>
              <w:rPr>
                <w:rFonts w:ascii="Times New Roman" w:cs="Times New Roman" w:eastAsia="Times New Roman" w:hAnsi="Times New Roman"/>
                <w:sz w:val="13"/>
                <w:szCs w:val="13"/>
                <w:color w:val="0000FF"/>
                <w:w w:val="97"/>
              </w:rPr>
              <w:t>03/06/2033</w:t>
            </w:r>
          </w:p>
        </w:tc>
        <w:tc>
          <w:tcPr>
            <w:tcW w:w="120" w:type="dxa"/>
            <w:vAlign w:val="bottom"/>
          </w:tcPr>
          <w:p>
            <w:pPr>
              <w:spacing w:after="0"/>
              <w:rPr>
                <w:sz w:val="12"/>
                <w:szCs w:val="12"/>
                <w:color w:val="auto"/>
              </w:rPr>
            </w:pPr>
          </w:p>
        </w:tc>
        <w:tc>
          <w:tcPr>
            <w:tcW w:w="540" w:type="dxa"/>
            <w:vAlign w:val="bottom"/>
          </w:tcPr>
          <w:p>
            <w:pPr>
              <w:jc w:val="center"/>
              <w:ind w:right="115"/>
              <w:spacing w:after="0" w:line="141" w:lineRule="exact"/>
              <w:rPr>
                <w:sz w:val="20"/>
                <w:szCs w:val="20"/>
                <w:color w:val="auto"/>
              </w:rPr>
            </w:pPr>
            <w:r>
              <w:rPr>
                <w:rFonts w:ascii="Times New Roman" w:cs="Times New Roman" w:eastAsia="Times New Roman" w:hAnsi="Times New Roman"/>
                <w:sz w:val="13"/>
                <w:szCs w:val="13"/>
                <w:color w:val="0000FF"/>
                <w:w w:val="97"/>
              </w:rPr>
              <w:t>Stock,</w:t>
            </w:r>
          </w:p>
        </w:tc>
        <w:tc>
          <w:tcPr>
            <w:tcW w:w="540" w:type="dxa"/>
            <w:vAlign w:val="bottom"/>
            <w:vMerge w:val="restart"/>
          </w:tcPr>
          <w:p>
            <w:pPr>
              <w:jc w:val="right"/>
              <w:ind w:right="32"/>
              <w:spacing w:after="0"/>
              <w:rPr>
                <w:sz w:val="20"/>
                <w:szCs w:val="20"/>
                <w:color w:val="auto"/>
              </w:rPr>
            </w:pPr>
            <w:r>
              <w:rPr>
                <w:rFonts w:ascii="Times New Roman" w:cs="Times New Roman" w:eastAsia="Times New Roman" w:hAnsi="Times New Roman"/>
                <w:sz w:val="17"/>
                <w:szCs w:val="17"/>
                <w:color w:val="0000FF"/>
              </w:rPr>
              <w:t>2,206</w:t>
            </w:r>
          </w:p>
        </w:tc>
        <w:tc>
          <w:tcPr>
            <w:tcW w:w="60" w:type="dxa"/>
            <w:vAlign w:val="bottom"/>
          </w:tcPr>
          <w:p>
            <w:pPr>
              <w:spacing w:after="0"/>
              <w:rPr>
                <w:sz w:val="12"/>
                <w:szCs w:val="12"/>
                <w:color w:val="auto"/>
              </w:rPr>
            </w:pPr>
          </w:p>
        </w:tc>
        <w:tc>
          <w:tcPr>
            <w:tcW w:w="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color w:val="008000"/>
              </w:rPr>
              <w:t>(4)</w:t>
            </w:r>
          </w:p>
        </w:tc>
        <w:tc>
          <w:tcPr>
            <w:tcW w:w="58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820" w:type="dxa"/>
            <w:vAlign w:val="bottom"/>
            <w:gridSpan w:val="2"/>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6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$1.00 par</w:t>
            </w:r>
          </w:p>
        </w:tc>
        <w:tc>
          <w:tcPr>
            <w:tcW w:w="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center"/>
              <w:ind w:right="115"/>
              <w:spacing w:after="0"/>
              <w:rPr>
                <w:sz w:val="20"/>
                <w:szCs w:val="20"/>
                <w:color w:val="auto"/>
              </w:rPr>
            </w:pPr>
            <w:r>
              <w:rPr>
                <w:rFonts w:ascii="Times New Roman" w:cs="Times New Roman" w:eastAsia="Times New Roman" w:hAnsi="Times New Roman"/>
                <w:sz w:val="13"/>
                <w:szCs w:val="13"/>
                <w:color w:val="0000FF"/>
                <w:w w:val="99"/>
              </w:rPr>
              <w:t>value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 to</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purchase</w:t>
            </w:r>
          </w:p>
        </w:tc>
        <w:tc>
          <w:tcPr>
            <w:tcW w:w="820" w:type="dxa"/>
            <w:vAlign w:val="bottom"/>
            <w:gridSpan w:val="2"/>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141.55</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07/18/2025</w:t>
            </w: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D</w:t>
            </w:r>
          </w:p>
        </w:tc>
        <w:tc>
          <w:tcPr>
            <w:tcW w:w="20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2,206</w:t>
            </w:r>
          </w:p>
        </w:tc>
        <w:tc>
          <w:tcPr>
            <w:tcW w:w="780" w:type="dxa"/>
            <w:vAlign w:val="bottom"/>
            <w:gridSpan w:val="2"/>
            <w:vMerge w:val="restart"/>
          </w:tcPr>
          <w:p>
            <w:pPr>
              <w:jc w:val="center"/>
              <w:ind w:right="61"/>
              <w:spacing w:after="0"/>
              <w:rPr>
                <w:sz w:val="20"/>
                <w:szCs w:val="20"/>
                <w:color w:val="auto"/>
              </w:rPr>
            </w:pPr>
            <w:r>
              <w:rPr>
                <w:rFonts w:ascii="Times New Roman" w:cs="Times New Roman" w:eastAsia="Times New Roman" w:hAnsi="Times New Roman"/>
                <w:sz w:val="13"/>
                <w:szCs w:val="13"/>
                <w:color w:val="0000FF"/>
                <w:w w:val="97"/>
              </w:rPr>
              <w:t>03/06/2025</w:t>
            </w:r>
          </w:p>
        </w:tc>
        <w:tc>
          <w:tcPr>
            <w:tcW w:w="660" w:type="dxa"/>
            <w:vAlign w:val="bottom"/>
            <w:vMerge w:val="restart"/>
          </w:tcPr>
          <w:p>
            <w:pPr>
              <w:jc w:val="center"/>
              <w:ind w:right="18"/>
              <w:spacing w:after="0"/>
              <w:rPr>
                <w:sz w:val="20"/>
                <w:szCs w:val="20"/>
                <w:color w:val="auto"/>
              </w:rPr>
            </w:pPr>
            <w:r>
              <w:rPr>
                <w:rFonts w:ascii="Times New Roman" w:cs="Times New Roman" w:eastAsia="Times New Roman" w:hAnsi="Times New Roman"/>
                <w:sz w:val="13"/>
                <w:szCs w:val="13"/>
                <w:color w:val="0000FF"/>
                <w:w w:val="97"/>
              </w:rPr>
              <w:t>03/06/2033</w:t>
            </w:r>
          </w:p>
        </w:tc>
        <w:tc>
          <w:tcPr>
            <w:tcW w:w="120" w:type="dxa"/>
            <w:vAlign w:val="bottom"/>
          </w:tcPr>
          <w:p>
            <w:pPr>
              <w:spacing w:after="0"/>
              <w:rPr>
                <w:sz w:val="12"/>
                <w:szCs w:val="12"/>
                <w:color w:val="auto"/>
              </w:rPr>
            </w:pPr>
          </w:p>
        </w:tc>
        <w:tc>
          <w:tcPr>
            <w:tcW w:w="540" w:type="dxa"/>
            <w:vAlign w:val="bottom"/>
          </w:tcPr>
          <w:p>
            <w:pPr>
              <w:jc w:val="center"/>
              <w:ind w:right="115"/>
              <w:spacing w:after="0" w:line="141" w:lineRule="exact"/>
              <w:rPr>
                <w:sz w:val="20"/>
                <w:szCs w:val="20"/>
                <w:color w:val="auto"/>
              </w:rPr>
            </w:pPr>
            <w:r>
              <w:rPr>
                <w:rFonts w:ascii="Times New Roman" w:cs="Times New Roman" w:eastAsia="Times New Roman" w:hAnsi="Times New Roman"/>
                <w:sz w:val="13"/>
                <w:szCs w:val="13"/>
                <w:color w:val="0000FF"/>
                <w:w w:val="97"/>
              </w:rPr>
              <w:t>Stock,</w:t>
            </w:r>
          </w:p>
        </w:tc>
        <w:tc>
          <w:tcPr>
            <w:tcW w:w="540" w:type="dxa"/>
            <w:vAlign w:val="bottom"/>
            <w:vMerge w:val="restart"/>
          </w:tcPr>
          <w:p>
            <w:pPr>
              <w:jc w:val="right"/>
              <w:ind w:right="32"/>
              <w:spacing w:after="0"/>
              <w:rPr>
                <w:sz w:val="20"/>
                <w:szCs w:val="20"/>
                <w:color w:val="auto"/>
              </w:rPr>
            </w:pPr>
            <w:r>
              <w:rPr>
                <w:rFonts w:ascii="Times New Roman" w:cs="Times New Roman" w:eastAsia="Times New Roman" w:hAnsi="Times New Roman"/>
                <w:sz w:val="17"/>
                <w:szCs w:val="17"/>
                <w:color w:val="0000FF"/>
              </w:rPr>
              <w:t>2,206</w:t>
            </w:r>
          </w:p>
        </w:tc>
        <w:tc>
          <w:tcPr>
            <w:tcW w:w="60" w:type="dxa"/>
            <w:vAlign w:val="bottom"/>
          </w:tcPr>
          <w:p>
            <w:pPr>
              <w:spacing w:after="0"/>
              <w:rPr>
                <w:sz w:val="12"/>
                <w:szCs w:val="12"/>
                <w:color w:val="auto"/>
              </w:rPr>
            </w:pPr>
          </w:p>
        </w:tc>
        <w:tc>
          <w:tcPr>
            <w:tcW w:w="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color w:val="008000"/>
              </w:rPr>
              <w:t>(4)</w:t>
            </w:r>
          </w:p>
        </w:tc>
        <w:tc>
          <w:tcPr>
            <w:tcW w:w="58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820" w:type="dxa"/>
            <w:vAlign w:val="bottom"/>
            <w:gridSpan w:val="2"/>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6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$1.00 par</w:t>
            </w:r>
          </w:p>
        </w:tc>
        <w:tc>
          <w:tcPr>
            <w:tcW w:w="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center"/>
              <w:ind w:right="115"/>
              <w:spacing w:after="0"/>
              <w:rPr>
                <w:sz w:val="20"/>
                <w:szCs w:val="20"/>
                <w:color w:val="auto"/>
              </w:rPr>
            </w:pPr>
            <w:r>
              <w:rPr>
                <w:rFonts w:ascii="Times New Roman" w:cs="Times New Roman" w:eastAsia="Times New Roman" w:hAnsi="Times New Roman"/>
                <w:sz w:val="13"/>
                <w:szCs w:val="13"/>
                <w:color w:val="0000FF"/>
                <w:w w:val="99"/>
              </w:rPr>
              <w:t>value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 to</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purchase</w:t>
            </w:r>
          </w:p>
        </w:tc>
        <w:tc>
          <w:tcPr>
            <w:tcW w:w="820" w:type="dxa"/>
            <w:vAlign w:val="bottom"/>
            <w:gridSpan w:val="2"/>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141.55</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07/18/2025</w:t>
            </w: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D</w:t>
            </w:r>
          </w:p>
        </w:tc>
        <w:tc>
          <w:tcPr>
            <w:tcW w:w="20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2,207</w:t>
            </w:r>
          </w:p>
        </w:tc>
        <w:tc>
          <w:tcPr>
            <w:tcW w:w="780" w:type="dxa"/>
            <w:vAlign w:val="bottom"/>
            <w:gridSpan w:val="2"/>
            <w:vMerge w:val="restart"/>
          </w:tcPr>
          <w:p>
            <w:pPr>
              <w:jc w:val="center"/>
              <w:ind w:right="61"/>
              <w:spacing w:after="0"/>
              <w:rPr>
                <w:sz w:val="20"/>
                <w:szCs w:val="20"/>
                <w:color w:val="auto"/>
              </w:rPr>
            </w:pPr>
            <w:r>
              <w:rPr>
                <w:rFonts w:ascii="Times New Roman" w:cs="Times New Roman" w:eastAsia="Times New Roman" w:hAnsi="Times New Roman"/>
                <w:sz w:val="13"/>
                <w:szCs w:val="13"/>
                <w:color w:val="0000FF"/>
                <w:w w:val="97"/>
              </w:rPr>
              <w:t>03/06/2026</w:t>
            </w:r>
          </w:p>
        </w:tc>
        <w:tc>
          <w:tcPr>
            <w:tcW w:w="660" w:type="dxa"/>
            <w:vAlign w:val="bottom"/>
            <w:vMerge w:val="restart"/>
          </w:tcPr>
          <w:p>
            <w:pPr>
              <w:jc w:val="center"/>
              <w:ind w:right="18"/>
              <w:spacing w:after="0"/>
              <w:rPr>
                <w:sz w:val="20"/>
                <w:szCs w:val="20"/>
                <w:color w:val="auto"/>
              </w:rPr>
            </w:pPr>
            <w:r>
              <w:rPr>
                <w:rFonts w:ascii="Times New Roman" w:cs="Times New Roman" w:eastAsia="Times New Roman" w:hAnsi="Times New Roman"/>
                <w:sz w:val="13"/>
                <w:szCs w:val="13"/>
                <w:color w:val="0000FF"/>
                <w:w w:val="97"/>
              </w:rPr>
              <w:t>03/06/2033</w:t>
            </w:r>
          </w:p>
        </w:tc>
        <w:tc>
          <w:tcPr>
            <w:tcW w:w="120" w:type="dxa"/>
            <w:vAlign w:val="bottom"/>
          </w:tcPr>
          <w:p>
            <w:pPr>
              <w:spacing w:after="0"/>
              <w:rPr>
                <w:sz w:val="12"/>
                <w:szCs w:val="12"/>
                <w:color w:val="auto"/>
              </w:rPr>
            </w:pPr>
          </w:p>
        </w:tc>
        <w:tc>
          <w:tcPr>
            <w:tcW w:w="540" w:type="dxa"/>
            <w:vAlign w:val="bottom"/>
          </w:tcPr>
          <w:p>
            <w:pPr>
              <w:jc w:val="center"/>
              <w:ind w:right="115"/>
              <w:spacing w:after="0" w:line="141" w:lineRule="exact"/>
              <w:rPr>
                <w:sz w:val="20"/>
                <w:szCs w:val="20"/>
                <w:color w:val="auto"/>
              </w:rPr>
            </w:pPr>
            <w:r>
              <w:rPr>
                <w:rFonts w:ascii="Times New Roman" w:cs="Times New Roman" w:eastAsia="Times New Roman" w:hAnsi="Times New Roman"/>
                <w:sz w:val="13"/>
                <w:szCs w:val="13"/>
                <w:color w:val="0000FF"/>
                <w:w w:val="97"/>
              </w:rPr>
              <w:t>Stock,</w:t>
            </w:r>
          </w:p>
        </w:tc>
        <w:tc>
          <w:tcPr>
            <w:tcW w:w="540" w:type="dxa"/>
            <w:vAlign w:val="bottom"/>
            <w:vMerge w:val="restart"/>
          </w:tcPr>
          <w:p>
            <w:pPr>
              <w:jc w:val="right"/>
              <w:ind w:right="32"/>
              <w:spacing w:after="0"/>
              <w:rPr>
                <w:sz w:val="20"/>
                <w:szCs w:val="20"/>
                <w:color w:val="auto"/>
              </w:rPr>
            </w:pPr>
            <w:r>
              <w:rPr>
                <w:rFonts w:ascii="Times New Roman" w:cs="Times New Roman" w:eastAsia="Times New Roman" w:hAnsi="Times New Roman"/>
                <w:sz w:val="17"/>
                <w:szCs w:val="17"/>
                <w:color w:val="0000FF"/>
              </w:rPr>
              <w:t>2,207</w:t>
            </w:r>
          </w:p>
        </w:tc>
        <w:tc>
          <w:tcPr>
            <w:tcW w:w="60" w:type="dxa"/>
            <w:vAlign w:val="bottom"/>
          </w:tcPr>
          <w:p>
            <w:pPr>
              <w:spacing w:after="0"/>
              <w:rPr>
                <w:sz w:val="12"/>
                <w:szCs w:val="12"/>
                <w:color w:val="auto"/>
              </w:rPr>
            </w:pPr>
          </w:p>
        </w:tc>
        <w:tc>
          <w:tcPr>
            <w:tcW w:w="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color w:val="008000"/>
              </w:rPr>
              <w:t>(4)</w:t>
            </w:r>
          </w:p>
        </w:tc>
        <w:tc>
          <w:tcPr>
            <w:tcW w:w="58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820" w:type="dxa"/>
            <w:vAlign w:val="bottom"/>
            <w:gridSpan w:val="2"/>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6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$1.00 par</w:t>
            </w:r>
          </w:p>
        </w:tc>
        <w:tc>
          <w:tcPr>
            <w:tcW w:w="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center"/>
              <w:ind w:right="115"/>
              <w:spacing w:after="0"/>
              <w:rPr>
                <w:sz w:val="20"/>
                <w:szCs w:val="20"/>
                <w:color w:val="auto"/>
              </w:rPr>
            </w:pPr>
            <w:r>
              <w:rPr>
                <w:rFonts w:ascii="Times New Roman" w:cs="Times New Roman" w:eastAsia="Times New Roman" w:hAnsi="Times New Roman"/>
                <w:sz w:val="13"/>
                <w:szCs w:val="13"/>
                <w:color w:val="0000FF"/>
                <w:w w:val="99"/>
              </w:rPr>
              <w:t>value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 to</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purchase</w:t>
            </w:r>
          </w:p>
        </w:tc>
        <w:tc>
          <w:tcPr>
            <w:tcW w:w="820" w:type="dxa"/>
            <w:vAlign w:val="bottom"/>
            <w:gridSpan w:val="2"/>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101.17</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07/18/2025</w:t>
            </w: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D</w:t>
            </w:r>
          </w:p>
        </w:tc>
        <w:tc>
          <w:tcPr>
            <w:tcW w:w="20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3,038</w:t>
            </w:r>
          </w:p>
        </w:tc>
        <w:tc>
          <w:tcPr>
            <w:tcW w:w="780" w:type="dxa"/>
            <w:vAlign w:val="bottom"/>
            <w:gridSpan w:val="2"/>
            <w:vMerge w:val="restart"/>
          </w:tcPr>
          <w:p>
            <w:pPr>
              <w:jc w:val="center"/>
              <w:ind w:right="61"/>
              <w:spacing w:after="0"/>
              <w:rPr>
                <w:sz w:val="20"/>
                <w:szCs w:val="20"/>
                <w:color w:val="auto"/>
              </w:rPr>
            </w:pPr>
            <w:r>
              <w:rPr>
                <w:rFonts w:ascii="Times New Roman" w:cs="Times New Roman" w:eastAsia="Times New Roman" w:hAnsi="Times New Roman"/>
                <w:sz w:val="13"/>
                <w:szCs w:val="13"/>
                <w:color w:val="0000FF"/>
                <w:w w:val="97"/>
              </w:rPr>
              <w:t>03/06/2025</w:t>
            </w:r>
          </w:p>
        </w:tc>
        <w:tc>
          <w:tcPr>
            <w:tcW w:w="660" w:type="dxa"/>
            <w:vAlign w:val="bottom"/>
            <w:vMerge w:val="restart"/>
          </w:tcPr>
          <w:p>
            <w:pPr>
              <w:jc w:val="center"/>
              <w:ind w:right="18"/>
              <w:spacing w:after="0"/>
              <w:rPr>
                <w:sz w:val="20"/>
                <w:szCs w:val="20"/>
                <w:color w:val="auto"/>
              </w:rPr>
            </w:pPr>
            <w:r>
              <w:rPr>
                <w:rFonts w:ascii="Times New Roman" w:cs="Times New Roman" w:eastAsia="Times New Roman" w:hAnsi="Times New Roman"/>
                <w:sz w:val="13"/>
                <w:szCs w:val="13"/>
                <w:color w:val="0000FF"/>
                <w:w w:val="97"/>
              </w:rPr>
              <w:t>03/06/2032</w:t>
            </w:r>
          </w:p>
        </w:tc>
        <w:tc>
          <w:tcPr>
            <w:tcW w:w="120" w:type="dxa"/>
            <w:vAlign w:val="bottom"/>
          </w:tcPr>
          <w:p>
            <w:pPr>
              <w:spacing w:after="0"/>
              <w:rPr>
                <w:sz w:val="12"/>
                <w:szCs w:val="12"/>
                <w:color w:val="auto"/>
              </w:rPr>
            </w:pPr>
          </w:p>
        </w:tc>
        <w:tc>
          <w:tcPr>
            <w:tcW w:w="540" w:type="dxa"/>
            <w:vAlign w:val="bottom"/>
          </w:tcPr>
          <w:p>
            <w:pPr>
              <w:jc w:val="center"/>
              <w:ind w:right="115"/>
              <w:spacing w:after="0" w:line="141" w:lineRule="exact"/>
              <w:rPr>
                <w:sz w:val="20"/>
                <w:szCs w:val="20"/>
                <w:color w:val="auto"/>
              </w:rPr>
            </w:pPr>
            <w:r>
              <w:rPr>
                <w:rFonts w:ascii="Times New Roman" w:cs="Times New Roman" w:eastAsia="Times New Roman" w:hAnsi="Times New Roman"/>
                <w:sz w:val="13"/>
                <w:szCs w:val="13"/>
                <w:color w:val="0000FF"/>
                <w:w w:val="97"/>
              </w:rPr>
              <w:t>Stock,</w:t>
            </w:r>
          </w:p>
        </w:tc>
        <w:tc>
          <w:tcPr>
            <w:tcW w:w="540" w:type="dxa"/>
            <w:vAlign w:val="bottom"/>
            <w:vMerge w:val="restart"/>
          </w:tcPr>
          <w:p>
            <w:pPr>
              <w:jc w:val="right"/>
              <w:ind w:right="32"/>
              <w:spacing w:after="0"/>
              <w:rPr>
                <w:sz w:val="20"/>
                <w:szCs w:val="20"/>
                <w:color w:val="auto"/>
              </w:rPr>
            </w:pPr>
            <w:r>
              <w:rPr>
                <w:rFonts w:ascii="Times New Roman" w:cs="Times New Roman" w:eastAsia="Times New Roman" w:hAnsi="Times New Roman"/>
                <w:sz w:val="17"/>
                <w:szCs w:val="17"/>
                <w:color w:val="0000FF"/>
              </w:rPr>
              <w:t>3,038</w:t>
            </w:r>
          </w:p>
        </w:tc>
        <w:tc>
          <w:tcPr>
            <w:tcW w:w="60" w:type="dxa"/>
            <w:vAlign w:val="bottom"/>
          </w:tcPr>
          <w:p>
            <w:pPr>
              <w:spacing w:after="0"/>
              <w:rPr>
                <w:sz w:val="12"/>
                <w:szCs w:val="12"/>
                <w:color w:val="auto"/>
              </w:rPr>
            </w:pPr>
          </w:p>
        </w:tc>
        <w:tc>
          <w:tcPr>
            <w:tcW w:w="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color w:val="008000"/>
              </w:rPr>
              <w:t>(4)</w:t>
            </w:r>
          </w:p>
        </w:tc>
        <w:tc>
          <w:tcPr>
            <w:tcW w:w="58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820" w:type="dxa"/>
            <w:vAlign w:val="bottom"/>
            <w:gridSpan w:val="2"/>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6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$1.00 par</w:t>
            </w:r>
          </w:p>
        </w:tc>
        <w:tc>
          <w:tcPr>
            <w:tcW w:w="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center"/>
              <w:ind w:right="115"/>
              <w:spacing w:after="0"/>
              <w:rPr>
                <w:sz w:val="20"/>
                <w:szCs w:val="20"/>
                <w:color w:val="auto"/>
              </w:rPr>
            </w:pPr>
            <w:r>
              <w:rPr>
                <w:rFonts w:ascii="Times New Roman" w:cs="Times New Roman" w:eastAsia="Times New Roman" w:hAnsi="Times New Roman"/>
                <w:sz w:val="13"/>
                <w:szCs w:val="13"/>
                <w:color w:val="0000FF"/>
                <w:w w:val="99"/>
              </w:rPr>
              <w:t>value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-3937000</wp:posOffset>
            </wp:positionV>
            <wp:extent cx="29210" cy="3942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394208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27,417 shares held in escrow pursuant to the Corporation's Long Term Incentive Plans.</w:t>
      </w:r>
    </w:p>
    <w:p>
      <w:pPr>
        <w:spacing w:after="0" w:line="43" w:lineRule="exact"/>
        <w:rPr>
          <w:rFonts w:ascii="Times New Roman" w:cs="Times New Roman" w:eastAsia="Times New Roman" w:hAnsi="Times New Roman"/>
          <w:sz w:val="13"/>
          <w:szCs w:val="13"/>
          <w:color w:val="008000"/>
        </w:rPr>
      </w:pPr>
    </w:p>
    <w:p>
      <w:pPr>
        <w:ind w:left="40" w:right="16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Agreement and Plan of Merger, dated October 22, 2023 (as amended, the "merger agreement"), by and among Hess, Yankee Merger Sub Inc. ("Merger Sub") and Chevron Corporation ("Chevron"), at the effective time of the merger of Merger Sub with and into Hess on the closing date (the "Effective Time"), each outstanding share of common stock of Hess (except as otherwise specified in the merger agreement) was converted into the right to receive 1.025 (the "exchange ratio") shares of common stock of Chevron.</w:t>
      </w:r>
    </w:p>
    <w:p>
      <w:pPr>
        <w:spacing w:after="0" w:line="27" w:lineRule="exact"/>
        <w:rPr>
          <w:rFonts w:ascii="Times New Roman" w:cs="Times New Roman" w:eastAsia="Times New Roman" w:hAnsi="Times New Roman"/>
          <w:sz w:val="13"/>
          <w:szCs w:val="13"/>
          <w:color w:val="008000"/>
        </w:rPr>
      </w:pPr>
    </w:p>
    <w:p>
      <w:pPr>
        <w:ind w:left="40" w:right="140" w:firstLine="1"/>
        <w:spacing w:after="0" w:line="237"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at the Effective Time, each then outstanding Performance Share Unit (PSU) award was deemed to be earned at the maximum level and converted into a restricted cash award in an amount per share under such PSU award equal to the average closing trading price of a share of Chevron common stock for the 20 business days ending on and including the second to last business day prior to the Effective Time multiplied by the exchange ratio, and in each case subject to the same terms and conditions as applied to such awards immediately prior to the Effective Time (other than the performance conditions).</w:t>
      </w:r>
    </w:p>
    <w:p>
      <w:pPr>
        <w:spacing w:after="0" w:line="26" w:lineRule="exact"/>
        <w:rPr>
          <w:rFonts w:ascii="Times New Roman" w:cs="Times New Roman" w:eastAsia="Times New Roman" w:hAnsi="Times New Roman"/>
          <w:sz w:val="13"/>
          <w:szCs w:val="13"/>
          <w:color w:val="008000"/>
        </w:rPr>
      </w:pPr>
    </w:p>
    <w:p>
      <w:pPr>
        <w:ind w:left="40" w:right="440" w:firstLine="1"/>
        <w:spacing w:after="0" w:line="247"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at the Effective Time each then outstanding Hess stock option was converted into a corresponding Chevron stock option based on the exchange ratio, subject to the same terms and conditions applicable to such award immediately prior to the Effective Time.</w:t>
      </w:r>
    </w:p>
    <w:p>
      <w:pPr>
        <w:ind w:left="6600"/>
        <w:spacing w:after="0" w:line="230" w:lineRule="auto"/>
        <w:tabs>
          <w:tab w:leader="none" w:pos="8780" w:val="left"/>
        </w:tabs>
        <w:rPr>
          <w:sz w:val="20"/>
          <w:szCs w:val="20"/>
          <w:color w:val="auto"/>
        </w:rPr>
      </w:pPr>
      <w:r>
        <w:rPr>
          <w:rFonts w:ascii="Times New Roman" w:cs="Times New Roman" w:eastAsia="Times New Roman" w:hAnsi="Times New Roman"/>
          <w:sz w:val="17"/>
          <w:szCs w:val="17"/>
          <w:color w:val="0000FF"/>
        </w:rPr>
        <w:t>Barry Schachter for Geurt G.</w:t>
      </w:r>
      <w:r>
        <w:rPr>
          <w:sz w:val="20"/>
          <w:szCs w:val="20"/>
          <w:color w:val="auto"/>
        </w:rPr>
        <w:tab/>
      </w:r>
      <w:r>
        <w:rPr>
          <w:rFonts w:ascii="Times New Roman" w:cs="Times New Roman" w:eastAsia="Times New Roman" w:hAnsi="Times New Roman"/>
          <w:sz w:val="25"/>
          <w:szCs w:val="25"/>
          <w:color w:val="0000FF"/>
          <w:vertAlign w:val="subscript"/>
        </w:rPr>
        <w:t>07/18/2025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2338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338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Schoonman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-20955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-86360</wp:posOffset>
            </wp:positionV>
            <wp:extent cx="4832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99427" TargetMode="External"/><Relationship Id="rId14" Type="http://schemas.openxmlformats.org/officeDocument/2006/relationships/hyperlink" Target="http://www.sec.gov/cgi-bin/browse-edgar?action=getcompany&amp;CIK=00000044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2025-07-18T15:23:44Z</dcterms:created>
  <dcterms:modified xsi:type="dcterms:W3CDTF">2025-07-18T15:23:44Z</dcterms:modified>
</cp:coreProperties>
</file>