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MCMANUS DAVID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1185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HESS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HES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07/18/2025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$1.00 par value</w:t>
            </w:r>
          </w:p>
        </w:tc>
        <w:tc>
          <w:tcPr>
            <w:tcW w:w="15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0000FF"/>
              </w:rPr>
              <w:t>07/18/2025</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41,466</w:t>
            </w:r>
          </w:p>
        </w:tc>
        <w:tc>
          <w:tcPr>
            <w:tcW w:w="440" w:type="dxa"/>
            <w:vAlign w:val="bottom"/>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3"/>
                <w:szCs w:val="23"/>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0</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Agreement and Plan of Merger, dated October 22, 2023 (as amended, the "merger agreement"), by and among Hess, Yankee Merger Sub Inc. ("Merger Sub") and Chevron Corporation ("Chevron"), at the effective time of the merger of Merger Sub with and into Hess on the closing date (the "Effective Time"), each outstanding share of common stock of Hess (except as otherwise specified in the merger agreement) was converted into the right to receive 1.025 (the "exchange ratio") shares of common stock of Chevron.</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Barry Schachter for David</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07/18/2025</w:t>
            </w:r>
          </w:p>
        </w:tc>
        <w:tc>
          <w:tcPr>
            <w:tcW w:w="0" w:type="dxa"/>
            <w:vAlign w:val="bottom"/>
          </w:tcPr>
          <w:p>
            <w:pPr>
              <w:spacing w:after="0"/>
              <w:rPr>
                <w:sz w:val="1"/>
                <w:szCs w:val="1"/>
                <w:color w:val="auto"/>
              </w:rPr>
            </w:pPr>
          </w:p>
        </w:tc>
      </w:tr>
      <w:tr>
        <w:trPr>
          <w:trHeight w:val="87"/>
        </w:trPr>
        <w:tc>
          <w:tcPr>
            <w:tcW w:w="72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McManus</w:t>
            </w:r>
          </w:p>
        </w:tc>
        <w:tc>
          <w:tcPr>
            <w:tcW w:w="1120" w:type="dxa"/>
            <w:vAlign w:val="bottom"/>
            <w:tcBorders>
              <w:top w:val="single" w:sz="8" w:color="auto"/>
            </w:tcBorders>
            <w:vMerge w:val="restart"/>
          </w:tcPr>
          <w:p>
            <w:pPr>
              <w:spacing w:after="0"/>
              <w:rPr>
                <w:sz w:val="7"/>
                <w:szCs w:val="7"/>
                <w:color w:val="auto"/>
              </w:rPr>
            </w:pPr>
          </w:p>
        </w:tc>
        <w:tc>
          <w:tcPr>
            <w:tcW w:w="2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720" w:type="dxa"/>
            <w:vAlign w:val="bottom"/>
            <w:tcBorders>
              <w:top w:val="single" w:sz="8" w:color="auto"/>
              <w:bottom w:val="single" w:sz="8" w:color="auto"/>
            </w:tcBorders>
            <w:vMerge w:val="continue"/>
          </w:tcPr>
          <w:p>
            <w:pPr>
              <w:spacing w:after="0"/>
              <w:rPr>
                <w:sz w:val="7"/>
                <w:szCs w:val="7"/>
                <w:color w:val="auto"/>
              </w:rPr>
            </w:pPr>
          </w:p>
        </w:tc>
        <w:tc>
          <w:tcPr>
            <w:tcW w:w="1120" w:type="dxa"/>
            <w:vAlign w:val="bottom"/>
            <w:tcBorders>
              <w:top w:val="single" w:sz="8" w:color="auto"/>
            </w:tcBorders>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12074" TargetMode="External"/><Relationship Id="rId14" Type="http://schemas.openxmlformats.org/officeDocument/2006/relationships/hyperlink" Target="http://www.sec.gov/cgi-bin/browse-edgar?action=getcompany&amp;CIK=00000044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2025-07-18T15:36:03Z</dcterms:created>
  <dcterms:modified xsi:type="dcterms:W3CDTF">2025-07-18T15:36:03Z</dcterms:modified>
</cp:coreProperties>
</file>